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459" w:type="dxa"/>
        <w:tblLayout w:type="fixed"/>
        <w:tblLook w:val="0000" w:firstRow="0" w:lastRow="0" w:firstColumn="0" w:lastColumn="0" w:noHBand="0" w:noVBand="0"/>
      </w:tblPr>
      <w:tblGrid>
        <w:gridCol w:w="425"/>
        <w:gridCol w:w="142"/>
        <w:gridCol w:w="567"/>
        <w:gridCol w:w="284"/>
        <w:gridCol w:w="815"/>
        <w:gridCol w:w="11"/>
        <w:gridCol w:w="591"/>
        <w:gridCol w:w="709"/>
        <w:gridCol w:w="1418"/>
        <w:gridCol w:w="283"/>
        <w:gridCol w:w="1383"/>
        <w:gridCol w:w="460"/>
        <w:gridCol w:w="2127"/>
        <w:gridCol w:w="142"/>
        <w:gridCol w:w="425"/>
      </w:tblGrid>
      <w:tr w:rsidR="00271CAB" w:rsidTr="0044302E">
        <w:trPr>
          <w:gridAfter w:val="1"/>
          <w:wAfter w:w="425" w:type="dxa"/>
          <w:trHeight w:val="1600"/>
        </w:trPr>
        <w:tc>
          <w:tcPr>
            <w:tcW w:w="9357" w:type="dxa"/>
            <w:gridSpan w:val="14"/>
            <w:tcBorders>
              <w:bottom w:val="nil"/>
            </w:tcBorders>
          </w:tcPr>
          <w:p w:rsidR="00271CAB" w:rsidRDefault="00271CAB">
            <w:pPr>
              <w:tabs>
                <w:tab w:val="left" w:pos="5670"/>
              </w:tabs>
              <w:rPr>
                <w:rFonts w:ascii="Arial" w:hAnsi="Arial"/>
                <w:b/>
                <w:sz w:val="18"/>
                <w:lang w:val="fr-BE"/>
              </w:rPr>
            </w:pPr>
          </w:p>
        </w:tc>
      </w:tr>
      <w:tr w:rsidR="00271CAB" w:rsidRPr="004139DB" w:rsidTr="0044302E">
        <w:trPr>
          <w:gridBefore w:val="1"/>
          <w:wBefore w:w="425" w:type="dxa"/>
          <w:cantSplit/>
          <w:trHeight w:val="1660"/>
        </w:trPr>
        <w:tc>
          <w:tcPr>
            <w:tcW w:w="4820" w:type="dxa"/>
            <w:gridSpan w:val="9"/>
            <w:tcBorders>
              <w:bottom w:val="nil"/>
            </w:tcBorders>
          </w:tcPr>
          <w:p w:rsidR="00271CAB" w:rsidRDefault="00DF0C3E">
            <w:pPr>
              <w:tabs>
                <w:tab w:val="left" w:pos="5670"/>
              </w:tabs>
              <w:rPr>
                <w:rFonts w:ascii="Arial" w:hAnsi="Arial"/>
                <w:b/>
                <w:sz w:val="40"/>
                <w:lang w:val="fr-BE"/>
              </w:rPr>
            </w:pPr>
            <w:r>
              <w:rPr>
                <w:rFonts w:ascii="Arial" w:hAnsi="Arial"/>
                <w:b/>
                <w:noProof/>
                <w:sz w:val="40"/>
                <w:lang w:val="fr-BE" w:eastAsia="fr-BE"/>
              </w:rPr>
              <mc:AlternateContent>
                <mc:Choice Requires="wps">
                  <w:drawing>
                    <wp:anchor distT="0" distB="0" distL="114300" distR="114300" simplePos="0" relativeHeight="251657728" behindDoc="0" locked="0" layoutInCell="0" allowOverlap="1" wp14:anchorId="5715A93E" wp14:editId="750A901A">
                      <wp:simplePos x="0" y="0"/>
                      <wp:positionH relativeFrom="column">
                        <wp:posOffset>6350</wp:posOffset>
                      </wp:positionH>
                      <wp:positionV relativeFrom="paragraph">
                        <wp:posOffset>271780</wp:posOffset>
                      </wp:positionV>
                      <wp:extent cx="146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4pt" to="115.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q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DeOOtR2wAAAAcBAAAPAAAAZHJzL2Rvd25yZXYueG1sTI9BT8JAEIXvJvyHzZh4IbKlEGNq&#10;t4SovXkBNF6H7tg2dmdLd4Hqr3cMBz2+eS9vvpevRtepEw2h9WxgPktAEVfetlwbeN2Vt/egQkS2&#10;2HkmA18UYFVMrnLMrD/zhk7bWCsp4ZChgSbGPtM6VA05DDPfE4v34QeHUeRQazvgWcpdp9MkudMO&#10;W5YPDfb02FD1uT06A6F8o0P5Pa2myfui9pQenl6e0Zib63H9ACrSGP/C8Isv6FAI094f2QbViZYl&#10;0cAylQFip4v5EtT+ctBFrv/zFz8AAAD//wMAUEsBAi0AFAAGAAgAAAAhALaDOJL+AAAA4QEAABMA&#10;AAAAAAAAAAAAAAAAAAAAAFtDb250ZW50X1R5cGVzXS54bWxQSwECLQAUAAYACAAAACEAOP0h/9YA&#10;AACUAQAACwAAAAAAAAAAAAAAAAAvAQAAX3JlbHMvLnJlbHNQSwECLQAUAAYACAAAACEAUwwKkxEC&#10;AAAoBAAADgAAAAAAAAAAAAAAAAAuAgAAZHJzL2Uyb0RvYy54bWxQSwECLQAUAAYACAAAACEA3jjr&#10;UdsAAAAHAQAADwAAAAAAAAAAAAAAAABrBAAAZHJzL2Rvd25yZXYueG1sUEsFBgAAAAAEAAQA8wAA&#10;AHMFAAAAAA==&#10;" o:allowincell="f"/>
                  </w:pict>
                </mc:Fallback>
              </mc:AlternateContent>
            </w:r>
            <w:r w:rsidR="00271CAB">
              <w:rPr>
                <w:rFonts w:ascii="Arial" w:hAnsi="Arial"/>
                <w:b/>
                <w:sz w:val="40"/>
                <w:lang w:val="fr-BE"/>
              </w:rPr>
              <w:t>I N A M I</w:t>
            </w:r>
          </w:p>
          <w:p w:rsidR="00271CAB" w:rsidRDefault="00271CAB">
            <w:pPr>
              <w:tabs>
                <w:tab w:val="left" w:pos="5670"/>
              </w:tabs>
              <w:rPr>
                <w:rFonts w:ascii="Arial" w:hAnsi="Arial"/>
                <w:b/>
                <w:sz w:val="40"/>
                <w:lang w:val="fr-BE"/>
              </w:rPr>
            </w:pPr>
            <w:r>
              <w:rPr>
                <w:rFonts w:ascii="Arial Narrow" w:hAnsi="Arial Narrow"/>
                <w:sz w:val="14"/>
                <w:lang w:val="fr-BE"/>
              </w:rPr>
              <w:t>Institut National d’Assurance Maladie-Invalidité</w:t>
            </w:r>
          </w:p>
        </w:tc>
        <w:tc>
          <w:tcPr>
            <w:tcW w:w="4537" w:type="dxa"/>
            <w:gridSpan w:val="5"/>
          </w:tcPr>
          <w:p w:rsidR="00271CAB" w:rsidRDefault="00271CAB">
            <w:pPr>
              <w:pStyle w:val="En-tte"/>
              <w:tabs>
                <w:tab w:val="clear" w:pos="4153"/>
                <w:tab w:val="clear" w:pos="8306"/>
                <w:tab w:val="left" w:pos="5670"/>
              </w:tabs>
              <w:rPr>
                <w:rFonts w:ascii="Arial" w:hAnsi="Arial"/>
                <w:lang w:val="fr-BE"/>
              </w:rPr>
            </w:pPr>
            <w:bookmarkStart w:id="0" w:name="Adres1"/>
            <w:bookmarkEnd w:id="0"/>
          </w:p>
          <w:p w:rsidR="00271CAB" w:rsidRPr="003866BB" w:rsidRDefault="00271CAB">
            <w:pPr>
              <w:rPr>
                <w:rFonts w:ascii="Arial" w:hAnsi="Arial"/>
                <w:lang w:val="fr-FR"/>
              </w:rPr>
            </w:pPr>
            <w:bookmarkStart w:id="1" w:name="Adres2"/>
            <w:bookmarkEnd w:id="1"/>
            <w:r w:rsidRPr="003866BB">
              <w:rPr>
                <w:rFonts w:ascii="Arial" w:hAnsi="Arial"/>
                <w:lang w:val="fr-FR"/>
              </w:rPr>
              <w:t>CIRCULAIRE AUX HOPITAUX</w:t>
            </w:r>
            <w:r w:rsidR="003866BB" w:rsidRPr="003866BB">
              <w:rPr>
                <w:rFonts w:ascii="Arial" w:hAnsi="Arial"/>
                <w:lang w:val="fr-FR"/>
              </w:rPr>
              <w:t xml:space="preserve"> </w:t>
            </w:r>
            <w:bookmarkStart w:id="2" w:name="Adres"/>
            <w:bookmarkEnd w:id="2"/>
          </w:p>
          <w:p w:rsidR="00271CAB" w:rsidRDefault="00271CAB" w:rsidP="009C70F5">
            <w:pPr>
              <w:pStyle w:val="En-tte"/>
              <w:tabs>
                <w:tab w:val="clear" w:pos="4153"/>
                <w:tab w:val="clear" w:pos="8306"/>
                <w:tab w:val="left" w:pos="5670"/>
              </w:tabs>
              <w:rPr>
                <w:rFonts w:ascii="Arial" w:hAnsi="Arial"/>
                <w:lang w:val="fr-BE"/>
              </w:rPr>
            </w:pPr>
            <w:bookmarkStart w:id="3" w:name="Adres3"/>
            <w:bookmarkStart w:id="4" w:name="Adres4"/>
            <w:bookmarkStart w:id="5" w:name="Adres5"/>
            <w:bookmarkStart w:id="6" w:name="adres6"/>
            <w:bookmarkEnd w:id="3"/>
            <w:bookmarkEnd w:id="4"/>
            <w:bookmarkEnd w:id="5"/>
            <w:bookmarkEnd w:id="6"/>
          </w:p>
          <w:p w:rsidR="004139DB" w:rsidRDefault="004139DB" w:rsidP="009C70F5">
            <w:pPr>
              <w:pStyle w:val="En-tte"/>
              <w:tabs>
                <w:tab w:val="clear" w:pos="4153"/>
                <w:tab w:val="clear" w:pos="8306"/>
                <w:tab w:val="left" w:pos="5670"/>
              </w:tabs>
              <w:rPr>
                <w:rFonts w:ascii="Arial" w:hAnsi="Arial"/>
                <w:lang w:val="fr-BE"/>
              </w:rPr>
            </w:pPr>
            <w:r>
              <w:rPr>
                <w:rFonts w:ascii="Arial" w:hAnsi="Arial"/>
                <w:lang w:val="fr-BE"/>
              </w:rPr>
              <w:t>CIRC. HOP 2016/10</w:t>
            </w:r>
          </w:p>
        </w:tc>
      </w:tr>
      <w:tr w:rsidR="00271CAB" w:rsidRPr="004139DB" w:rsidTr="0044302E">
        <w:trPr>
          <w:gridBefore w:val="2"/>
          <w:wBefore w:w="567" w:type="dxa"/>
          <w:cantSplit/>
          <w:trHeight w:hRule="exact" w:val="360"/>
        </w:trPr>
        <w:tc>
          <w:tcPr>
            <w:tcW w:w="4678" w:type="dxa"/>
            <w:gridSpan w:val="8"/>
            <w:tcBorders>
              <w:bottom w:val="nil"/>
            </w:tcBorders>
          </w:tcPr>
          <w:p w:rsidR="00271CAB" w:rsidRDefault="00271CAB">
            <w:pPr>
              <w:tabs>
                <w:tab w:val="left" w:pos="5670"/>
              </w:tabs>
              <w:rPr>
                <w:rFonts w:ascii="Arial" w:hAnsi="Arial"/>
                <w:b/>
                <w:sz w:val="18"/>
                <w:lang w:val="fr-BE"/>
              </w:rPr>
            </w:pPr>
            <w:r>
              <w:rPr>
                <w:rFonts w:ascii="Arial" w:hAnsi="Arial"/>
                <w:b/>
                <w:sz w:val="18"/>
                <w:lang w:val="fr-BE"/>
              </w:rPr>
              <w:t>Service des Soins de Santé</w:t>
            </w:r>
          </w:p>
        </w:tc>
        <w:tc>
          <w:tcPr>
            <w:tcW w:w="4537" w:type="dxa"/>
            <w:gridSpan w:val="5"/>
          </w:tcPr>
          <w:p w:rsidR="00271CAB" w:rsidRDefault="00271CAB">
            <w:pPr>
              <w:tabs>
                <w:tab w:val="left" w:pos="5670"/>
              </w:tabs>
              <w:rPr>
                <w:rFonts w:ascii="Arial" w:hAnsi="Arial"/>
                <w:b/>
                <w:sz w:val="18"/>
                <w:lang w:val="fr-BE"/>
              </w:rPr>
            </w:pPr>
          </w:p>
        </w:tc>
      </w:tr>
      <w:tr w:rsidR="00271CAB" w:rsidRPr="004139DB" w:rsidTr="0044302E">
        <w:trPr>
          <w:gridBefore w:val="2"/>
          <w:gridAfter w:val="2"/>
          <w:wBefore w:w="567" w:type="dxa"/>
          <w:wAfter w:w="567" w:type="dxa"/>
          <w:cantSplit/>
          <w:trHeight w:hRule="exact" w:val="336"/>
        </w:trPr>
        <w:tc>
          <w:tcPr>
            <w:tcW w:w="1666" w:type="dxa"/>
            <w:gridSpan w:val="3"/>
          </w:tcPr>
          <w:p w:rsidR="00271CAB" w:rsidRDefault="00271CAB">
            <w:pPr>
              <w:tabs>
                <w:tab w:val="left" w:pos="5670"/>
              </w:tabs>
              <w:rPr>
                <w:rFonts w:ascii="Arial" w:hAnsi="Arial"/>
                <w:sz w:val="18"/>
                <w:lang w:val="fr-BE"/>
              </w:rPr>
            </w:pPr>
            <w:r>
              <w:rPr>
                <w:rFonts w:ascii="Arial" w:hAnsi="Arial"/>
                <w:b/>
                <w:sz w:val="18"/>
                <w:lang w:val="fr-BE"/>
              </w:rPr>
              <w:t xml:space="preserve">Correspondant: </w:t>
            </w:r>
          </w:p>
        </w:tc>
        <w:tc>
          <w:tcPr>
            <w:tcW w:w="2729" w:type="dxa"/>
            <w:gridSpan w:val="4"/>
          </w:tcPr>
          <w:p w:rsidR="00271CAB" w:rsidRDefault="00297667" w:rsidP="00297667">
            <w:pPr>
              <w:tabs>
                <w:tab w:val="left" w:pos="5670"/>
              </w:tabs>
              <w:rPr>
                <w:rFonts w:ascii="Arial" w:hAnsi="Arial"/>
                <w:sz w:val="18"/>
                <w:lang w:val="fr-BE"/>
              </w:rPr>
            </w:pPr>
            <w:bookmarkStart w:id="7" w:name="Correspondent"/>
            <w:bookmarkEnd w:id="7"/>
            <w:r>
              <w:rPr>
                <w:rFonts w:ascii="Arial" w:hAnsi="Arial"/>
                <w:sz w:val="18"/>
                <w:lang w:val="fr-BE"/>
              </w:rPr>
              <w:t>Yoeriska Antonissen</w:t>
            </w:r>
          </w:p>
        </w:tc>
        <w:tc>
          <w:tcPr>
            <w:tcW w:w="2126" w:type="dxa"/>
            <w:gridSpan w:val="3"/>
          </w:tcPr>
          <w:p w:rsidR="00271CAB" w:rsidRDefault="00271CAB">
            <w:pPr>
              <w:tabs>
                <w:tab w:val="left" w:pos="5670"/>
              </w:tabs>
              <w:rPr>
                <w:rFonts w:ascii="Arial" w:hAnsi="Arial"/>
                <w:b/>
                <w:sz w:val="18"/>
                <w:lang w:val="fr-BE"/>
              </w:rPr>
            </w:pPr>
            <w:bookmarkStart w:id="8" w:name="Delivery"/>
            <w:bookmarkEnd w:id="8"/>
          </w:p>
        </w:tc>
        <w:tc>
          <w:tcPr>
            <w:tcW w:w="2127" w:type="dxa"/>
          </w:tcPr>
          <w:p w:rsidR="00271CAB" w:rsidRDefault="00271CAB">
            <w:pPr>
              <w:tabs>
                <w:tab w:val="left" w:pos="5670"/>
              </w:tabs>
              <w:rPr>
                <w:rFonts w:ascii="Arial" w:hAnsi="Arial"/>
                <w:sz w:val="18"/>
                <w:lang w:val="fr-BE"/>
              </w:rPr>
            </w:pPr>
            <w:bookmarkStart w:id="9" w:name="datum"/>
            <w:bookmarkEnd w:id="9"/>
          </w:p>
        </w:tc>
      </w:tr>
      <w:tr w:rsidR="00271CAB" w:rsidRPr="004139DB" w:rsidTr="0044302E">
        <w:trPr>
          <w:gridBefore w:val="2"/>
          <w:gridAfter w:val="2"/>
          <w:wBefore w:w="567" w:type="dxa"/>
          <w:wAfter w:w="567" w:type="dxa"/>
          <w:cantSplit/>
          <w:trHeight w:hRule="exact" w:val="240"/>
        </w:trPr>
        <w:tc>
          <w:tcPr>
            <w:tcW w:w="4395" w:type="dxa"/>
            <w:gridSpan w:val="7"/>
          </w:tcPr>
          <w:p w:rsidR="00271CAB" w:rsidRDefault="00297667">
            <w:pPr>
              <w:rPr>
                <w:rFonts w:ascii="Arial" w:hAnsi="Arial"/>
                <w:sz w:val="18"/>
                <w:lang w:val="fr-BE"/>
              </w:rPr>
            </w:pPr>
            <w:bookmarkStart w:id="10" w:name="Titel"/>
            <w:bookmarkEnd w:id="10"/>
            <w:r>
              <w:rPr>
                <w:rFonts w:ascii="Arial" w:hAnsi="Arial"/>
                <w:sz w:val="18"/>
                <w:lang w:val="fr-BE"/>
              </w:rPr>
              <w:t>Conseiller</w:t>
            </w:r>
          </w:p>
        </w:tc>
        <w:tc>
          <w:tcPr>
            <w:tcW w:w="4253" w:type="dxa"/>
            <w:gridSpan w:val="4"/>
          </w:tcPr>
          <w:p w:rsidR="00271CAB" w:rsidRDefault="00271CAB">
            <w:pPr>
              <w:tabs>
                <w:tab w:val="left" w:pos="5670"/>
              </w:tabs>
              <w:rPr>
                <w:rFonts w:ascii="Arial" w:hAnsi="Arial"/>
                <w:sz w:val="18"/>
                <w:lang w:val="fr-BE"/>
              </w:rPr>
            </w:pPr>
          </w:p>
        </w:tc>
      </w:tr>
      <w:tr w:rsidR="00271CAB" w:rsidRPr="004139DB" w:rsidTr="0044302E">
        <w:trPr>
          <w:gridBefore w:val="2"/>
          <w:gridAfter w:val="2"/>
          <w:wBefore w:w="567" w:type="dxa"/>
          <w:wAfter w:w="567" w:type="dxa"/>
          <w:cantSplit/>
          <w:trHeight w:hRule="exact" w:val="240"/>
        </w:trPr>
        <w:tc>
          <w:tcPr>
            <w:tcW w:w="567" w:type="dxa"/>
          </w:tcPr>
          <w:p w:rsidR="00271CAB" w:rsidRDefault="00271CAB">
            <w:pPr>
              <w:tabs>
                <w:tab w:val="left" w:pos="5670"/>
              </w:tabs>
              <w:rPr>
                <w:rFonts w:ascii="Arial" w:hAnsi="Arial"/>
                <w:sz w:val="18"/>
                <w:lang w:val="fr-BE"/>
              </w:rPr>
            </w:pPr>
            <w:r>
              <w:rPr>
                <w:rFonts w:ascii="Arial" w:hAnsi="Arial"/>
                <w:b/>
                <w:sz w:val="18"/>
                <w:lang w:val="fr-BE"/>
              </w:rPr>
              <w:t xml:space="preserve">Tél: </w:t>
            </w:r>
          </w:p>
        </w:tc>
        <w:tc>
          <w:tcPr>
            <w:tcW w:w="1701" w:type="dxa"/>
            <w:gridSpan w:val="4"/>
          </w:tcPr>
          <w:p w:rsidR="00271CAB" w:rsidRDefault="00271CAB" w:rsidP="00297667">
            <w:pPr>
              <w:tabs>
                <w:tab w:val="left" w:pos="5670"/>
              </w:tabs>
              <w:rPr>
                <w:rFonts w:ascii="Arial" w:hAnsi="Arial"/>
                <w:sz w:val="18"/>
                <w:lang w:val="fr-BE"/>
              </w:rPr>
            </w:pPr>
            <w:bookmarkStart w:id="11" w:name="Telefoon"/>
            <w:bookmarkEnd w:id="11"/>
            <w:r>
              <w:rPr>
                <w:rFonts w:ascii="Arial" w:hAnsi="Arial"/>
                <w:sz w:val="18"/>
                <w:lang w:val="fr-BE"/>
              </w:rPr>
              <w:t>02/739 7</w:t>
            </w:r>
            <w:r w:rsidR="00297667">
              <w:rPr>
                <w:rFonts w:ascii="Arial" w:hAnsi="Arial"/>
                <w:sz w:val="18"/>
                <w:lang w:val="fr-BE"/>
              </w:rPr>
              <w:t>1</w:t>
            </w:r>
            <w:r>
              <w:rPr>
                <w:rFonts w:ascii="Arial" w:hAnsi="Arial"/>
                <w:sz w:val="18"/>
                <w:lang w:val="fr-BE"/>
              </w:rPr>
              <w:t xml:space="preserve"> </w:t>
            </w:r>
            <w:r w:rsidR="00297667">
              <w:rPr>
                <w:rFonts w:ascii="Arial" w:hAnsi="Arial"/>
                <w:sz w:val="18"/>
                <w:lang w:val="fr-BE"/>
              </w:rPr>
              <w:t>44</w:t>
            </w:r>
          </w:p>
        </w:tc>
        <w:tc>
          <w:tcPr>
            <w:tcW w:w="709" w:type="dxa"/>
          </w:tcPr>
          <w:p w:rsidR="00271CAB" w:rsidRDefault="00271CAB">
            <w:pPr>
              <w:pStyle w:val="Titre2"/>
              <w:rPr>
                <w:b w:val="0"/>
                <w:lang w:val="fr-BE"/>
              </w:rPr>
            </w:pPr>
            <w:r>
              <w:rPr>
                <w:lang w:val="fr-BE"/>
              </w:rPr>
              <w:t xml:space="preserve">Fax: </w:t>
            </w:r>
          </w:p>
        </w:tc>
        <w:tc>
          <w:tcPr>
            <w:tcW w:w="1418" w:type="dxa"/>
          </w:tcPr>
          <w:p w:rsidR="00271CAB" w:rsidRDefault="00271CAB">
            <w:pPr>
              <w:pStyle w:val="Titre2"/>
              <w:rPr>
                <w:b w:val="0"/>
                <w:lang w:val="fr-BE"/>
              </w:rPr>
            </w:pPr>
            <w:r>
              <w:rPr>
                <w:b w:val="0"/>
                <w:lang w:val="fr-BE"/>
              </w:rPr>
              <w:t>02/739 77 11</w:t>
            </w:r>
          </w:p>
        </w:tc>
        <w:tc>
          <w:tcPr>
            <w:tcW w:w="1666" w:type="dxa"/>
            <w:gridSpan w:val="2"/>
          </w:tcPr>
          <w:p w:rsidR="00271CAB" w:rsidRDefault="00271CAB">
            <w:pPr>
              <w:tabs>
                <w:tab w:val="left" w:pos="5670"/>
              </w:tabs>
              <w:rPr>
                <w:rFonts w:ascii="Arial" w:hAnsi="Arial"/>
                <w:sz w:val="18"/>
                <w:lang w:val="fr-BE"/>
              </w:rPr>
            </w:pPr>
          </w:p>
        </w:tc>
        <w:tc>
          <w:tcPr>
            <w:tcW w:w="2587" w:type="dxa"/>
            <w:gridSpan w:val="2"/>
          </w:tcPr>
          <w:p w:rsidR="00271CAB" w:rsidRDefault="00271CAB">
            <w:pPr>
              <w:tabs>
                <w:tab w:val="left" w:pos="5670"/>
              </w:tabs>
              <w:rPr>
                <w:rFonts w:ascii="Arial" w:hAnsi="Arial"/>
                <w:sz w:val="18"/>
                <w:lang w:val="fr-BE"/>
              </w:rPr>
            </w:pPr>
            <w:bookmarkStart w:id="12" w:name="uw_ref"/>
            <w:bookmarkEnd w:id="12"/>
          </w:p>
        </w:tc>
      </w:tr>
      <w:tr w:rsidR="00271CAB" w:rsidRPr="004139DB" w:rsidTr="0044302E">
        <w:trPr>
          <w:gridBefore w:val="2"/>
          <w:gridAfter w:val="2"/>
          <w:wBefore w:w="567" w:type="dxa"/>
          <w:wAfter w:w="567" w:type="dxa"/>
          <w:cantSplit/>
          <w:trHeight w:hRule="exact" w:val="240"/>
        </w:trPr>
        <w:tc>
          <w:tcPr>
            <w:tcW w:w="851" w:type="dxa"/>
            <w:gridSpan w:val="2"/>
          </w:tcPr>
          <w:p w:rsidR="00271CAB" w:rsidRDefault="00271CAB">
            <w:pPr>
              <w:rPr>
                <w:rFonts w:ascii="Arial" w:hAnsi="Arial"/>
                <w:sz w:val="18"/>
                <w:lang w:val="fr-BE"/>
              </w:rPr>
            </w:pPr>
            <w:r>
              <w:rPr>
                <w:rFonts w:ascii="Arial" w:hAnsi="Arial"/>
                <w:b/>
                <w:sz w:val="18"/>
                <w:lang w:val="fr-BE"/>
              </w:rPr>
              <w:t xml:space="preserve">E-mail: </w:t>
            </w:r>
          </w:p>
        </w:tc>
        <w:tc>
          <w:tcPr>
            <w:tcW w:w="3544" w:type="dxa"/>
            <w:gridSpan w:val="5"/>
          </w:tcPr>
          <w:p w:rsidR="00271CAB" w:rsidRDefault="00297667" w:rsidP="00297667">
            <w:pPr>
              <w:rPr>
                <w:rFonts w:ascii="Arial" w:hAnsi="Arial"/>
                <w:sz w:val="18"/>
                <w:lang w:val="fr-BE"/>
              </w:rPr>
            </w:pPr>
            <w:bookmarkStart w:id="13" w:name="Email"/>
            <w:bookmarkEnd w:id="13"/>
            <w:r>
              <w:rPr>
                <w:rFonts w:ascii="Arial" w:hAnsi="Arial"/>
                <w:sz w:val="18"/>
                <w:lang w:val="fr-BE"/>
              </w:rPr>
              <w:t>yoeriska</w:t>
            </w:r>
            <w:r w:rsidR="00271CAB">
              <w:rPr>
                <w:rFonts w:ascii="Arial" w:hAnsi="Arial"/>
                <w:sz w:val="18"/>
                <w:lang w:val="fr-BE"/>
              </w:rPr>
              <w:t>.</w:t>
            </w:r>
            <w:r w:rsidR="00877434">
              <w:rPr>
                <w:rFonts w:ascii="Arial" w:hAnsi="Arial"/>
                <w:sz w:val="18"/>
                <w:lang w:val="fr-BE"/>
              </w:rPr>
              <w:t>a</w:t>
            </w:r>
            <w:r>
              <w:rPr>
                <w:rFonts w:ascii="Arial" w:hAnsi="Arial"/>
                <w:sz w:val="18"/>
                <w:lang w:val="fr-BE"/>
              </w:rPr>
              <w:t>ntonissen</w:t>
            </w:r>
            <w:r w:rsidR="00271CAB">
              <w:rPr>
                <w:rFonts w:ascii="Arial" w:hAnsi="Arial"/>
                <w:sz w:val="18"/>
                <w:lang w:val="fr-BE"/>
              </w:rPr>
              <w:t>@</w:t>
            </w:r>
            <w:r>
              <w:rPr>
                <w:rFonts w:ascii="Arial" w:hAnsi="Arial"/>
                <w:sz w:val="18"/>
                <w:lang w:val="fr-BE"/>
              </w:rPr>
              <w:t>riziv</w:t>
            </w:r>
            <w:r w:rsidR="00271CAB">
              <w:rPr>
                <w:rFonts w:ascii="Arial" w:hAnsi="Arial"/>
                <w:sz w:val="18"/>
                <w:lang w:val="fr-BE"/>
              </w:rPr>
              <w:t>.fgov.be</w:t>
            </w:r>
          </w:p>
        </w:tc>
        <w:tc>
          <w:tcPr>
            <w:tcW w:w="4253" w:type="dxa"/>
            <w:gridSpan w:val="4"/>
          </w:tcPr>
          <w:p w:rsidR="00271CAB" w:rsidRDefault="00877434">
            <w:pPr>
              <w:tabs>
                <w:tab w:val="left" w:pos="5670"/>
              </w:tabs>
              <w:rPr>
                <w:rFonts w:ascii="Arial" w:hAnsi="Arial"/>
                <w:sz w:val="18"/>
                <w:lang w:val="fr-BE"/>
              </w:rPr>
            </w:pPr>
            <w:r>
              <w:rPr>
                <w:rFonts w:ascii="Arial" w:hAnsi="Arial"/>
                <w:sz w:val="18"/>
                <w:lang w:val="fr-BE"/>
              </w:rPr>
              <w:t>nele.dhaeze@riziv.fgov.be</w:t>
            </w:r>
          </w:p>
        </w:tc>
      </w:tr>
      <w:tr w:rsidR="00E4026C" w:rsidTr="0044302E">
        <w:trPr>
          <w:gridBefore w:val="2"/>
          <w:gridAfter w:val="2"/>
          <w:wBefore w:w="567" w:type="dxa"/>
          <w:wAfter w:w="567" w:type="dxa"/>
          <w:cantSplit/>
          <w:trHeight w:hRule="exact" w:val="240"/>
        </w:trPr>
        <w:tc>
          <w:tcPr>
            <w:tcW w:w="1677" w:type="dxa"/>
            <w:gridSpan w:val="4"/>
          </w:tcPr>
          <w:p w:rsidR="00E4026C" w:rsidRDefault="00E4026C">
            <w:pPr>
              <w:tabs>
                <w:tab w:val="left" w:pos="5670"/>
              </w:tabs>
              <w:rPr>
                <w:rFonts w:ascii="Arial" w:hAnsi="Arial"/>
                <w:sz w:val="18"/>
                <w:lang w:val="fr-BE"/>
              </w:rPr>
            </w:pPr>
            <w:r>
              <w:rPr>
                <w:rFonts w:ascii="Arial" w:hAnsi="Arial"/>
                <w:b/>
                <w:sz w:val="18"/>
                <w:lang w:val="fr-BE"/>
              </w:rPr>
              <w:t>Nos références:</w:t>
            </w:r>
          </w:p>
        </w:tc>
        <w:tc>
          <w:tcPr>
            <w:tcW w:w="2718" w:type="dxa"/>
            <w:gridSpan w:val="3"/>
          </w:tcPr>
          <w:p w:rsidR="00E4026C" w:rsidRDefault="00E4026C" w:rsidP="00297667">
            <w:pPr>
              <w:tabs>
                <w:tab w:val="left" w:pos="5670"/>
              </w:tabs>
              <w:rPr>
                <w:rFonts w:ascii="Arial" w:hAnsi="Arial"/>
                <w:sz w:val="18"/>
                <w:lang w:val="fr-BE"/>
              </w:rPr>
            </w:pPr>
            <w:bookmarkStart w:id="14" w:name="onze_ref"/>
            <w:bookmarkEnd w:id="14"/>
            <w:r>
              <w:rPr>
                <w:rFonts w:ascii="Arial" w:hAnsi="Arial"/>
                <w:sz w:val="18"/>
                <w:lang w:val="fr-BE"/>
              </w:rPr>
              <w:t>Circ-hop-20</w:t>
            </w:r>
            <w:r w:rsidR="000A3652">
              <w:rPr>
                <w:rFonts w:ascii="Arial" w:hAnsi="Arial"/>
                <w:sz w:val="18"/>
                <w:lang w:val="fr-BE"/>
              </w:rPr>
              <w:t>1</w:t>
            </w:r>
            <w:r w:rsidR="00297667">
              <w:rPr>
                <w:rFonts w:ascii="Arial" w:hAnsi="Arial"/>
                <w:sz w:val="18"/>
                <w:lang w:val="fr-BE"/>
              </w:rPr>
              <w:t>6</w:t>
            </w:r>
            <w:r>
              <w:rPr>
                <w:rFonts w:ascii="Arial" w:hAnsi="Arial"/>
                <w:sz w:val="18"/>
                <w:lang w:val="fr-BE"/>
              </w:rPr>
              <w:t>-</w:t>
            </w:r>
            <w:r w:rsidR="004139DB">
              <w:rPr>
                <w:rFonts w:ascii="Arial" w:hAnsi="Arial"/>
                <w:sz w:val="18"/>
                <w:lang w:val="fr-BE"/>
              </w:rPr>
              <w:t>10</w:t>
            </w:r>
          </w:p>
        </w:tc>
        <w:tc>
          <w:tcPr>
            <w:tcW w:w="4253" w:type="dxa"/>
            <w:gridSpan w:val="4"/>
          </w:tcPr>
          <w:p w:rsidR="00E4026C" w:rsidRDefault="00E4026C" w:rsidP="00EE431D">
            <w:pPr>
              <w:pStyle w:val="Titre2"/>
              <w:rPr>
                <w:b w:val="0"/>
                <w:lang w:val="fr-BE"/>
              </w:rPr>
            </w:pPr>
            <w:bookmarkStart w:id="15" w:name="B"/>
            <w:bookmarkEnd w:id="15"/>
            <w:r>
              <w:rPr>
                <w:lang w:val="fr-BE"/>
              </w:rPr>
              <w:t xml:space="preserve">Bruxelles, </w:t>
            </w:r>
            <w:r w:rsidR="004139DB">
              <w:rPr>
                <w:lang w:val="fr-BE"/>
              </w:rPr>
              <w:t xml:space="preserve"> 28/09/2016</w:t>
            </w:r>
          </w:p>
        </w:tc>
      </w:tr>
    </w:tbl>
    <w:p w:rsidR="00DB53BF" w:rsidRDefault="00DB53BF">
      <w:pPr>
        <w:tabs>
          <w:tab w:val="left" w:pos="5670"/>
        </w:tabs>
        <w:ind w:left="-142"/>
        <w:rPr>
          <w:rFonts w:ascii="Arial" w:hAnsi="Arial"/>
          <w:lang w:val="fr-BE"/>
        </w:rPr>
      </w:pPr>
    </w:p>
    <w:p w:rsidR="00877434" w:rsidRDefault="00877434">
      <w:pPr>
        <w:tabs>
          <w:tab w:val="left" w:pos="5670"/>
        </w:tabs>
        <w:ind w:left="-142"/>
        <w:rPr>
          <w:rFonts w:ascii="Arial" w:hAnsi="Arial"/>
          <w:lang w:val="fr-BE"/>
        </w:rPr>
      </w:pPr>
    </w:p>
    <w:p w:rsidR="00877434" w:rsidRDefault="00877434" w:rsidP="00877434">
      <w:pPr>
        <w:pStyle w:val="Corpsdetexte"/>
        <w:jc w:val="both"/>
        <w:rPr>
          <w:rFonts w:asciiTheme="minorHAnsi" w:hAnsiTheme="minorHAnsi" w:cstheme="minorHAnsi"/>
          <w:szCs w:val="22"/>
        </w:rPr>
      </w:pPr>
    </w:p>
    <w:p w:rsidR="00297667" w:rsidRPr="009C298B" w:rsidRDefault="00297667" w:rsidP="00877434">
      <w:pPr>
        <w:pStyle w:val="Corpsdetexte"/>
        <w:jc w:val="both"/>
        <w:rPr>
          <w:rFonts w:asciiTheme="minorHAnsi" w:hAnsiTheme="minorHAnsi" w:cstheme="minorHAnsi"/>
          <w:b w:val="0"/>
          <w:szCs w:val="22"/>
        </w:rPr>
      </w:pPr>
      <w:r w:rsidRPr="009C298B">
        <w:rPr>
          <w:rFonts w:asciiTheme="minorHAnsi" w:hAnsiTheme="minorHAnsi" w:cstheme="minorHAnsi"/>
          <w:szCs w:val="22"/>
        </w:rPr>
        <w:t>Concerne: Application du chapitre IV (et IVbis) en milieu hospitalier pour le remboursement de spécialités pharmaceutiques</w:t>
      </w:r>
      <w:r w:rsidR="008E017B">
        <w:rPr>
          <w:rFonts w:asciiTheme="minorHAnsi" w:hAnsiTheme="minorHAnsi" w:cstheme="minorHAnsi"/>
          <w:szCs w:val="22"/>
        </w:rPr>
        <w:t xml:space="preserve"> </w:t>
      </w:r>
      <w:r w:rsidR="008E017B" w:rsidRPr="008E017B">
        <w:rPr>
          <w:rFonts w:asciiTheme="minorHAnsi" w:hAnsiTheme="minorHAnsi" w:cstheme="minorHAnsi"/>
          <w:sz w:val="22"/>
          <w:szCs w:val="22"/>
          <w:highlight w:val="yellow"/>
        </w:rPr>
        <w:t>(formulation adaptée du point 2)</w:t>
      </w:r>
    </w:p>
    <w:p w:rsidR="00297667" w:rsidRDefault="00297667" w:rsidP="00877434">
      <w:pPr>
        <w:pStyle w:val="Corpsdetexte"/>
        <w:ind w:left="567"/>
        <w:jc w:val="both"/>
        <w:rPr>
          <w:rFonts w:asciiTheme="minorHAnsi" w:hAnsiTheme="minorHAnsi" w:cstheme="minorHAnsi"/>
          <w:b w:val="0"/>
          <w:szCs w:val="22"/>
        </w:rPr>
      </w:pPr>
    </w:p>
    <w:p w:rsidR="00877434" w:rsidRPr="009C298B" w:rsidRDefault="00877434" w:rsidP="00877434">
      <w:pPr>
        <w:pStyle w:val="Corpsdetexte"/>
        <w:ind w:left="567"/>
        <w:jc w:val="both"/>
        <w:rPr>
          <w:rFonts w:asciiTheme="minorHAnsi" w:hAnsiTheme="minorHAnsi" w:cstheme="minorHAnsi"/>
          <w:b w:val="0"/>
          <w:szCs w:val="22"/>
        </w:rPr>
      </w:pPr>
    </w:p>
    <w:p w:rsidR="00297667" w:rsidRDefault="00297667" w:rsidP="00877434">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Ce circulaire remplace la circulaire N° 82/171 et est d’application à partir du 1</w:t>
      </w:r>
      <w:r w:rsidRPr="00877434">
        <w:rPr>
          <w:rFonts w:asciiTheme="minorHAnsi" w:hAnsiTheme="minorHAnsi" w:cstheme="minorHAnsi"/>
          <w:sz w:val="22"/>
          <w:szCs w:val="22"/>
          <w:lang w:val="fr-BE"/>
        </w:rPr>
        <w:t>er</w:t>
      </w:r>
      <w:r w:rsidRPr="009C298B">
        <w:rPr>
          <w:rFonts w:asciiTheme="minorHAnsi" w:hAnsiTheme="minorHAnsi" w:cstheme="minorHAnsi"/>
          <w:sz w:val="22"/>
          <w:szCs w:val="22"/>
          <w:lang w:val="fr-BE"/>
        </w:rPr>
        <w:t xml:space="preserve"> août  2016.</w:t>
      </w:r>
    </w:p>
    <w:p w:rsidR="00877434" w:rsidRPr="009C298B" w:rsidRDefault="00877434" w:rsidP="00877434">
      <w:pPr>
        <w:jc w:val="both"/>
        <w:rPr>
          <w:rFonts w:asciiTheme="minorHAnsi" w:hAnsiTheme="minorHAnsi" w:cstheme="minorHAnsi"/>
          <w:sz w:val="22"/>
          <w:szCs w:val="22"/>
          <w:lang w:val="fr-BE"/>
        </w:rPr>
      </w:pPr>
    </w:p>
    <w:p w:rsidR="00297667" w:rsidRDefault="00297667" w:rsidP="00877434">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Les dispositions suivantes s’appliquent a</w:t>
      </w:r>
      <w:bookmarkStart w:id="16" w:name="_GoBack"/>
      <w:bookmarkEnd w:id="16"/>
      <w:r w:rsidRPr="009C298B">
        <w:rPr>
          <w:rFonts w:asciiTheme="minorHAnsi" w:hAnsiTheme="minorHAnsi" w:cstheme="minorHAnsi"/>
          <w:sz w:val="22"/>
          <w:szCs w:val="22"/>
          <w:lang w:val="fr-BE"/>
        </w:rPr>
        <w:t>ux médicaments inscrits au chapitre IV (et IVbis) de la liste des spécialités pharmaceutiques remboursables  (il s’agit de l’annexe I de l’arrêté royal du 21 décembre 2001 fixant les procédures, délais et conditions en matière d’intervention de l'assurance obligatoire soins de santé et indemnités dans le coût des spécialités pharmaceutiques):</w:t>
      </w:r>
    </w:p>
    <w:p w:rsidR="00877434" w:rsidRPr="009C298B" w:rsidRDefault="00877434" w:rsidP="00877434">
      <w:pPr>
        <w:jc w:val="both"/>
        <w:rPr>
          <w:rFonts w:asciiTheme="minorHAnsi" w:hAnsiTheme="minorHAnsi" w:cstheme="minorHAnsi"/>
          <w:sz w:val="22"/>
          <w:szCs w:val="22"/>
          <w:lang w:val="fr-BE"/>
        </w:rPr>
      </w:pPr>
    </w:p>
    <w:p w:rsidR="00297667" w:rsidRPr="009C298B" w:rsidRDefault="00297667" w:rsidP="00877434">
      <w:pPr>
        <w:ind w:left="567" w:hanging="567"/>
        <w:jc w:val="both"/>
        <w:rPr>
          <w:rFonts w:asciiTheme="minorHAnsi" w:hAnsiTheme="minorHAnsi" w:cstheme="minorHAnsi"/>
          <w:b/>
          <w:sz w:val="22"/>
          <w:szCs w:val="22"/>
          <w:lang w:val="fr-BE"/>
        </w:rPr>
      </w:pPr>
      <w:r w:rsidRPr="009C298B">
        <w:rPr>
          <w:rFonts w:asciiTheme="minorHAnsi" w:hAnsiTheme="minorHAnsi" w:cstheme="minorHAnsi"/>
          <w:b/>
          <w:sz w:val="22"/>
          <w:szCs w:val="22"/>
          <w:lang w:val="fr-BE"/>
        </w:rPr>
        <w:t>1 – Autorisations préalables:</w:t>
      </w:r>
    </w:p>
    <w:p w:rsidR="00297667" w:rsidRPr="009C298B" w:rsidRDefault="00297667" w:rsidP="0044302E">
      <w:pPr>
        <w:ind w:hanging="567"/>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Lorsque des spécialités sont prescrites à des patients traités dans un hôpital et délivrées par le pharmacien hospitalier, qu’il s’agisse de 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p w:rsidR="00297667" w:rsidRPr="009C298B" w:rsidRDefault="00297667" w:rsidP="0044302E">
      <w:pPr>
        <w:pStyle w:val="Paragraphedeliste"/>
        <w:ind w:left="357" w:hanging="567"/>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Si dans les conditions de remboursement il est mentionné spécifiquement qu’une autorisation préalable du médecin-conseil est requise, une (nouvelle) demande d’autorisation n’est requise que lorsque le patient ne dispose pas (encore) d’une autorisation (encore) valable.</w:t>
      </w:r>
    </w:p>
    <w:p w:rsidR="00297667" w:rsidRDefault="00297667" w:rsidP="0044302E">
      <w:pPr>
        <w:pStyle w:val="Paragraphedeliste"/>
        <w:ind w:left="357" w:hanging="567"/>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Lorsque des spécialités visées à l’article 95, § 3, de l’arrêté royal du 21 décembre 2001 (ce sont les médicaments « forfaitarisés »), sont prescrites à des bénéficiaires hospitalisés conformément aux dispositions prévues par cet article, il est présumé de façon irréfragable que le bénéficiaire concerné satisfait aux conditions de remboursement prévues dans la liste, et l’autorisation du médecin-conseil n’est par conséquent pas requise.</w:t>
      </w:r>
    </w:p>
    <w:p w:rsidR="00297667" w:rsidRPr="009C298B" w:rsidRDefault="00297667" w:rsidP="0044302E">
      <w:pPr>
        <w:ind w:hanging="567"/>
        <w:jc w:val="both"/>
        <w:rPr>
          <w:rFonts w:asciiTheme="minorHAnsi" w:hAnsiTheme="minorHAnsi" w:cstheme="minorHAnsi"/>
          <w:color w:val="FF0000"/>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p w:rsidR="00297667" w:rsidRPr="009C298B" w:rsidRDefault="00297667" w:rsidP="00877434">
      <w:pPr>
        <w:pStyle w:val="Paragraphedeliste"/>
        <w:ind w:left="567"/>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Déviation au point 4: Pour les médicaments orphelins, les éléments de preuve doivent toujours être mis à disposition du médecin-conseil, en application de la procédure visée aux articles 7, 8, 9 de l’arrêté royal du 8 juillet 2004 relatif au remboursement des médicaments orphelins.</w:t>
      </w:r>
    </w:p>
    <w:p w:rsidR="00297667" w:rsidRPr="009C298B" w:rsidRDefault="00297667" w:rsidP="00877434">
      <w:pPr>
        <w:pStyle w:val="Paragraphedeliste"/>
        <w:ind w:left="567"/>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Une copie de l’autorisation ne doit pas être jointe aux fichiers de facturation. Les contrôles effectués par les organismes assureurs peuvent se faire sur base de la banque de données « Accords » (MyCareNet).</w:t>
      </w:r>
    </w:p>
    <w:p w:rsidR="00297667" w:rsidRPr="009C298B" w:rsidRDefault="00297667" w:rsidP="00297667">
      <w:pPr>
        <w:pStyle w:val="Paragraphedeliste"/>
        <w:jc w:val="both"/>
        <w:rPr>
          <w:rFonts w:asciiTheme="minorHAnsi" w:hAnsiTheme="minorHAnsi" w:cstheme="minorHAnsi"/>
          <w:sz w:val="22"/>
          <w:szCs w:val="22"/>
          <w:lang w:val="fr-BE"/>
        </w:rPr>
      </w:pPr>
    </w:p>
    <w:p w:rsidR="00297667" w:rsidRPr="009C298B" w:rsidRDefault="00297667" w:rsidP="00877434">
      <w:pPr>
        <w:pStyle w:val="Paragraphedeliste"/>
        <w:numPr>
          <w:ilvl w:val="0"/>
          <w:numId w:val="5"/>
        </w:numPr>
        <w:ind w:left="567" w:hanging="567"/>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Si une autorisation préalable est requise pour la continuation du traitement après l’hospitalisation, et d’autant plus</w:t>
      </w:r>
      <w:r w:rsidRPr="00877434">
        <w:rPr>
          <w:rFonts w:asciiTheme="minorHAnsi" w:hAnsiTheme="minorHAnsi" w:cstheme="minorHAnsi"/>
          <w:sz w:val="22"/>
          <w:szCs w:val="22"/>
          <w:lang w:val="fr-BE"/>
        </w:rPr>
        <w:t xml:space="preserve"> </w:t>
      </w:r>
      <w:r w:rsidRPr="009C298B">
        <w:rPr>
          <w:rFonts w:asciiTheme="minorHAnsi" w:hAnsiTheme="minorHAnsi" w:cstheme="minorHAnsi"/>
          <w:sz w:val="22"/>
          <w:szCs w:val="22"/>
          <w:lang w:val="fr-BE"/>
        </w:rPr>
        <w:t>si cette demande d’autorisation doit être faite par un spécialiste, le prescripteur qui démarre le traitement en milieu hospitalier, s’engage à introduire la demande d’autorisation préalable avant la fin de l’hospitalisation.</w:t>
      </w:r>
    </w:p>
    <w:p w:rsidR="00297667" w:rsidRDefault="00297667" w:rsidP="00877434">
      <w:pPr>
        <w:pStyle w:val="Paragraphedeliste"/>
        <w:ind w:left="567"/>
        <w:jc w:val="both"/>
        <w:rPr>
          <w:rFonts w:asciiTheme="minorHAnsi" w:hAnsiTheme="minorHAnsi" w:cstheme="minorHAnsi"/>
          <w:sz w:val="22"/>
          <w:szCs w:val="22"/>
          <w:lang w:val="fr-BE"/>
        </w:rPr>
      </w:pPr>
    </w:p>
    <w:p w:rsidR="00877434" w:rsidRPr="009C298B" w:rsidRDefault="00877434" w:rsidP="00877434">
      <w:pPr>
        <w:pStyle w:val="Paragraphedeliste"/>
        <w:ind w:left="567"/>
        <w:jc w:val="both"/>
        <w:rPr>
          <w:rFonts w:asciiTheme="minorHAnsi" w:hAnsiTheme="minorHAnsi" w:cstheme="minorHAnsi"/>
          <w:sz w:val="22"/>
          <w:szCs w:val="22"/>
          <w:lang w:val="fr-BE"/>
        </w:rPr>
      </w:pPr>
    </w:p>
    <w:p w:rsidR="00297667" w:rsidRPr="009C298B" w:rsidRDefault="00297667" w:rsidP="00297667">
      <w:pPr>
        <w:ind w:left="340" w:hanging="340"/>
        <w:jc w:val="both"/>
        <w:rPr>
          <w:rFonts w:asciiTheme="minorHAnsi" w:hAnsiTheme="minorHAnsi" w:cstheme="minorHAnsi"/>
          <w:b/>
          <w:sz w:val="22"/>
          <w:szCs w:val="22"/>
          <w:lang w:val="fr-BE"/>
        </w:rPr>
      </w:pPr>
      <w:r w:rsidRPr="009C298B">
        <w:rPr>
          <w:rFonts w:asciiTheme="minorHAnsi" w:hAnsiTheme="minorHAnsi" w:cstheme="minorHAnsi"/>
          <w:b/>
          <w:sz w:val="22"/>
          <w:szCs w:val="22"/>
          <w:lang w:val="fr-BE"/>
        </w:rPr>
        <w:t>2 – Facturation au patient des médicaments du chapitre IV (ou IVbis) délivrés par le pharmacien hospitalier:</w:t>
      </w:r>
    </w:p>
    <w:p w:rsidR="00297667" w:rsidRPr="009C298B" w:rsidRDefault="00297667" w:rsidP="00297667">
      <w:pPr>
        <w:jc w:val="both"/>
        <w:rPr>
          <w:rFonts w:asciiTheme="minorHAnsi" w:hAnsiTheme="minorHAnsi" w:cstheme="minorHAnsi"/>
          <w:sz w:val="22"/>
          <w:szCs w:val="22"/>
          <w:lang w:val="fr-BE"/>
        </w:rPr>
      </w:pPr>
    </w:p>
    <w:p w:rsidR="00442311" w:rsidRPr="00442311" w:rsidRDefault="00442311" w:rsidP="00442311">
      <w:pPr>
        <w:pStyle w:val="Paragraphedeliste"/>
        <w:numPr>
          <w:ilvl w:val="0"/>
          <w:numId w:val="12"/>
        </w:numPr>
        <w:ind w:left="714" w:hanging="357"/>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Lorsque le médicament est inscrit au chapitre IV (ou IVbis) de la liste des spécialités pharmaceutiques remboursables et il s’agit d’un:</w:t>
      </w:r>
    </w:p>
    <w:p w:rsidR="00442311" w:rsidRPr="00442311" w:rsidRDefault="00442311" w:rsidP="00442311">
      <w:pPr>
        <w:ind w:left="708"/>
        <w:jc w:val="both"/>
        <w:rPr>
          <w:rFonts w:asciiTheme="minorHAnsi" w:hAnsiTheme="minorHAnsi" w:cstheme="minorHAnsi"/>
          <w:sz w:val="22"/>
          <w:szCs w:val="22"/>
          <w:lang w:val="fr-BE"/>
        </w:rPr>
      </w:pPr>
    </w:p>
    <w:p w:rsidR="00442311" w:rsidRPr="00442311" w:rsidRDefault="00442311" w:rsidP="00442311">
      <w:pPr>
        <w:pStyle w:val="Paragraphedeliste"/>
        <w:numPr>
          <w:ilvl w:val="0"/>
          <w:numId w:val="10"/>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patient hospitalisé </w:t>
      </w:r>
      <w:r w:rsidRPr="00442311">
        <w:rPr>
          <w:rFonts w:asciiTheme="minorHAnsi" w:hAnsiTheme="minorHAnsi" w:cstheme="minorHAnsi"/>
          <w:sz w:val="22"/>
          <w:szCs w:val="22"/>
          <w:vertAlign w:val="superscript"/>
          <w:lang w:val="fr-BE"/>
        </w:rPr>
        <w:t>(1)</w:t>
      </w:r>
      <w:r w:rsidRPr="00442311">
        <w:rPr>
          <w:rFonts w:asciiTheme="minorHAnsi" w:hAnsiTheme="minorHAnsi" w:cstheme="minorHAnsi"/>
          <w:sz w:val="22"/>
          <w:szCs w:val="22"/>
          <w:lang w:val="fr-BE"/>
        </w:rPr>
        <w:t> :</w:t>
      </w:r>
    </w:p>
    <w:p w:rsidR="00442311" w:rsidRPr="00442311" w:rsidRDefault="00442311" w:rsidP="00442311">
      <w:pPr>
        <w:jc w:val="both"/>
        <w:rPr>
          <w:rFonts w:asciiTheme="minorHAnsi" w:hAnsiTheme="minorHAnsi" w:cstheme="minorHAnsi"/>
          <w:sz w:val="22"/>
          <w:szCs w:val="22"/>
          <w:lang w:val="fr-BE"/>
        </w:rPr>
      </w:pPr>
    </w:p>
    <w:tbl>
      <w:tblPr>
        <w:tblStyle w:val="Grilledutableau"/>
        <w:tblW w:w="8470" w:type="dxa"/>
        <w:tblInd w:w="708" w:type="dxa"/>
        <w:tblLook w:val="04A0" w:firstRow="1" w:lastRow="0" w:firstColumn="1" w:lastColumn="0" w:noHBand="0" w:noVBand="1"/>
      </w:tblPr>
      <w:tblGrid>
        <w:gridCol w:w="4235"/>
        <w:gridCol w:w="4235"/>
      </w:tblGrid>
      <w:tr w:rsidR="00442311" w:rsidRPr="00442311" w:rsidTr="00CF13BC">
        <w:tc>
          <w:tcPr>
            <w:tcW w:w="4235"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Médicament « forfaitarisé » </w:t>
            </w:r>
            <w:r w:rsidRPr="00442311">
              <w:rPr>
                <w:rFonts w:asciiTheme="minorHAnsi" w:hAnsiTheme="minorHAnsi" w:cstheme="minorHAnsi"/>
                <w:sz w:val="22"/>
                <w:szCs w:val="22"/>
                <w:vertAlign w:val="superscript"/>
                <w:lang w:val="fr-BE"/>
              </w:rPr>
              <w:t>(2)</w:t>
            </w:r>
            <w:r w:rsidRPr="00442311">
              <w:rPr>
                <w:rFonts w:asciiTheme="minorHAnsi" w:hAnsiTheme="minorHAnsi" w:cstheme="minorHAnsi"/>
                <w:sz w:val="22"/>
                <w:szCs w:val="22"/>
                <w:lang w:val="fr-BE"/>
              </w:rPr>
              <w:t>:</w:t>
            </w:r>
          </w:p>
        </w:tc>
        <w:tc>
          <w:tcPr>
            <w:tcW w:w="4235"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Forfait de 0,62 euros/jour</w:t>
            </w:r>
          </w:p>
        </w:tc>
      </w:tr>
      <w:tr w:rsidR="00442311" w:rsidRPr="00442311" w:rsidTr="00CF13BC">
        <w:tc>
          <w:tcPr>
            <w:tcW w:w="4235"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Médicament « non-forfaitarisé » :</w:t>
            </w:r>
          </w:p>
        </w:tc>
        <w:tc>
          <w:tcPr>
            <w:tcW w:w="4235" w:type="dxa"/>
          </w:tcPr>
          <w:p w:rsidR="00442311" w:rsidRPr="00442311" w:rsidRDefault="00442311" w:rsidP="00CF13BC">
            <w:pPr>
              <w:jc w:val="both"/>
              <w:rPr>
                <w:rFonts w:asciiTheme="minorHAnsi" w:hAnsiTheme="minorHAnsi" w:cstheme="minorHAnsi"/>
                <w:strike/>
                <w:sz w:val="22"/>
                <w:szCs w:val="22"/>
                <w:lang w:val="fr-BE"/>
              </w:rPr>
            </w:pPr>
          </w:p>
        </w:tc>
      </w:tr>
      <w:tr w:rsidR="00442311" w:rsidRPr="00442311" w:rsidTr="00CF13BC">
        <w:tc>
          <w:tcPr>
            <w:tcW w:w="4235" w:type="dxa"/>
          </w:tcPr>
          <w:p w:rsidR="00442311" w:rsidRPr="00442311" w:rsidRDefault="00442311" w:rsidP="00442311">
            <w:pPr>
              <w:pStyle w:val="Paragraphedeliste"/>
              <w:numPr>
                <w:ilvl w:val="0"/>
                <w:numId w:val="11"/>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le patient répond aux conditions de remboursement  précisées dans le texte du paragraphe:</w:t>
            </w:r>
          </w:p>
        </w:tc>
        <w:tc>
          <w:tcPr>
            <w:tcW w:w="4235"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Forfait de 0,62 euros/jour</w:t>
            </w:r>
          </w:p>
        </w:tc>
      </w:tr>
      <w:tr w:rsidR="00442311" w:rsidRPr="00442311" w:rsidTr="00CF13BC">
        <w:tc>
          <w:tcPr>
            <w:tcW w:w="4235" w:type="dxa"/>
          </w:tcPr>
          <w:p w:rsidR="00442311" w:rsidRPr="00442311" w:rsidRDefault="00442311" w:rsidP="00442311">
            <w:pPr>
              <w:pStyle w:val="Paragraphedeliste"/>
              <w:numPr>
                <w:ilvl w:val="0"/>
                <w:numId w:val="11"/>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le patient ne répond pas aux conditions de remboursement  précisées dans le texte du paragraphe:</w:t>
            </w:r>
          </w:p>
        </w:tc>
        <w:tc>
          <w:tcPr>
            <w:tcW w:w="4235"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Voir le point b.</w:t>
            </w:r>
          </w:p>
        </w:tc>
      </w:tr>
    </w:tbl>
    <w:p w:rsidR="00442311" w:rsidRPr="00442311" w:rsidRDefault="00442311" w:rsidP="00442311">
      <w:pPr>
        <w:jc w:val="both"/>
        <w:rPr>
          <w:rFonts w:asciiTheme="minorHAnsi" w:hAnsiTheme="minorHAnsi" w:cstheme="minorHAnsi"/>
          <w:sz w:val="22"/>
          <w:szCs w:val="22"/>
          <w:lang w:val="fr-BE"/>
        </w:rPr>
      </w:pPr>
    </w:p>
    <w:p w:rsidR="00442311" w:rsidRPr="00442311" w:rsidRDefault="00442311" w:rsidP="00442311">
      <w:pPr>
        <w:pStyle w:val="Paragraphedeliste"/>
        <w:numPr>
          <w:ilvl w:val="0"/>
          <w:numId w:val="10"/>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patient non hospitalisé </w:t>
      </w:r>
      <w:r w:rsidRPr="00442311">
        <w:rPr>
          <w:rFonts w:asciiTheme="minorHAnsi" w:hAnsiTheme="minorHAnsi" w:cstheme="minorHAnsi"/>
          <w:sz w:val="22"/>
          <w:szCs w:val="22"/>
          <w:vertAlign w:val="superscript"/>
          <w:lang w:val="fr-BE"/>
        </w:rPr>
        <w:t>(3)</w:t>
      </w:r>
      <w:r w:rsidRPr="00442311">
        <w:rPr>
          <w:rFonts w:asciiTheme="minorHAnsi" w:hAnsiTheme="minorHAnsi" w:cstheme="minorHAnsi"/>
          <w:sz w:val="22"/>
          <w:szCs w:val="22"/>
          <w:lang w:val="fr-BE"/>
        </w:rPr>
        <w:t xml:space="preserve"> : </w:t>
      </w:r>
    </w:p>
    <w:p w:rsidR="00442311" w:rsidRPr="00442311" w:rsidRDefault="00442311" w:rsidP="00442311">
      <w:pPr>
        <w:jc w:val="both"/>
        <w:rPr>
          <w:rFonts w:asciiTheme="minorHAnsi" w:hAnsiTheme="minorHAnsi" w:cstheme="minorHAnsi"/>
          <w:sz w:val="22"/>
          <w:szCs w:val="22"/>
          <w:lang w:val="fr-BE"/>
        </w:rPr>
      </w:pPr>
    </w:p>
    <w:tbl>
      <w:tblPr>
        <w:tblStyle w:val="Grilledutableau"/>
        <w:tblW w:w="8472" w:type="dxa"/>
        <w:tblInd w:w="708" w:type="dxa"/>
        <w:tblLook w:val="04A0" w:firstRow="1" w:lastRow="0" w:firstColumn="1" w:lastColumn="0" w:noHBand="0" w:noVBand="1"/>
      </w:tblPr>
      <w:tblGrid>
        <w:gridCol w:w="4236"/>
        <w:gridCol w:w="4236"/>
      </w:tblGrid>
      <w:tr w:rsidR="00442311" w:rsidRPr="004139DB" w:rsidTr="00442311">
        <w:tc>
          <w:tcPr>
            <w:tcW w:w="4236"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Le patient répond aux conditions de remboursement précisées dans le texte du paragraphe:</w:t>
            </w:r>
          </w:p>
        </w:tc>
        <w:tc>
          <w:tcPr>
            <w:tcW w:w="4236"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Système du tiers payant d’application </w:t>
            </w:r>
            <w:r w:rsidRPr="00442311">
              <w:rPr>
                <w:rFonts w:asciiTheme="minorHAnsi" w:hAnsiTheme="minorHAnsi" w:cstheme="minorHAnsi"/>
                <w:sz w:val="22"/>
                <w:szCs w:val="22"/>
                <w:vertAlign w:val="superscript"/>
                <w:lang w:val="fr-BE"/>
              </w:rPr>
              <w:t>(4)</w:t>
            </w:r>
          </w:p>
        </w:tc>
      </w:tr>
      <w:tr w:rsidR="00442311" w:rsidRPr="004139DB" w:rsidTr="00442311">
        <w:tc>
          <w:tcPr>
            <w:tcW w:w="4236"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Le patient ne répond pas aux conditions de remboursement précisées dans le texte du paragraphe:</w:t>
            </w:r>
          </w:p>
        </w:tc>
        <w:tc>
          <w:tcPr>
            <w:tcW w:w="4236" w:type="dxa"/>
          </w:tcPr>
          <w:p w:rsidR="00442311" w:rsidRPr="00442311" w:rsidRDefault="00442311" w:rsidP="00CF13BC">
            <w:p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Système du tiers payant pas d’application:</w:t>
            </w:r>
          </w:p>
          <w:p w:rsidR="00442311" w:rsidRPr="00442311" w:rsidRDefault="00442311" w:rsidP="00442311">
            <w:pPr>
              <w:pStyle w:val="Paragraphedeliste"/>
              <w:numPr>
                <w:ilvl w:val="0"/>
                <w:numId w:val="13"/>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Une motivation </w:t>
            </w:r>
            <w:r w:rsidRPr="00442311">
              <w:rPr>
                <w:rFonts w:asciiTheme="minorHAnsi" w:hAnsiTheme="minorHAnsi" w:cstheme="minorHAnsi"/>
                <w:sz w:val="22"/>
                <w:szCs w:val="22"/>
                <w:vertAlign w:val="superscript"/>
                <w:lang w:val="fr-BE"/>
              </w:rPr>
              <w:t>(5)</w:t>
            </w:r>
            <w:r w:rsidRPr="00442311">
              <w:rPr>
                <w:rFonts w:asciiTheme="minorHAnsi" w:hAnsiTheme="minorHAnsi" w:cstheme="minorHAnsi"/>
                <w:sz w:val="22"/>
                <w:szCs w:val="22"/>
                <w:lang w:val="fr-BE"/>
              </w:rPr>
              <w:t xml:space="preserve"> est requise en cas de facturation au patient. </w:t>
            </w:r>
          </w:p>
          <w:p w:rsidR="00442311" w:rsidRPr="00442311" w:rsidRDefault="00442311" w:rsidP="00442311">
            <w:pPr>
              <w:pStyle w:val="Paragraphedeliste"/>
              <w:numPr>
                <w:ilvl w:val="0"/>
                <w:numId w:val="13"/>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Le patient doit néanmoins être clairement informé des coûts que l’hôpital pourra lui facturer.</w:t>
            </w:r>
          </w:p>
          <w:p w:rsidR="00442311" w:rsidRPr="00442311" w:rsidRDefault="00442311" w:rsidP="00442311">
            <w:pPr>
              <w:pStyle w:val="Paragraphedeliste"/>
              <w:numPr>
                <w:ilvl w:val="0"/>
                <w:numId w:val="13"/>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En absence de motivation: à charge à 100% de l’hôpital.</w:t>
            </w:r>
          </w:p>
        </w:tc>
      </w:tr>
    </w:tbl>
    <w:p w:rsidR="00442311" w:rsidRPr="00442311" w:rsidRDefault="00442311" w:rsidP="00442311">
      <w:pPr>
        <w:rPr>
          <w:rFonts w:asciiTheme="minorHAnsi" w:hAnsiTheme="minorHAnsi" w:cstheme="minorHAnsi"/>
          <w:sz w:val="22"/>
          <w:szCs w:val="22"/>
          <w:lang w:val="fr-BE"/>
        </w:rPr>
      </w:pPr>
    </w:p>
    <w:p w:rsidR="00442311" w:rsidRPr="00442311" w:rsidRDefault="00442311" w:rsidP="00442311">
      <w:pPr>
        <w:pStyle w:val="Paragraphedeliste"/>
        <w:numPr>
          <w:ilvl w:val="0"/>
          <w:numId w:val="14"/>
        </w:numPr>
        <w:jc w:val="both"/>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lastRenderedPageBreak/>
        <w:t>pour lesquels les tarifs « ** » sont à utiliser</w:t>
      </w:r>
    </w:p>
    <w:p w:rsidR="00442311" w:rsidRPr="00442311" w:rsidRDefault="00442311" w:rsidP="00442311">
      <w:pPr>
        <w:pStyle w:val="Paragraphedeliste"/>
        <w:numPr>
          <w:ilvl w:val="0"/>
          <w:numId w:val="14"/>
        </w:numPr>
        <w:jc w:val="both"/>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t>le système forfaitaire ne s’applique qu’aux patients hospitalisés</w:t>
      </w:r>
    </w:p>
    <w:p w:rsidR="00442311" w:rsidRPr="00442311" w:rsidRDefault="00442311" w:rsidP="00442311">
      <w:pPr>
        <w:pStyle w:val="Paragraphedeliste"/>
        <w:numPr>
          <w:ilvl w:val="0"/>
          <w:numId w:val="14"/>
        </w:numPr>
        <w:jc w:val="both"/>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t>pour lesquels les tarifs « * » sont à utiliser</w:t>
      </w:r>
    </w:p>
    <w:p w:rsidR="00442311" w:rsidRPr="00442311" w:rsidRDefault="00442311" w:rsidP="00442311">
      <w:pPr>
        <w:pStyle w:val="Paragraphedeliste"/>
        <w:numPr>
          <w:ilvl w:val="0"/>
          <w:numId w:val="14"/>
        </w:numPr>
        <w:jc w:val="both"/>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t>conformément aux modalités de remboursement précisées dans la liste des spécialités pharmaceutiques remboursables</w:t>
      </w:r>
    </w:p>
    <w:p w:rsidR="00442311" w:rsidRPr="00442311" w:rsidRDefault="00442311" w:rsidP="00442311">
      <w:pPr>
        <w:pStyle w:val="Paragraphedeliste"/>
        <w:numPr>
          <w:ilvl w:val="0"/>
          <w:numId w:val="14"/>
        </w:numPr>
        <w:jc w:val="both"/>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t>cette motivation consiste en une communication au médecin-conseil de l'indication pour laquelle la spécialité a été prescrite (le prescripteur s’engage à tenir à la disposition du médecin-conseil, dans le dossier médical du patient, les éléments de preuve); cette communication est faite au plus tard au moment de la tarification</w:t>
      </w:r>
    </w:p>
    <w:p w:rsidR="00442311" w:rsidRPr="00442311" w:rsidRDefault="00442311" w:rsidP="00442311">
      <w:pPr>
        <w:rPr>
          <w:rFonts w:asciiTheme="minorHAnsi" w:hAnsiTheme="minorHAnsi" w:cstheme="minorHAnsi"/>
          <w:sz w:val="22"/>
          <w:szCs w:val="22"/>
          <w:lang w:val="fr-BE"/>
        </w:rPr>
      </w:pPr>
    </w:p>
    <w:p w:rsidR="00442311" w:rsidRPr="00442311" w:rsidRDefault="00442311" w:rsidP="00442311">
      <w:pPr>
        <w:pStyle w:val="Paragraphedeliste"/>
        <w:numPr>
          <w:ilvl w:val="0"/>
          <w:numId w:val="15"/>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Lorsque le médicament n’est pas inscrit sur la liste des spécialités pharmaceutiques remboursables, le médicament peut-être facturé entièrement au patient. Le patient doit néanmoins être clairement informé des coûts que l’hôpital pourra lui facturer.</w:t>
      </w:r>
    </w:p>
    <w:p w:rsidR="00442311" w:rsidRPr="00442311" w:rsidRDefault="00442311" w:rsidP="00442311">
      <w:pPr>
        <w:jc w:val="both"/>
        <w:rPr>
          <w:rFonts w:asciiTheme="minorHAnsi" w:hAnsiTheme="minorHAnsi" w:cstheme="minorHAnsi"/>
          <w:sz w:val="22"/>
          <w:szCs w:val="22"/>
          <w:lang w:val="fr-BE"/>
        </w:rPr>
      </w:pPr>
    </w:p>
    <w:p w:rsidR="00442311" w:rsidRPr="00442311" w:rsidRDefault="00442311" w:rsidP="00442311">
      <w:pPr>
        <w:pStyle w:val="Paragraphedeliste"/>
        <w:numPr>
          <w:ilvl w:val="0"/>
          <w:numId w:val="15"/>
        </w:numPr>
        <w:jc w:val="both"/>
        <w:rPr>
          <w:rFonts w:asciiTheme="minorHAnsi" w:hAnsiTheme="minorHAnsi" w:cstheme="minorHAnsi"/>
          <w:sz w:val="22"/>
          <w:szCs w:val="22"/>
          <w:lang w:val="fr-BE"/>
        </w:rPr>
      </w:pPr>
      <w:r w:rsidRPr="00442311">
        <w:rPr>
          <w:rFonts w:asciiTheme="minorHAnsi" w:hAnsiTheme="minorHAnsi" w:cstheme="minorHAnsi"/>
          <w:sz w:val="22"/>
          <w:szCs w:val="22"/>
          <w:lang w:val="fr-BE"/>
        </w:rPr>
        <w:t xml:space="preserve">Si lors d’un contrôle effectué par le médecin-conseil de l’organisme assureur d’une  facturation en tiers payant à l’organisme assureur, il s’avère que le patient ne remplissait pas les conditions de remboursement du chapitre IV, une rectification de la facture du patient avec mise à sa charge du montant rejeté par l’organisme assureur, n’est pas permise </w:t>
      </w:r>
      <w:r w:rsidRPr="00442311">
        <w:rPr>
          <w:rFonts w:asciiTheme="minorHAnsi" w:hAnsiTheme="minorHAnsi" w:cstheme="minorHAnsi"/>
          <w:sz w:val="22"/>
          <w:szCs w:val="22"/>
          <w:vertAlign w:val="superscript"/>
          <w:lang w:val="fr-BE"/>
        </w:rPr>
        <w:t>(*)</w:t>
      </w:r>
      <w:r w:rsidRPr="00442311">
        <w:rPr>
          <w:rFonts w:asciiTheme="minorHAnsi" w:hAnsiTheme="minorHAnsi" w:cstheme="minorHAnsi"/>
          <w:sz w:val="22"/>
          <w:szCs w:val="22"/>
          <w:lang w:val="fr-BE"/>
        </w:rPr>
        <w:t>.</w:t>
      </w:r>
    </w:p>
    <w:p w:rsidR="00442311" w:rsidRPr="00442311" w:rsidRDefault="00442311" w:rsidP="00442311">
      <w:pPr>
        <w:pStyle w:val="Paragraphedeliste"/>
        <w:rPr>
          <w:rFonts w:asciiTheme="minorHAnsi" w:hAnsiTheme="minorHAnsi" w:cstheme="minorHAnsi"/>
          <w:sz w:val="22"/>
          <w:szCs w:val="22"/>
          <w:lang w:val="fr-BE"/>
        </w:rPr>
      </w:pPr>
    </w:p>
    <w:p w:rsidR="00442311" w:rsidRPr="00A41B66" w:rsidRDefault="00442311" w:rsidP="00442311">
      <w:pPr>
        <w:pStyle w:val="Paragraphedeliste"/>
        <w:rPr>
          <w:rFonts w:asciiTheme="minorHAnsi" w:hAnsiTheme="minorHAnsi" w:cstheme="minorHAnsi"/>
          <w:sz w:val="22"/>
          <w:szCs w:val="22"/>
          <w:vertAlign w:val="superscript"/>
          <w:lang w:val="fr-BE"/>
        </w:rPr>
      </w:pPr>
      <w:r w:rsidRPr="00442311">
        <w:rPr>
          <w:rFonts w:asciiTheme="minorHAnsi" w:hAnsiTheme="minorHAnsi" w:cstheme="minorHAnsi"/>
          <w:sz w:val="22"/>
          <w:szCs w:val="22"/>
          <w:vertAlign w:val="superscript"/>
          <w:lang w:val="fr-BE"/>
        </w:rPr>
        <w:t>(*) sur base des dispositions de l’article 8, § 2  de la loi du 22 août 2002 relative aux droits du patient</w:t>
      </w:r>
    </w:p>
    <w:p w:rsidR="00297667" w:rsidRDefault="00297667" w:rsidP="00297667">
      <w:pPr>
        <w:jc w:val="both"/>
        <w:rPr>
          <w:rFonts w:asciiTheme="minorHAnsi" w:hAnsiTheme="minorHAnsi" w:cstheme="minorHAnsi"/>
          <w:sz w:val="22"/>
          <w:szCs w:val="22"/>
          <w:lang w:val="fr-BE"/>
        </w:rPr>
      </w:pPr>
    </w:p>
    <w:p w:rsidR="00877434" w:rsidRPr="009C298B" w:rsidRDefault="00877434" w:rsidP="00297667">
      <w:pPr>
        <w:jc w:val="both"/>
        <w:rPr>
          <w:rFonts w:asciiTheme="minorHAnsi" w:hAnsiTheme="minorHAnsi" w:cstheme="minorHAnsi"/>
          <w:sz w:val="22"/>
          <w:szCs w:val="22"/>
          <w:lang w:val="fr-BE"/>
        </w:rPr>
      </w:pPr>
    </w:p>
    <w:p w:rsidR="00297667" w:rsidRPr="009C298B" w:rsidRDefault="00297667" w:rsidP="00877434">
      <w:pPr>
        <w:jc w:val="both"/>
        <w:rPr>
          <w:rFonts w:asciiTheme="minorHAnsi" w:hAnsiTheme="minorHAnsi" w:cstheme="minorHAnsi"/>
          <w:b/>
          <w:sz w:val="22"/>
          <w:szCs w:val="22"/>
          <w:lang w:val="fr-BE"/>
        </w:rPr>
      </w:pPr>
      <w:r w:rsidRPr="009C298B">
        <w:rPr>
          <w:rFonts w:asciiTheme="minorHAnsi" w:hAnsiTheme="minorHAnsi" w:cstheme="minorHAnsi"/>
          <w:b/>
          <w:sz w:val="22"/>
          <w:szCs w:val="22"/>
          <w:lang w:val="fr-BE"/>
        </w:rPr>
        <w:t>3 – Recommandations pratiques:</w:t>
      </w:r>
    </w:p>
    <w:p w:rsidR="00297667" w:rsidRPr="009C298B" w:rsidRDefault="00297667" w:rsidP="00297667">
      <w:pPr>
        <w:jc w:val="both"/>
        <w:rPr>
          <w:rFonts w:asciiTheme="minorHAnsi" w:hAnsiTheme="minorHAnsi" w:cstheme="minorHAnsi"/>
          <w:sz w:val="22"/>
          <w:szCs w:val="22"/>
          <w:lang w:val="fr-BE"/>
        </w:rPr>
      </w:pPr>
    </w:p>
    <w:p w:rsidR="00297667" w:rsidRPr="009C298B" w:rsidRDefault="00297667" w:rsidP="00297667">
      <w:pPr>
        <w:pStyle w:val="Paragraphedeliste"/>
        <w:numPr>
          <w:ilvl w:val="0"/>
          <w:numId w:val="7"/>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 xml:space="preserve">Un projet ayant pour but de rendre possible la consultation de la banque de données des « Accords » (MyCareNet) par le pharmacien hospitalier, a été lancé (deadline: janvier 2017). En attendant, le pharmacien hospitalier doit, lorsqu’une autorisation préalable est requise (voir le point « 1 – Autorisations préalables »), disposer d’une copie de l’autorisation afin de pouvoir facturer correctement. </w:t>
      </w:r>
    </w:p>
    <w:p w:rsidR="00297667" w:rsidRPr="009C298B" w:rsidRDefault="00297667" w:rsidP="00297667">
      <w:pPr>
        <w:pStyle w:val="Paragraphedeliste"/>
        <w:jc w:val="both"/>
        <w:rPr>
          <w:rFonts w:asciiTheme="minorHAnsi" w:hAnsiTheme="minorHAnsi" w:cstheme="minorHAnsi"/>
          <w:sz w:val="22"/>
          <w:szCs w:val="22"/>
          <w:lang w:val="fr-BE"/>
        </w:rPr>
      </w:pPr>
    </w:p>
    <w:p w:rsidR="00297667" w:rsidRPr="009C298B" w:rsidRDefault="00297667" w:rsidP="00297667">
      <w:pPr>
        <w:pStyle w:val="Paragraphedeliste"/>
        <w:numPr>
          <w:ilvl w:val="0"/>
          <w:numId w:val="7"/>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Procédure pour demander une autorisation préalable:</w:t>
      </w:r>
    </w:p>
    <w:p w:rsidR="00297667" w:rsidRPr="009C298B" w:rsidRDefault="00297667" w:rsidP="00297667">
      <w:pPr>
        <w:jc w:val="both"/>
        <w:rPr>
          <w:rFonts w:asciiTheme="minorHAnsi" w:hAnsiTheme="minorHAnsi" w:cstheme="minorHAnsi"/>
          <w:sz w:val="22"/>
          <w:szCs w:val="22"/>
          <w:lang w:val="fr-BE"/>
        </w:rPr>
      </w:pPr>
    </w:p>
    <w:tbl>
      <w:tblPr>
        <w:tblStyle w:val="Grilledutableau"/>
        <w:tblW w:w="8079" w:type="dxa"/>
        <w:tblInd w:w="534" w:type="dxa"/>
        <w:tblLook w:val="04A0" w:firstRow="1" w:lastRow="0" w:firstColumn="1" w:lastColumn="0" w:noHBand="0" w:noVBand="1"/>
      </w:tblPr>
      <w:tblGrid>
        <w:gridCol w:w="3402"/>
        <w:gridCol w:w="4677"/>
      </w:tblGrid>
      <w:tr w:rsidR="00297667" w:rsidRPr="009C298B" w:rsidTr="00877434">
        <w:tc>
          <w:tcPr>
            <w:tcW w:w="3402" w:type="dxa"/>
          </w:tcPr>
          <w:p w:rsidR="00297667" w:rsidRPr="009C298B" w:rsidRDefault="00297667" w:rsidP="00297667">
            <w:pPr>
              <w:jc w:val="both"/>
              <w:rPr>
                <w:rFonts w:asciiTheme="minorHAnsi" w:hAnsiTheme="minorHAnsi" w:cstheme="minorHAnsi"/>
                <w:sz w:val="22"/>
                <w:szCs w:val="22"/>
                <w:lang w:val="fr-BE"/>
              </w:rPr>
            </w:pPr>
          </w:p>
        </w:tc>
        <w:tc>
          <w:tcPr>
            <w:tcW w:w="4677" w:type="dxa"/>
          </w:tcPr>
          <w:p w:rsidR="00297667" w:rsidRPr="009C298B" w:rsidRDefault="00297667" w:rsidP="00297667">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Quand ?/Comment?</w:t>
            </w:r>
          </w:p>
        </w:tc>
      </w:tr>
      <w:tr w:rsidR="00297667" w:rsidRPr="004139DB" w:rsidTr="00877434">
        <w:tc>
          <w:tcPr>
            <w:tcW w:w="3402" w:type="dxa"/>
          </w:tcPr>
          <w:p w:rsidR="00297667" w:rsidRPr="009C298B" w:rsidRDefault="00297667" w:rsidP="00297667">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 xml:space="preserve">Médicament (« non-forfaitarisé ») utilisé pour une indication nécessitant une autorisation préalable </w:t>
            </w:r>
          </w:p>
        </w:tc>
        <w:tc>
          <w:tcPr>
            <w:tcW w:w="4677" w:type="dxa"/>
          </w:tcPr>
          <w:p w:rsidR="00297667" w:rsidRPr="009C298B" w:rsidRDefault="00297667" w:rsidP="00297667">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Une autorisation préalable est requise</w:t>
            </w:r>
          </w:p>
          <w:p w:rsidR="00297667" w:rsidRPr="009C298B" w:rsidRDefault="00297667" w:rsidP="00297667">
            <w:p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 xml:space="preserve">Une demande n’est requise que lorsque le patient ne dispose pas (encore) d’une autorisation (encore) valable </w:t>
            </w:r>
          </w:p>
        </w:tc>
      </w:tr>
      <w:tr w:rsidR="00297667" w:rsidRPr="004139DB" w:rsidTr="00877434">
        <w:tc>
          <w:tcPr>
            <w:tcW w:w="3402" w:type="dxa"/>
          </w:tcPr>
          <w:p w:rsidR="00297667" w:rsidRPr="009C298B" w:rsidRDefault="00297667" w:rsidP="00297667">
            <w:pPr>
              <w:pStyle w:val="Paragraphedeliste"/>
              <w:numPr>
                <w:ilvl w:val="0"/>
                <w:numId w:val="8"/>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procédure de demande électronique obligatoire</w:t>
            </w:r>
          </w:p>
        </w:tc>
        <w:tc>
          <w:tcPr>
            <w:tcW w:w="4677" w:type="dxa"/>
          </w:tcPr>
          <w:p w:rsidR="00297667" w:rsidRPr="009C298B" w:rsidRDefault="00297667" w:rsidP="00297667">
            <w:pPr>
              <w:pStyle w:val="Paragraphedeliste"/>
              <w:numPr>
                <w:ilvl w:val="0"/>
                <w:numId w:val="9"/>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demande via  CIVARS ou logiciel  (*)</w:t>
            </w:r>
          </w:p>
          <w:p w:rsidR="00297667" w:rsidRPr="009C298B" w:rsidRDefault="00297667" w:rsidP="00297667">
            <w:pPr>
              <w:pStyle w:val="Paragraphedeliste"/>
              <w:numPr>
                <w:ilvl w:val="0"/>
                <w:numId w:val="9"/>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arthrite rhumatoïde: demande via  TARDIS</w:t>
            </w:r>
          </w:p>
        </w:tc>
      </w:tr>
      <w:tr w:rsidR="00297667" w:rsidRPr="004139DB" w:rsidTr="00877434">
        <w:tc>
          <w:tcPr>
            <w:tcW w:w="3402" w:type="dxa"/>
          </w:tcPr>
          <w:p w:rsidR="00297667" w:rsidRPr="009C298B" w:rsidRDefault="00297667" w:rsidP="00297667">
            <w:pPr>
              <w:pStyle w:val="Paragraphedeliste"/>
              <w:numPr>
                <w:ilvl w:val="0"/>
                <w:numId w:val="8"/>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procédure de demande électronique non obligatoire</w:t>
            </w:r>
          </w:p>
        </w:tc>
        <w:tc>
          <w:tcPr>
            <w:tcW w:w="4677" w:type="dxa"/>
          </w:tcPr>
          <w:p w:rsidR="00297667" w:rsidRPr="009C298B" w:rsidRDefault="00297667" w:rsidP="00297667">
            <w:pPr>
              <w:pStyle w:val="Paragraphedeliste"/>
              <w:numPr>
                <w:ilvl w:val="0"/>
                <w:numId w:val="9"/>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 xml:space="preserve">demande sur papier </w:t>
            </w:r>
          </w:p>
          <w:p w:rsidR="00297667" w:rsidRPr="009C298B" w:rsidRDefault="00297667" w:rsidP="00297667">
            <w:pPr>
              <w:pStyle w:val="Paragraphedeliste"/>
              <w:numPr>
                <w:ilvl w:val="0"/>
                <w:numId w:val="9"/>
              </w:numPr>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ou (à recommander) via  CIVARS ou logiciel  (*)</w:t>
            </w:r>
          </w:p>
        </w:tc>
      </w:tr>
    </w:tbl>
    <w:p w:rsidR="00297667" w:rsidRPr="009C298B" w:rsidRDefault="00297667" w:rsidP="00297667">
      <w:pPr>
        <w:pStyle w:val="Paragraphedeliste"/>
        <w:ind w:left="708"/>
        <w:jc w:val="both"/>
        <w:rPr>
          <w:rFonts w:asciiTheme="minorHAnsi" w:hAnsiTheme="minorHAnsi" w:cstheme="minorHAnsi"/>
          <w:sz w:val="22"/>
          <w:szCs w:val="22"/>
          <w:lang w:val="fr-BE"/>
        </w:rPr>
      </w:pPr>
    </w:p>
    <w:p w:rsidR="00297667" w:rsidRPr="009C298B" w:rsidRDefault="00297667" w:rsidP="00297667">
      <w:pPr>
        <w:ind w:left="1049" w:hanging="340"/>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 avantage de l’utilisation de la procédure électronique : une certitude beaucoup plus rapide quant au remboursement pour le patient, le demandeur et le pharmacien (hospitalier)</w:t>
      </w:r>
    </w:p>
    <w:p w:rsidR="00297667" w:rsidRPr="009C298B" w:rsidRDefault="00297667" w:rsidP="00297667">
      <w:pPr>
        <w:pStyle w:val="Paragraphedeliste"/>
        <w:jc w:val="both"/>
        <w:rPr>
          <w:rFonts w:asciiTheme="minorHAnsi" w:hAnsiTheme="minorHAnsi" w:cstheme="minorHAnsi"/>
          <w:sz w:val="22"/>
          <w:szCs w:val="22"/>
          <w:lang w:val="fr-BE"/>
        </w:rPr>
      </w:pPr>
    </w:p>
    <w:p w:rsidR="00297667" w:rsidRPr="009C298B" w:rsidRDefault="00297667" w:rsidP="00297667">
      <w:pPr>
        <w:pStyle w:val="Paragraphedeliste"/>
        <w:jc w:val="both"/>
        <w:rPr>
          <w:rFonts w:asciiTheme="minorHAnsi" w:hAnsiTheme="minorHAnsi" w:cstheme="minorHAnsi"/>
          <w:sz w:val="22"/>
          <w:szCs w:val="22"/>
          <w:lang w:val="fr-BE"/>
        </w:rPr>
      </w:pPr>
      <w:r w:rsidRPr="009C298B">
        <w:rPr>
          <w:rFonts w:asciiTheme="minorHAnsi" w:hAnsiTheme="minorHAnsi" w:cstheme="minorHAnsi"/>
          <w:sz w:val="22"/>
          <w:szCs w:val="22"/>
          <w:lang w:val="fr-BE"/>
        </w:rPr>
        <w:t>Le logiciel du prescripteur lui permet également de vérifier si le patient dispose d’une autorisation pour un médicament.</w:t>
      </w:r>
    </w:p>
    <w:p w:rsidR="00297667" w:rsidRDefault="00297667" w:rsidP="00297667">
      <w:pPr>
        <w:pStyle w:val="Paragraphedeliste"/>
        <w:jc w:val="both"/>
        <w:rPr>
          <w:rFonts w:asciiTheme="minorHAnsi" w:hAnsiTheme="minorHAnsi" w:cstheme="minorHAnsi"/>
          <w:sz w:val="22"/>
          <w:szCs w:val="22"/>
          <w:lang w:val="fr-BE"/>
        </w:rPr>
      </w:pPr>
    </w:p>
    <w:p w:rsidR="00B1656E" w:rsidRPr="009C298B" w:rsidRDefault="00B1656E" w:rsidP="00297667">
      <w:pPr>
        <w:pStyle w:val="Paragraphedeliste"/>
        <w:jc w:val="both"/>
        <w:rPr>
          <w:rFonts w:asciiTheme="minorHAnsi" w:hAnsiTheme="minorHAnsi" w:cstheme="minorHAnsi"/>
          <w:sz w:val="22"/>
          <w:szCs w:val="22"/>
          <w:lang w:val="fr-BE"/>
        </w:rPr>
      </w:pPr>
    </w:p>
    <w:p w:rsidR="00297667" w:rsidRPr="00297667" w:rsidRDefault="00297667" w:rsidP="00877434">
      <w:pPr>
        <w:pStyle w:val="Paragraphedeliste"/>
        <w:numPr>
          <w:ilvl w:val="0"/>
          <w:numId w:val="7"/>
        </w:numPr>
        <w:jc w:val="both"/>
        <w:rPr>
          <w:lang w:val="fr-BE"/>
        </w:rPr>
      </w:pPr>
      <w:r w:rsidRPr="009C298B">
        <w:rPr>
          <w:rFonts w:asciiTheme="minorHAnsi" w:hAnsiTheme="minorHAnsi" w:cstheme="minorHAnsi"/>
          <w:spacing w:val="-3"/>
          <w:sz w:val="22"/>
          <w:szCs w:val="22"/>
          <w:lang w:val="fr-BE" w:eastAsia="fr-BE"/>
        </w:rPr>
        <w:t xml:space="preserve">En </w:t>
      </w:r>
      <w:r w:rsidRPr="00877434">
        <w:rPr>
          <w:rFonts w:asciiTheme="minorHAnsi" w:hAnsiTheme="minorHAnsi" w:cstheme="minorHAnsi"/>
          <w:sz w:val="22"/>
          <w:szCs w:val="22"/>
          <w:lang w:val="fr-BE"/>
        </w:rPr>
        <w:t>exécution</w:t>
      </w:r>
      <w:r w:rsidRPr="009C298B">
        <w:rPr>
          <w:rFonts w:asciiTheme="minorHAnsi" w:hAnsiTheme="minorHAnsi" w:cstheme="minorHAnsi"/>
          <w:spacing w:val="-3"/>
          <w:sz w:val="22"/>
          <w:szCs w:val="22"/>
          <w:lang w:val="fr-BE" w:eastAsia="fr-BE"/>
        </w:rPr>
        <w:t xml:space="preserve"> du point 4.2.9. de l’accord national médico-mutualiste 2016 – 2017, un groupe de travail du Comité de l’Assurance, composé de représentants de tous les acteurs concernés, élaborera les propositions de simplification administrative à long terme supplémentaires.</w:t>
      </w:r>
    </w:p>
    <w:p w:rsidR="00297667" w:rsidRDefault="00297667" w:rsidP="00297667">
      <w:pPr>
        <w:jc w:val="both"/>
        <w:rPr>
          <w:rFonts w:ascii="Arial" w:hAnsi="Arial"/>
          <w:lang w:val="fr-BE"/>
        </w:rPr>
      </w:pPr>
    </w:p>
    <w:p w:rsidR="00297667" w:rsidRDefault="00297667" w:rsidP="00297667">
      <w:pPr>
        <w:jc w:val="both"/>
        <w:rPr>
          <w:rFonts w:ascii="Arial" w:hAnsi="Arial"/>
          <w:lang w:val="fr-BE"/>
        </w:rPr>
      </w:pPr>
    </w:p>
    <w:p w:rsidR="00271CAB" w:rsidRDefault="00271CAB" w:rsidP="00297667">
      <w:pPr>
        <w:jc w:val="both"/>
        <w:rPr>
          <w:rFonts w:ascii="Arial" w:hAnsi="Arial"/>
          <w:lang w:val="fr-BE"/>
        </w:rPr>
      </w:pPr>
      <w:r>
        <w:rPr>
          <w:rFonts w:ascii="Arial" w:hAnsi="Arial"/>
          <w:lang w:val="fr-BE"/>
        </w:rPr>
        <w:t>Le Fonctionnaire dirigeant,</w:t>
      </w:r>
    </w:p>
    <w:p w:rsidR="00271CAB" w:rsidRDefault="00271CAB"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877434" w:rsidRDefault="00877434" w:rsidP="00297667">
      <w:pPr>
        <w:jc w:val="both"/>
        <w:rPr>
          <w:rFonts w:ascii="Arial" w:hAnsi="Arial"/>
          <w:lang w:val="fr-BE"/>
        </w:rPr>
      </w:pPr>
    </w:p>
    <w:p w:rsidR="00271CAB" w:rsidRDefault="00271CAB" w:rsidP="00297667">
      <w:pPr>
        <w:jc w:val="both"/>
        <w:rPr>
          <w:rFonts w:ascii="Arial" w:hAnsi="Arial"/>
          <w:lang w:val="fr-BE"/>
        </w:rPr>
      </w:pPr>
    </w:p>
    <w:p w:rsidR="00271CAB" w:rsidRDefault="00271CAB" w:rsidP="00297667">
      <w:pPr>
        <w:jc w:val="both"/>
        <w:rPr>
          <w:rFonts w:ascii="Arial" w:hAnsi="Arial"/>
          <w:lang w:val="fr-BE"/>
        </w:rPr>
      </w:pPr>
      <w:r>
        <w:rPr>
          <w:rFonts w:ascii="Arial" w:hAnsi="Arial"/>
          <w:lang w:val="fr-BE"/>
        </w:rPr>
        <w:t xml:space="preserve">Dr </w:t>
      </w:r>
      <w:r w:rsidR="00EF60E4">
        <w:rPr>
          <w:rFonts w:ascii="Arial" w:hAnsi="Arial"/>
          <w:lang w:val="fr-BE"/>
        </w:rPr>
        <w:t>H. De Ridder</w:t>
      </w:r>
      <w:r>
        <w:rPr>
          <w:rFonts w:ascii="Arial" w:hAnsi="Arial"/>
          <w:lang w:val="fr-BE"/>
        </w:rPr>
        <w:t>,</w:t>
      </w:r>
    </w:p>
    <w:p w:rsidR="00271CAB" w:rsidRDefault="00EF60E4" w:rsidP="00297667">
      <w:pPr>
        <w:jc w:val="both"/>
        <w:rPr>
          <w:rFonts w:ascii="Arial" w:hAnsi="Arial"/>
          <w:lang w:val="fr-BE"/>
        </w:rPr>
      </w:pPr>
      <w:r>
        <w:rPr>
          <w:rFonts w:ascii="Arial" w:hAnsi="Arial"/>
          <w:lang w:val="fr-BE"/>
        </w:rPr>
        <w:t>Directeur g</w:t>
      </w:r>
      <w:r w:rsidR="003A070D">
        <w:rPr>
          <w:rFonts w:ascii="Arial" w:hAnsi="Arial"/>
          <w:lang w:val="fr-BE"/>
        </w:rPr>
        <w:t>é</w:t>
      </w:r>
      <w:r>
        <w:rPr>
          <w:rFonts w:ascii="Arial" w:hAnsi="Arial"/>
          <w:lang w:val="fr-BE"/>
        </w:rPr>
        <w:t>n</w:t>
      </w:r>
      <w:r w:rsidR="003A070D">
        <w:rPr>
          <w:rFonts w:ascii="Arial" w:hAnsi="Arial"/>
          <w:lang w:val="fr-BE"/>
        </w:rPr>
        <w:t>é</w:t>
      </w:r>
      <w:r>
        <w:rPr>
          <w:rFonts w:ascii="Arial" w:hAnsi="Arial"/>
          <w:lang w:val="fr-BE"/>
        </w:rPr>
        <w:t>ral</w:t>
      </w:r>
    </w:p>
    <w:sectPr w:rsidR="00271CAB" w:rsidSect="0044302E">
      <w:footerReference w:type="default" r:id="rId8"/>
      <w:type w:val="continuous"/>
      <w:pgSz w:w="11906" w:h="16838" w:code="9"/>
      <w:pgMar w:top="851" w:right="1701" w:bottom="851" w:left="1701" w:header="0" w:footer="567" w:gutter="0"/>
      <w:paperSrc w:first="2"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8C" w:rsidRDefault="00E7328C">
      <w:r>
        <w:separator/>
      </w:r>
    </w:p>
  </w:endnote>
  <w:endnote w:type="continuationSeparator" w:id="0">
    <w:p w:rsidR="00E7328C" w:rsidRDefault="00E7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panose1 w:val="00000000000000000000"/>
    <w:charset w:val="00"/>
    <w:family w:val="auto"/>
    <w:notTrueType/>
    <w:pitch w:val="default"/>
    <w:sig w:usb0="00000409" w:usb1="0012EB94" w:usb2="77F92CD4" w:usb3="77F9D4F8" w:csb0="FFFFFFFF" w:csb1="0012EB54"/>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AB" w:rsidRDefault="00271CAB">
    <w:pPr>
      <w:pStyle w:val="Pieddepage"/>
      <w:tabs>
        <w:tab w:val="clear" w:pos="8306"/>
        <w:tab w:val="right" w:pos="8505"/>
      </w:tabs>
      <w:jc w:val="both"/>
      <w:rPr>
        <w:rFonts w:ascii="Arial" w:hAnsi="Arial"/>
        <w:sz w:val="18"/>
      </w:rPr>
    </w:pPr>
  </w:p>
  <w:p w:rsidR="00271CAB" w:rsidRDefault="00271CAB">
    <w:pPr>
      <w:pStyle w:val="Pieddepage"/>
      <w:tabs>
        <w:tab w:val="clear" w:pos="8306"/>
        <w:tab w:val="right" w:pos="8505"/>
      </w:tabs>
      <w:jc w:val="both"/>
      <w:rPr>
        <w:rFonts w:ascii="Arial" w:hAnsi="Arial"/>
        <w:sz w:val="18"/>
      </w:rPr>
    </w:pPr>
  </w:p>
  <w:p w:rsidR="00271CAB" w:rsidRPr="005235CB" w:rsidRDefault="00271CAB">
    <w:pPr>
      <w:pStyle w:val="Pieddepage"/>
      <w:tabs>
        <w:tab w:val="clear" w:pos="8306"/>
        <w:tab w:val="right" w:pos="8505"/>
      </w:tabs>
      <w:jc w:val="both"/>
      <w:rPr>
        <w:rFonts w:ascii="Arial" w:hAnsi="Arial"/>
        <w:sz w:val="18"/>
        <w:lang w:val="fr-FR"/>
      </w:rPr>
    </w:pPr>
    <w:r w:rsidRPr="005235CB">
      <w:rPr>
        <w:rFonts w:ascii="Arial" w:hAnsi="Arial"/>
        <w:sz w:val="18"/>
        <w:lang w:val="fr-FR"/>
      </w:rPr>
      <w:t xml:space="preserve">Avenue de Tervueren 211 </w:t>
    </w:r>
    <w:r>
      <w:rPr>
        <w:rFonts w:ascii="Arial" w:hAnsi="Arial"/>
        <w:sz w:val="18"/>
      </w:rPr>
      <w:sym w:font="Symbol" w:char="F0B7"/>
    </w:r>
    <w:r w:rsidRPr="005235CB">
      <w:rPr>
        <w:rFonts w:ascii="Arial" w:hAnsi="Arial"/>
        <w:sz w:val="18"/>
        <w:lang w:val="fr-FR"/>
      </w:rPr>
      <w:t xml:space="preserve"> B - 1150 Bruxelles </w:t>
    </w:r>
    <w:r w:rsidRPr="005235CB">
      <w:rPr>
        <w:rFonts w:ascii="Arial" w:hAnsi="Arial"/>
        <w:sz w:val="18"/>
        <w:lang w:val="fr-FR"/>
      </w:rPr>
      <w:tab/>
    </w:r>
    <w:r w:rsidRPr="005235CB">
      <w:rPr>
        <w:rFonts w:ascii="Arial" w:hAnsi="Arial"/>
        <w:sz w:val="18"/>
        <w:lang w:val="fr-FR"/>
      </w:rPr>
      <w:tab/>
      <w:t xml:space="preserve">Tél. : 02 739 71 11 </w:t>
    </w:r>
    <w:r>
      <w:rPr>
        <w:rFonts w:ascii="Arial" w:hAnsi="Arial"/>
        <w:sz w:val="18"/>
      </w:rPr>
      <w:sym w:font="Symbol" w:char="F0B7"/>
    </w:r>
    <w:r w:rsidRPr="005235CB">
      <w:rPr>
        <w:rFonts w:ascii="Arial" w:hAnsi="Arial"/>
        <w:sz w:val="18"/>
        <w:lang w:val="fr-FR"/>
      </w:rPr>
      <w:t xml:space="preserve"> Fax : 02 739 72 91</w:t>
    </w:r>
  </w:p>
  <w:p w:rsidR="00271CAB" w:rsidRDefault="00271CAB">
    <w:pPr>
      <w:pStyle w:val="Pieddepage"/>
      <w:tabs>
        <w:tab w:val="clear" w:pos="8306"/>
        <w:tab w:val="right" w:pos="8505"/>
      </w:tabs>
      <w:jc w:val="both"/>
      <w:rPr>
        <w:rFonts w:ascii="Arial" w:hAnsi="Arial"/>
        <w:spacing w:val="2"/>
        <w:sz w:val="18"/>
      </w:rPr>
    </w:pPr>
    <w:r w:rsidRPr="005235CB">
      <w:rPr>
        <w:rFonts w:ascii="Arial" w:hAnsi="Arial"/>
        <w:b/>
        <w:spacing w:val="2"/>
        <w:sz w:val="18"/>
        <w:lang w:val="fr-FR"/>
      </w:rPr>
      <w:t>Heures d'ouverture des bureaux :</w:t>
    </w:r>
    <w:r w:rsidRPr="005235CB">
      <w:rPr>
        <w:rFonts w:ascii="Arial" w:hAnsi="Arial"/>
        <w:spacing w:val="2"/>
        <w:sz w:val="18"/>
        <w:lang w:val="fr-FR"/>
      </w:rPr>
      <w:t xml:space="preserve"> de 9 à 12 heures et de 13 à 16 heures. </w:t>
    </w:r>
    <w:r>
      <w:rPr>
        <w:rFonts w:ascii="Arial" w:hAnsi="Arial"/>
        <w:spacing w:val="2"/>
        <w:sz w:val="18"/>
      </w:rPr>
      <w:t>Possibilité de rendez-vous.</w:t>
    </w:r>
  </w:p>
  <w:p w:rsidR="00271CAB" w:rsidRDefault="00271CAB">
    <w:pPr>
      <w:pStyle w:val="Pieddepage"/>
      <w:rPr>
        <w:rFonts w:ascii="Arial" w:hAnsi="Arial"/>
        <w:sz w:val="18"/>
      </w:rPr>
    </w:pPr>
    <w:bookmarkStart w:id="17" w:name="foot"/>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8C" w:rsidRDefault="00E7328C">
      <w:r>
        <w:separator/>
      </w:r>
    </w:p>
  </w:footnote>
  <w:footnote w:type="continuationSeparator" w:id="0">
    <w:p w:rsidR="00E7328C" w:rsidRDefault="00E7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1D7"/>
    <w:multiLevelType w:val="hybridMultilevel"/>
    <w:tmpl w:val="8E5AA0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068E8"/>
    <w:multiLevelType w:val="hybridMultilevel"/>
    <w:tmpl w:val="D2A80156"/>
    <w:lvl w:ilvl="0" w:tplc="156899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2124C"/>
    <w:multiLevelType w:val="singleLevel"/>
    <w:tmpl w:val="7BAE2440"/>
    <w:lvl w:ilvl="0">
      <w:start w:val="1"/>
      <w:numFmt w:val="bullet"/>
      <w:lvlText w:val=""/>
      <w:lvlJc w:val="left"/>
      <w:pPr>
        <w:tabs>
          <w:tab w:val="num" w:pos="360"/>
        </w:tabs>
        <w:ind w:left="360" w:hanging="360"/>
      </w:pPr>
      <w:rPr>
        <w:rFonts w:ascii="Symbol" w:hAnsi="Symbol" w:hint="default"/>
      </w:rPr>
    </w:lvl>
  </w:abstractNum>
  <w:abstractNum w:abstractNumId="3">
    <w:nsid w:val="13AD0E8E"/>
    <w:multiLevelType w:val="hybridMultilevel"/>
    <w:tmpl w:val="AC68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338F9"/>
    <w:multiLevelType w:val="hybridMultilevel"/>
    <w:tmpl w:val="6D70CC58"/>
    <w:lvl w:ilvl="0" w:tplc="8200D91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1898288D"/>
    <w:multiLevelType w:val="hybridMultilevel"/>
    <w:tmpl w:val="B00EB11E"/>
    <w:lvl w:ilvl="0" w:tplc="43F20F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21826"/>
    <w:multiLevelType w:val="hybridMultilevel"/>
    <w:tmpl w:val="6F989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32E84"/>
    <w:multiLevelType w:val="hybridMultilevel"/>
    <w:tmpl w:val="6E7AD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6040F2"/>
    <w:multiLevelType w:val="hybridMultilevel"/>
    <w:tmpl w:val="7BF4B5CA"/>
    <w:lvl w:ilvl="0" w:tplc="3B6046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809BA"/>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0">
    <w:nsid w:val="45DD7B70"/>
    <w:multiLevelType w:val="hybridMultilevel"/>
    <w:tmpl w:val="AC68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E71D1"/>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2">
    <w:nsid w:val="6A9B1262"/>
    <w:multiLevelType w:val="hybridMultilevel"/>
    <w:tmpl w:val="49E64D74"/>
    <w:lvl w:ilvl="0" w:tplc="910A999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6C8204B8"/>
    <w:multiLevelType w:val="hybridMultilevel"/>
    <w:tmpl w:val="4B848300"/>
    <w:lvl w:ilvl="0" w:tplc="3B6046B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7B5950"/>
    <w:multiLevelType w:val="hybridMultilevel"/>
    <w:tmpl w:val="FBC2F9BE"/>
    <w:lvl w:ilvl="0" w:tplc="41B2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6"/>
  </w:num>
  <w:num w:numId="5">
    <w:abstractNumId w:val="10"/>
  </w:num>
  <w:num w:numId="6">
    <w:abstractNumId w:val="14"/>
  </w:num>
  <w:num w:numId="7">
    <w:abstractNumId w:val="3"/>
  </w:num>
  <w:num w:numId="8">
    <w:abstractNumId w:val="0"/>
  </w:num>
  <w:num w:numId="9">
    <w:abstractNumId w:val="13"/>
  </w:num>
  <w:num w:numId="10">
    <w:abstractNumId w:val="12"/>
  </w:num>
  <w:num w:numId="11">
    <w:abstractNumId w:val="8"/>
  </w:num>
  <w:num w:numId="12">
    <w:abstractNumId w:val="4"/>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3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CB"/>
    <w:rsid w:val="0002320D"/>
    <w:rsid w:val="00042E0A"/>
    <w:rsid w:val="00054F2C"/>
    <w:rsid w:val="00083D12"/>
    <w:rsid w:val="00096F10"/>
    <w:rsid w:val="000A3652"/>
    <w:rsid w:val="001705D8"/>
    <w:rsid w:val="001B7E5F"/>
    <w:rsid w:val="001C56D4"/>
    <w:rsid w:val="001E14E6"/>
    <w:rsid w:val="00221607"/>
    <w:rsid w:val="00251FA7"/>
    <w:rsid w:val="00271CAB"/>
    <w:rsid w:val="00297667"/>
    <w:rsid w:val="002A10E0"/>
    <w:rsid w:val="002A6863"/>
    <w:rsid w:val="003079E0"/>
    <w:rsid w:val="003265B2"/>
    <w:rsid w:val="00350044"/>
    <w:rsid w:val="00370D71"/>
    <w:rsid w:val="003866BB"/>
    <w:rsid w:val="003A070D"/>
    <w:rsid w:val="004139DB"/>
    <w:rsid w:val="00426099"/>
    <w:rsid w:val="00427526"/>
    <w:rsid w:val="00442311"/>
    <w:rsid w:val="0044302E"/>
    <w:rsid w:val="00472C55"/>
    <w:rsid w:val="00474C4E"/>
    <w:rsid w:val="00490A04"/>
    <w:rsid w:val="004D4926"/>
    <w:rsid w:val="004E1D29"/>
    <w:rsid w:val="005209CC"/>
    <w:rsid w:val="005235CB"/>
    <w:rsid w:val="005649F6"/>
    <w:rsid w:val="00586844"/>
    <w:rsid w:val="005B36B0"/>
    <w:rsid w:val="005E521D"/>
    <w:rsid w:val="005F0AC0"/>
    <w:rsid w:val="00624CDC"/>
    <w:rsid w:val="006647D6"/>
    <w:rsid w:val="006A7FAE"/>
    <w:rsid w:val="00763043"/>
    <w:rsid w:val="007935D7"/>
    <w:rsid w:val="007B665B"/>
    <w:rsid w:val="007D6DA1"/>
    <w:rsid w:val="007F2CFA"/>
    <w:rsid w:val="007F3BEF"/>
    <w:rsid w:val="0081238F"/>
    <w:rsid w:val="008355AC"/>
    <w:rsid w:val="00877434"/>
    <w:rsid w:val="008828FA"/>
    <w:rsid w:val="008855B6"/>
    <w:rsid w:val="008B7BAD"/>
    <w:rsid w:val="008D4866"/>
    <w:rsid w:val="008E017B"/>
    <w:rsid w:val="008F242A"/>
    <w:rsid w:val="00904DD1"/>
    <w:rsid w:val="00917568"/>
    <w:rsid w:val="00975C95"/>
    <w:rsid w:val="009B1101"/>
    <w:rsid w:val="009C70F5"/>
    <w:rsid w:val="009F4F4D"/>
    <w:rsid w:val="00A01573"/>
    <w:rsid w:val="00A01D45"/>
    <w:rsid w:val="00A07AE2"/>
    <w:rsid w:val="00A76201"/>
    <w:rsid w:val="00A91F5D"/>
    <w:rsid w:val="00B1656E"/>
    <w:rsid w:val="00B52432"/>
    <w:rsid w:val="00BA3B7A"/>
    <w:rsid w:val="00BE77AA"/>
    <w:rsid w:val="00C85505"/>
    <w:rsid w:val="00D06237"/>
    <w:rsid w:val="00D36A08"/>
    <w:rsid w:val="00D67EFA"/>
    <w:rsid w:val="00D7520A"/>
    <w:rsid w:val="00DB2BEF"/>
    <w:rsid w:val="00DB53BF"/>
    <w:rsid w:val="00DF0C3E"/>
    <w:rsid w:val="00E4026C"/>
    <w:rsid w:val="00E7328C"/>
    <w:rsid w:val="00E97097"/>
    <w:rsid w:val="00EA3E1C"/>
    <w:rsid w:val="00EE4263"/>
    <w:rsid w:val="00EE431D"/>
    <w:rsid w:val="00EF60E4"/>
    <w:rsid w:val="00F130BA"/>
    <w:rsid w:val="00F546D6"/>
    <w:rsid w:val="00F80E85"/>
    <w:rsid w:val="00F97316"/>
    <w:rsid w:val="00FC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nl-BE"/>
    </w:rPr>
  </w:style>
  <w:style w:type="paragraph" w:styleId="Titre1">
    <w:name w:val="heading 1"/>
    <w:basedOn w:val="Normal"/>
    <w:next w:val="Normal"/>
    <w:qFormat/>
    <w:pPr>
      <w:keepNext/>
      <w:outlineLvl w:val="0"/>
    </w:pPr>
    <w:rPr>
      <w:rFonts w:ascii="Arial" w:hAnsi="Arial"/>
      <w:b/>
      <w:sz w:val="40"/>
    </w:rPr>
  </w:style>
  <w:style w:type="paragraph" w:styleId="Titre2">
    <w:name w:val="heading 2"/>
    <w:basedOn w:val="Normal"/>
    <w:next w:val="Normal"/>
    <w:qFormat/>
    <w:pPr>
      <w:keepNext/>
      <w:tabs>
        <w:tab w:val="left" w:pos="5670"/>
      </w:tabs>
      <w:outlineLvl w:val="1"/>
    </w:pPr>
    <w:rPr>
      <w:rFonts w:ascii="Arial" w:hAnsi="Arial"/>
      <w:b/>
      <w:sz w:val="18"/>
    </w:rPr>
  </w:style>
  <w:style w:type="paragraph" w:styleId="Titre3">
    <w:name w:val="heading 3"/>
    <w:basedOn w:val="Normal"/>
    <w:next w:val="Normal"/>
    <w:qFormat/>
    <w:pPr>
      <w:keepNext/>
      <w:tabs>
        <w:tab w:val="left" w:pos="851"/>
        <w:tab w:val="left" w:pos="4253"/>
      </w:tabs>
      <w:ind w:left="-142"/>
      <w:outlineLvl w:val="2"/>
    </w:pPr>
    <w:rPr>
      <w:rFonts w:ascii="Arial" w:hAnsi="Arial"/>
      <w:b/>
      <w:snapToGrid w:val="0"/>
      <w:color w:val="000000"/>
      <w:lang w:val="en-GB"/>
    </w:rPr>
  </w:style>
  <w:style w:type="paragraph" w:styleId="Titre4">
    <w:name w:val="heading 4"/>
    <w:basedOn w:val="Normal"/>
    <w:next w:val="Normal"/>
    <w:qFormat/>
    <w:pPr>
      <w:keepNext/>
      <w:ind w:left="567"/>
      <w:outlineLvl w:val="3"/>
    </w:pPr>
    <w:rPr>
      <w:rFonts w:ascii="Arial" w:hAnsi="Arial"/>
      <w:b/>
      <w:snapToGrid w:val="0"/>
      <w:color w:val="000000"/>
      <w:lang w:val="en-GB"/>
    </w:rPr>
  </w:style>
  <w:style w:type="paragraph" w:styleId="Titre5">
    <w:name w:val="heading 5"/>
    <w:basedOn w:val="Normal"/>
    <w:next w:val="Normal"/>
    <w:qFormat/>
    <w:pPr>
      <w:keepNext/>
      <w:tabs>
        <w:tab w:val="left" w:pos="5670"/>
      </w:tabs>
      <w:ind w:left="851"/>
      <w:outlineLvl w:val="4"/>
    </w:pPr>
    <w:rPr>
      <w:rFonts w:ascii="Arial" w:hAnsi="Arial"/>
      <w:b/>
      <w:snapToGrid w:val="0"/>
      <w:color w:val="0000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
    <w:name w:val="com"/>
    <w:basedOn w:val="Normal"/>
    <w:autoRedefine/>
    <w:pPr>
      <w:tabs>
        <w:tab w:val="left" w:pos="3969"/>
      </w:tabs>
      <w:ind w:right="-108"/>
    </w:pPr>
    <w:rPr>
      <w:rFonts w:ascii="Arial" w:hAnsi="Arial"/>
      <w:sz w:val="18"/>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Adressedestinataire">
    <w:name w:val="envelope address"/>
    <w:basedOn w:val="Normal"/>
    <w:pPr>
      <w:framePr w:w="7920" w:h="1980" w:hRule="exact" w:hSpace="180" w:wrap="auto" w:hAnchor="page" w:xAlign="center" w:yAlign="bottom"/>
      <w:tabs>
        <w:tab w:val="left" w:pos="426"/>
        <w:tab w:val="left" w:pos="1985"/>
        <w:tab w:val="right" w:pos="9498"/>
      </w:tabs>
      <w:ind w:left="2880" w:right="-2"/>
    </w:pPr>
    <w:rPr>
      <w:rFonts w:ascii="Arial" w:hAnsi="Arial"/>
      <w:snapToGrid w:val="0"/>
      <w:spacing w:val="-2"/>
      <w:sz w:val="24"/>
      <w:lang w:val="fr-BE"/>
    </w:rPr>
  </w:style>
  <w:style w:type="paragraph" w:styleId="Adresseexpditeur">
    <w:name w:val="envelope return"/>
    <w:basedOn w:val="Normal"/>
    <w:pPr>
      <w:tabs>
        <w:tab w:val="left" w:pos="426"/>
        <w:tab w:val="left" w:pos="1985"/>
        <w:tab w:val="right" w:pos="9498"/>
      </w:tabs>
      <w:ind w:right="-2"/>
    </w:pPr>
    <w:rPr>
      <w:rFonts w:ascii="Arial" w:hAnsi="Arial"/>
      <w:snapToGrid w:val="0"/>
      <w:spacing w:val="-2"/>
      <w:lang w:val="fr-BE"/>
    </w:rPr>
  </w:style>
  <w:style w:type="paragraph" w:styleId="Corpsdetexte">
    <w:name w:val="Body Text"/>
    <w:basedOn w:val="Normal"/>
    <w:rPr>
      <w:rFonts w:ascii="Arial" w:hAnsi="Arial"/>
      <w:b/>
      <w:sz w:val="24"/>
      <w:lang w:val="fr-BE"/>
    </w:rPr>
  </w:style>
  <w:style w:type="paragraph" w:styleId="Corpsdetexte2">
    <w:name w:val="Body Text 2"/>
    <w:basedOn w:val="Normal"/>
    <w:pPr>
      <w:jc w:val="both"/>
    </w:pPr>
    <w:rPr>
      <w:rFonts w:ascii="Arial" w:hAnsi="Arial"/>
    </w:rPr>
  </w:style>
  <w:style w:type="paragraph" w:styleId="Textedebulles">
    <w:name w:val="Balloon Text"/>
    <w:basedOn w:val="Normal"/>
    <w:semiHidden/>
    <w:rsid w:val="0081238F"/>
    <w:rPr>
      <w:rFonts w:ascii="Tahoma" w:hAnsi="Tahoma" w:cs="Tahoma"/>
      <w:sz w:val="16"/>
      <w:szCs w:val="16"/>
    </w:rPr>
  </w:style>
  <w:style w:type="table" w:styleId="Grilledutableau">
    <w:name w:val="Table Grid"/>
    <w:basedOn w:val="TableauNormal"/>
    <w:uiPriority w:val="59"/>
    <w:rsid w:val="00297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List,Bullet1"/>
    <w:basedOn w:val="Normal"/>
    <w:link w:val="ParagraphedelisteCar"/>
    <w:uiPriority w:val="34"/>
    <w:qFormat/>
    <w:rsid w:val="00297667"/>
    <w:pPr>
      <w:ind w:left="720"/>
      <w:contextualSpacing/>
    </w:pPr>
    <w:rPr>
      <w:lang w:val="fr-FR"/>
    </w:rPr>
  </w:style>
  <w:style w:type="character" w:customStyle="1" w:styleId="ParagraphedelisteCar">
    <w:name w:val="Paragraphe de liste Car"/>
    <w:aliases w:val="Bullet List Car,Bullet1 Car"/>
    <w:basedOn w:val="Policepardfaut"/>
    <w:link w:val="Paragraphedeliste"/>
    <w:uiPriority w:val="34"/>
    <w:locked/>
    <w:rsid w:val="00297667"/>
    <w:rPr>
      <w:lang w:val="fr-FR"/>
    </w:rPr>
  </w:style>
  <w:style w:type="character" w:styleId="Marquedecommentaire">
    <w:name w:val="annotation reference"/>
    <w:basedOn w:val="Policepardfaut"/>
    <w:uiPriority w:val="99"/>
    <w:unhideWhenUsed/>
    <w:rsid w:val="00442311"/>
    <w:rPr>
      <w:sz w:val="16"/>
      <w:szCs w:val="16"/>
    </w:rPr>
  </w:style>
  <w:style w:type="paragraph" w:styleId="Commentaire">
    <w:name w:val="annotation text"/>
    <w:basedOn w:val="Normal"/>
    <w:link w:val="CommentaireCar"/>
    <w:uiPriority w:val="99"/>
    <w:unhideWhenUsed/>
    <w:rsid w:val="00442311"/>
    <w:rPr>
      <w:lang w:val="fr-FR"/>
    </w:rPr>
  </w:style>
  <w:style w:type="character" w:customStyle="1" w:styleId="CommentaireCar">
    <w:name w:val="Commentaire Car"/>
    <w:basedOn w:val="Policepardfaut"/>
    <w:link w:val="Commentaire"/>
    <w:uiPriority w:val="99"/>
    <w:rsid w:val="00442311"/>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nl-BE"/>
    </w:rPr>
  </w:style>
  <w:style w:type="paragraph" w:styleId="Titre1">
    <w:name w:val="heading 1"/>
    <w:basedOn w:val="Normal"/>
    <w:next w:val="Normal"/>
    <w:qFormat/>
    <w:pPr>
      <w:keepNext/>
      <w:outlineLvl w:val="0"/>
    </w:pPr>
    <w:rPr>
      <w:rFonts w:ascii="Arial" w:hAnsi="Arial"/>
      <w:b/>
      <w:sz w:val="40"/>
    </w:rPr>
  </w:style>
  <w:style w:type="paragraph" w:styleId="Titre2">
    <w:name w:val="heading 2"/>
    <w:basedOn w:val="Normal"/>
    <w:next w:val="Normal"/>
    <w:qFormat/>
    <w:pPr>
      <w:keepNext/>
      <w:tabs>
        <w:tab w:val="left" w:pos="5670"/>
      </w:tabs>
      <w:outlineLvl w:val="1"/>
    </w:pPr>
    <w:rPr>
      <w:rFonts w:ascii="Arial" w:hAnsi="Arial"/>
      <w:b/>
      <w:sz w:val="18"/>
    </w:rPr>
  </w:style>
  <w:style w:type="paragraph" w:styleId="Titre3">
    <w:name w:val="heading 3"/>
    <w:basedOn w:val="Normal"/>
    <w:next w:val="Normal"/>
    <w:qFormat/>
    <w:pPr>
      <w:keepNext/>
      <w:tabs>
        <w:tab w:val="left" w:pos="851"/>
        <w:tab w:val="left" w:pos="4253"/>
      </w:tabs>
      <w:ind w:left="-142"/>
      <w:outlineLvl w:val="2"/>
    </w:pPr>
    <w:rPr>
      <w:rFonts w:ascii="Arial" w:hAnsi="Arial"/>
      <w:b/>
      <w:snapToGrid w:val="0"/>
      <w:color w:val="000000"/>
      <w:lang w:val="en-GB"/>
    </w:rPr>
  </w:style>
  <w:style w:type="paragraph" w:styleId="Titre4">
    <w:name w:val="heading 4"/>
    <w:basedOn w:val="Normal"/>
    <w:next w:val="Normal"/>
    <w:qFormat/>
    <w:pPr>
      <w:keepNext/>
      <w:ind w:left="567"/>
      <w:outlineLvl w:val="3"/>
    </w:pPr>
    <w:rPr>
      <w:rFonts w:ascii="Arial" w:hAnsi="Arial"/>
      <w:b/>
      <w:snapToGrid w:val="0"/>
      <w:color w:val="000000"/>
      <w:lang w:val="en-GB"/>
    </w:rPr>
  </w:style>
  <w:style w:type="paragraph" w:styleId="Titre5">
    <w:name w:val="heading 5"/>
    <w:basedOn w:val="Normal"/>
    <w:next w:val="Normal"/>
    <w:qFormat/>
    <w:pPr>
      <w:keepNext/>
      <w:tabs>
        <w:tab w:val="left" w:pos="5670"/>
      </w:tabs>
      <w:ind w:left="851"/>
      <w:outlineLvl w:val="4"/>
    </w:pPr>
    <w:rPr>
      <w:rFonts w:ascii="Arial" w:hAnsi="Arial"/>
      <w:b/>
      <w:snapToGrid w:val="0"/>
      <w:color w:val="0000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
    <w:name w:val="com"/>
    <w:basedOn w:val="Normal"/>
    <w:autoRedefine/>
    <w:pPr>
      <w:tabs>
        <w:tab w:val="left" w:pos="3969"/>
      </w:tabs>
      <w:ind w:right="-108"/>
    </w:pPr>
    <w:rPr>
      <w:rFonts w:ascii="Arial" w:hAnsi="Arial"/>
      <w:sz w:val="18"/>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Adressedestinataire">
    <w:name w:val="envelope address"/>
    <w:basedOn w:val="Normal"/>
    <w:pPr>
      <w:framePr w:w="7920" w:h="1980" w:hRule="exact" w:hSpace="180" w:wrap="auto" w:hAnchor="page" w:xAlign="center" w:yAlign="bottom"/>
      <w:tabs>
        <w:tab w:val="left" w:pos="426"/>
        <w:tab w:val="left" w:pos="1985"/>
        <w:tab w:val="right" w:pos="9498"/>
      </w:tabs>
      <w:ind w:left="2880" w:right="-2"/>
    </w:pPr>
    <w:rPr>
      <w:rFonts w:ascii="Arial" w:hAnsi="Arial"/>
      <w:snapToGrid w:val="0"/>
      <w:spacing w:val="-2"/>
      <w:sz w:val="24"/>
      <w:lang w:val="fr-BE"/>
    </w:rPr>
  </w:style>
  <w:style w:type="paragraph" w:styleId="Adresseexpditeur">
    <w:name w:val="envelope return"/>
    <w:basedOn w:val="Normal"/>
    <w:pPr>
      <w:tabs>
        <w:tab w:val="left" w:pos="426"/>
        <w:tab w:val="left" w:pos="1985"/>
        <w:tab w:val="right" w:pos="9498"/>
      </w:tabs>
      <w:ind w:right="-2"/>
    </w:pPr>
    <w:rPr>
      <w:rFonts w:ascii="Arial" w:hAnsi="Arial"/>
      <w:snapToGrid w:val="0"/>
      <w:spacing w:val="-2"/>
      <w:lang w:val="fr-BE"/>
    </w:rPr>
  </w:style>
  <w:style w:type="paragraph" w:styleId="Corpsdetexte">
    <w:name w:val="Body Text"/>
    <w:basedOn w:val="Normal"/>
    <w:rPr>
      <w:rFonts w:ascii="Arial" w:hAnsi="Arial"/>
      <w:b/>
      <w:sz w:val="24"/>
      <w:lang w:val="fr-BE"/>
    </w:rPr>
  </w:style>
  <w:style w:type="paragraph" w:styleId="Corpsdetexte2">
    <w:name w:val="Body Text 2"/>
    <w:basedOn w:val="Normal"/>
    <w:pPr>
      <w:jc w:val="both"/>
    </w:pPr>
    <w:rPr>
      <w:rFonts w:ascii="Arial" w:hAnsi="Arial"/>
    </w:rPr>
  </w:style>
  <w:style w:type="paragraph" w:styleId="Textedebulles">
    <w:name w:val="Balloon Text"/>
    <w:basedOn w:val="Normal"/>
    <w:semiHidden/>
    <w:rsid w:val="0081238F"/>
    <w:rPr>
      <w:rFonts w:ascii="Tahoma" w:hAnsi="Tahoma" w:cs="Tahoma"/>
      <w:sz w:val="16"/>
      <w:szCs w:val="16"/>
    </w:rPr>
  </w:style>
  <w:style w:type="table" w:styleId="Grilledutableau">
    <w:name w:val="Table Grid"/>
    <w:basedOn w:val="TableauNormal"/>
    <w:uiPriority w:val="59"/>
    <w:rsid w:val="00297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List,Bullet1"/>
    <w:basedOn w:val="Normal"/>
    <w:link w:val="ParagraphedelisteCar"/>
    <w:uiPriority w:val="34"/>
    <w:qFormat/>
    <w:rsid w:val="00297667"/>
    <w:pPr>
      <w:ind w:left="720"/>
      <w:contextualSpacing/>
    </w:pPr>
    <w:rPr>
      <w:lang w:val="fr-FR"/>
    </w:rPr>
  </w:style>
  <w:style w:type="character" w:customStyle="1" w:styleId="ParagraphedelisteCar">
    <w:name w:val="Paragraphe de liste Car"/>
    <w:aliases w:val="Bullet List Car,Bullet1 Car"/>
    <w:basedOn w:val="Policepardfaut"/>
    <w:link w:val="Paragraphedeliste"/>
    <w:uiPriority w:val="34"/>
    <w:locked/>
    <w:rsid w:val="00297667"/>
    <w:rPr>
      <w:lang w:val="fr-FR"/>
    </w:rPr>
  </w:style>
  <w:style w:type="character" w:styleId="Marquedecommentaire">
    <w:name w:val="annotation reference"/>
    <w:basedOn w:val="Policepardfaut"/>
    <w:uiPriority w:val="99"/>
    <w:unhideWhenUsed/>
    <w:rsid w:val="00442311"/>
    <w:rPr>
      <w:sz w:val="16"/>
      <w:szCs w:val="16"/>
    </w:rPr>
  </w:style>
  <w:style w:type="paragraph" w:styleId="Commentaire">
    <w:name w:val="annotation text"/>
    <w:basedOn w:val="Normal"/>
    <w:link w:val="CommentaireCar"/>
    <w:uiPriority w:val="99"/>
    <w:unhideWhenUsed/>
    <w:rsid w:val="00442311"/>
    <w:rPr>
      <w:lang w:val="fr-FR"/>
    </w:rPr>
  </w:style>
  <w:style w:type="character" w:customStyle="1" w:styleId="CommentaireCar">
    <w:name w:val="Commentaire Car"/>
    <w:basedOn w:val="Policepardfaut"/>
    <w:link w:val="Commentaire"/>
    <w:uiPriority w:val="99"/>
    <w:rsid w:val="0044231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2016-09-27T22:00:00+00:00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62</Value>
      <Value>92</Value>
    </TaxCatchAll>
    <RIDocSummary xmlns="f15eea43-7fa7-45cf-8dc0-d5244e2cd467">Application du chapitre IV (et IVbis) en milieu hospitalier pour le remboursement de spécialités pharmaceutiques (formulation adaptée du point 2)</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1784E9F-FE66-4493-9479-4243D1790D2F}"/>
</file>

<file path=customXml/itemProps2.xml><?xml version="1.0" encoding="utf-8"?>
<ds:datastoreItem xmlns:ds="http://schemas.openxmlformats.org/officeDocument/2006/customXml" ds:itemID="{2D2C7865-E400-4C23-A163-557A669A17F3}"/>
</file>

<file path=customXml/itemProps3.xml><?xml version="1.0" encoding="utf-8"?>
<ds:datastoreItem xmlns:ds="http://schemas.openxmlformats.org/officeDocument/2006/customXml" ds:itemID="{AD6FB2D9-840D-4E89-9640-E54430F1B17B}"/>
</file>

<file path=docProps/app.xml><?xml version="1.0" encoding="utf-8"?>
<Properties xmlns="http://schemas.openxmlformats.org/officeDocument/2006/extended-properties" xmlns:vt="http://schemas.openxmlformats.org/officeDocument/2006/docPropsVTypes">
  <Template>8E4061C4</Template>
  <TotalTime>0</TotalTime>
  <Pages>4</Pages>
  <Words>1091</Words>
  <Characters>6401</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 I Z I V</vt:lpstr>
      <vt:lpstr>R I Z I V</vt:lpstr>
    </vt:vector>
  </TitlesOfParts>
  <Company>R.I.Z.I.V. - I.N.A.M.I.</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2016/10</dc:title>
  <dc:creator>db1363</dc:creator>
  <cp:lastModifiedBy>Catherine Haubruge</cp:lastModifiedBy>
  <cp:revision>3</cp:revision>
  <cp:lastPrinted>2016-07-05T09:05:00Z</cp:lastPrinted>
  <dcterms:created xsi:type="dcterms:W3CDTF">2016-09-26T08:29:00Z</dcterms:created>
  <dcterms:modified xsi:type="dcterms:W3CDTF">2016-09-28T06:49:00Z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