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93" w:rsidRPr="009A0E8E" w:rsidRDefault="00EE7693" w:rsidP="00EE7693">
      <w:pPr>
        <w:pStyle w:val="Typedocument"/>
      </w:pPr>
      <w:r>
        <w:t>COHORTBESLISSING</w:t>
      </w:r>
    </w:p>
    <w:p w:rsidR="00EE7693" w:rsidRDefault="00EE7693" w:rsidP="009015A3">
      <w:pPr>
        <w:jc w:val="both"/>
        <w:rPr>
          <w:rStyle w:val="SubtitleChar"/>
          <w:lang w:val="fr-BE"/>
        </w:rPr>
      </w:pPr>
    </w:p>
    <w:p w:rsidR="009015A3" w:rsidRPr="00EE7693" w:rsidRDefault="009015A3" w:rsidP="009015A3">
      <w:pPr>
        <w:jc w:val="both"/>
        <w:rPr>
          <w:lang w:val="fr-BE"/>
        </w:rPr>
      </w:pPr>
      <w:r w:rsidRPr="00EE7693">
        <w:rPr>
          <w:rStyle w:val="SubtitleChar"/>
          <w:lang w:val="fr-BE"/>
        </w:rPr>
        <w:t>Dossier:</w:t>
      </w:r>
      <w:r w:rsidRPr="00EE7693">
        <w:rPr>
          <w:lang w:val="fr-BE"/>
        </w:rPr>
        <w:t xml:space="preserve"> </w:t>
      </w:r>
      <w:r w:rsidR="00E3732F" w:rsidRPr="00EE7693">
        <w:rPr>
          <w:rStyle w:val="SubtitleChar"/>
          <w:lang w:val="fr-BE"/>
        </w:rPr>
        <w:t>1</w:t>
      </w:r>
      <w:r w:rsidR="00C4632B">
        <w:rPr>
          <w:rStyle w:val="SubtitleChar"/>
          <w:lang w:val="fr-BE"/>
        </w:rPr>
        <w:t>05</w:t>
      </w:r>
      <w:bookmarkStart w:id="0" w:name="_GoBack"/>
      <w:bookmarkEnd w:id="0"/>
      <w:r w:rsidR="00E3732F" w:rsidRPr="00EE7693">
        <w:rPr>
          <w:rStyle w:val="SubtitleChar"/>
          <w:lang w:val="fr-BE"/>
        </w:rPr>
        <w:t>3</w:t>
      </w:r>
      <w:r w:rsidRPr="00EE7693">
        <w:rPr>
          <w:lang w:val="fr-BE"/>
        </w:rPr>
        <w:t xml:space="preserve"> </w:t>
      </w:r>
    </w:p>
    <w:p w:rsidR="00DB6125" w:rsidRPr="0051110E" w:rsidRDefault="00DB6125" w:rsidP="00E3732F">
      <w:pPr>
        <w:pStyle w:val="NoSpacing"/>
        <w:rPr>
          <w:rStyle w:val="BookTitle"/>
          <w:lang w:val="fr-BE"/>
        </w:rPr>
      </w:pPr>
      <w:r w:rsidRPr="0051110E">
        <w:rPr>
          <w:rStyle w:val="BookTitle"/>
          <w:lang w:val="fr-BE"/>
        </w:rPr>
        <w:t>RYDAPT</w:t>
      </w:r>
    </w:p>
    <w:p w:rsidR="00E3732F" w:rsidRPr="0051110E" w:rsidRDefault="00DB6125" w:rsidP="00E3732F">
      <w:pPr>
        <w:pStyle w:val="NoSpacing"/>
        <w:rPr>
          <w:rStyle w:val="BookTitle"/>
          <w:lang w:val="fr-BE"/>
        </w:rPr>
      </w:pPr>
      <w:r w:rsidRPr="0051110E">
        <w:rPr>
          <w:rStyle w:val="BookTitle"/>
          <w:lang w:val="fr-BE"/>
        </w:rPr>
        <w:t>(midostaurin)</w:t>
      </w:r>
    </w:p>
    <w:p w:rsidR="00E3732F" w:rsidRPr="0051110E" w:rsidRDefault="00E3732F" w:rsidP="00E3732F">
      <w:pPr>
        <w:pStyle w:val="NoSpacing"/>
        <w:rPr>
          <w:rStyle w:val="BookTitle"/>
          <w:lang w:val="fr-BE"/>
        </w:rPr>
      </w:pPr>
      <w:r w:rsidRPr="0051110E">
        <w:rPr>
          <w:rStyle w:val="BookTitle"/>
          <w:lang w:val="fr-BE"/>
        </w:rPr>
        <w:t>25 mg zachte capsules</w:t>
      </w:r>
    </w:p>
    <w:p w:rsidR="00EE7693" w:rsidRPr="008F7317" w:rsidRDefault="009015A3" w:rsidP="00EE7693">
      <w:pPr>
        <w:pStyle w:val="NoSpacing"/>
      </w:pPr>
      <w:r w:rsidRPr="0051110E">
        <w:rPr>
          <w:sz w:val="22"/>
          <w:szCs w:val="22"/>
          <w:lang w:val="fr-B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852"/>
      </w:tblGrid>
      <w:tr w:rsidR="00EE7693" w:rsidRPr="009015A3" w:rsidTr="00EE7693">
        <w:trPr>
          <w:cantSplit/>
        </w:trPr>
        <w:tc>
          <w:tcPr>
            <w:tcW w:w="9852" w:type="dxa"/>
            <w:shd w:val="clear" w:color="auto" w:fill="C6D9F1" w:themeFill="text2" w:themeFillTint="33"/>
          </w:tcPr>
          <w:p w:rsidR="00EE7693" w:rsidRPr="00147843" w:rsidRDefault="00EE7693" w:rsidP="00EE7693">
            <w:pPr>
              <w:jc w:val="both"/>
              <w:rPr>
                <w:lang w:val="fr-BE"/>
              </w:rPr>
            </w:pPr>
            <w:r>
              <w:rPr>
                <w:b/>
                <w:lang w:val="fr-BE"/>
              </w:rPr>
              <w:t>GEMENGDE COHORTE</w:t>
            </w:r>
          </w:p>
        </w:tc>
      </w:tr>
    </w:tbl>
    <w:p w:rsidR="00E22665" w:rsidRPr="00E22665" w:rsidRDefault="00E22665" w:rsidP="00B279BE">
      <w:pPr>
        <w:pStyle w:val="NoSpacing"/>
      </w:pPr>
    </w:p>
    <w:p w:rsidR="00B279BE" w:rsidRPr="00DB6125" w:rsidRDefault="00DB6125" w:rsidP="00EE7693">
      <w:pPr>
        <w:pStyle w:val="Heading2"/>
        <w:numPr>
          <w:ilvl w:val="0"/>
          <w:numId w:val="0"/>
        </w:numPr>
        <w:ind w:left="720" w:hanging="720"/>
        <w:rPr>
          <w:lang w:val="nl-BE"/>
        </w:rPr>
      </w:pPr>
      <w:r w:rsidRPr="00DB6125">
        <w:rPr>
          <w:lang w:val="nl-BE"/>
        </w:rPr>
        <w:t xml:space="preserve">thErapeutiSCHe </w:t>
      </w:r>
      <w:r w:rsidR="00B279BE" w:rsidRPr="00DB6125">
        <w:rPr>
          <w:lang w:val="nl-BE"/>
        </w:rPr>
        <w:t>indicati</w:t>
      </w:r>
      <w:r w:rsidRPr="00DB6125">
        <w:rPr>
          <w:lang w:val="nl-BE"/>
        </w:rPr>
        <w:t>E</w:t>
      </w:r>
      <w:r w:rsidR="00B279BE" w:rsidRPr="00DB6125">
        <w:rPr>
          <w:lang w:val="nl-BE"/>
        </w:rPr>
        <w:t xml:space="preserve"> </w:t>
      </w:r>
    </w:p>
    <w:p w:rsidR="00B279BE" w:rsidRDefault="00B279BE" w:rsidP="00B279BE">
      <w:pPr>
        <w:pStyle w:val="NoSpacing"/>
      </w:pPr>
    </w:p>
    <w:p w:rsidR="00DB6125" w:rsidRDefault="00DB6125" w:rsidP="00DB6125">
      <w:pPr>
        <w:jc w:val="both"/>
      </w:pPr>
      <w:r>
        <w:t xml:space="preserve">Behandeling van volwassen, nieuw gediagnosticeerde patiënten met FLT3-gemuteerde acute </w:t>
      </w:r>
      <w:proofErr w:type="spellStart"/>
      <w:r>
        <w:t>myeloïde</w:t>
      </w:r>
      <w:proofErr w:type="spellEnd"/>
      <w:r>
        <w:t xml:space="preserve"> leukemie die in aanmerking komen voor standaard inductie- en consoliderende chemotherapie. </w:t>
      </w:r>
    </w:p>
    <w:p w:rsidR="00B279BE" w:rsidRPr="00DB6125" w:rsidRDefault="00B279BE" w:rsidP="00B279BE">
      <w:pPr>
        <w:pStyle w:val="NoSpacing"/>
      </w:pPr>
    </w:p>
    <w:p w:rsidR="00B279BE" w:rsidRPr="00903A23" w:rsidRDefault="00DB6125" w:rsidP="00EE7693">
      <w:pPr>
        <w:pStyle w:val="Heading2"/>
        <w:numPr>
          <w:ilvl w:val="0"/>
          <w:numId w:val="0"/>
        </w:numPr>
        <w:ind w:left="720" w:hanging="720"/>
      </w:pPr>
      <w:r>
        <w:t xml:space="preserve">beschrijving van de </w:t>
      </w:r>
      <w:r w:rsidR="00B279BE">
        <w:t>cohort</w:t>
      </w:r>
      <w:r w:rsidR="00B279BE" w:rsidRPr="00B279BE">
        <w:t xml:space="preserve"> </w:t>
      </w:r>
    </w:p>
    <w:p w:rsidR="00B279BE" w:rsidRPr="00A77546" w:rsidRDefault="00B279BE" w:rsidP="00B279BE">
      <w:pPr>
        <w:pStyle w:val="NoSpacing"/>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490CFB" w:rsidTr="00B279BE">
        <w:trPr>
          <w:cantSplit/>
          <w:trHeight w:val="110"/>
        </w:trPr>
        <w:tc>
          <w:tcPr>
            <w:tcW w:w="9889" w:type="dxa"/>
            <w:shd w:val="clear" w:color="auto" w:fill="C6D9F1" w:themeFill="text2" w:themeFillTint="33"/>
          </w:tcPr>
          <w:p w:rsidR="00B279BE" w:rsidRPr="009A47A3" w:rsidRDefault="00B279BE" w:rsidP="00B279BE">
            <w:pPr>
              <w:jc w:val="both"/>
              <w:rPr>
                <w:b/>
              </w:rPr>
            </w:pPr>
            <w:proofErr w:type="spellStart"/>
            <w:r w:rsidRPr="00A77546">
              <w:rPr>
                <w:b/>
                <w:lang w:val="fr-BE"/>
              </w:rPr>
              <w:t>C</w:t>
            </w:r>
            <w:r>
              <w:rPr>
                <w:b/>
                <w:lang w:val="fr-BE"/>
              </w:rPr>
              <w:t>ohort</w:t>
            </w:r>
            <w:proofErr w:type="spellEnd"/>
            <w:r>
              <w:rPr>
                <w:b/>
                <w:lang w:val="fr-BE"/>
              </w:rPr>
              <w:t xml:space="preserve"> </w:t>
            </w:r>
            <w:r w:rsidRPr="002D4698">
              <w:rPr>
                <w:b/>
              </w:rPr>
              <w:t>beschrijving</w:t>
            </w:r>
          </w:p>
        </w:tc>
      </w:tr>
      <w:tr w:rsidR="00B279BE" w:rsidRPr="00356562" w:rsidTr="00DB6125">
        <w:trPr>
          <w:cantSplit/>
          <w:trHeight w:val="110"/>
        </w:trPr>
        <w:tc>
          <w:tcPr>
            <w:tcW w:w="9889" w:type="dxa"/>
            <w:shd w:val="clear" w:color="auto" w:fill="F2DBDB" w:themeFill="accent2" w:themeFillTint="33"/>
          </w:tcPr>
          <w:p w:rsidR="00B279BE" w:rsidRPr="00D6580B" w:rsidRDefault="00DB6125" w:rsidP="00DB6125">
            <w:pPr>
              <w:rPr>
                <w:lang w:val="en-GB"/>
              </w:rPr>
            </w:pPr>
            <w:proofErr w:type="spellStart"/>
            <w:r>
              <w:rPr>
                <w:lang w:val="en-GB"/>
              </w:rPr>
              <w:t>Inclusiecriteria</w:t>
            </w:r>
            <w:proofErr w:type="spellEnd"/>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b/>
                <w:sz w:val="20"/>
              </w:rPr>
            </w:pPr>
            <w:r w:rsidRPr="00DB6125">
              <w:rPr>
                <w:rFonts w:asciiTheme="minorHAnsi" w:hAnsiTheme="minorHAnsi"/>
                <w:sz w:val="20"/>
              </w:rPr>
              <w:t xml:space="preserve">De patiënt kan niet op voldoende wijze worden behandeld met de goedgekeurde en commercieel beschikbare alternatieve behandelingsopties (met inbegrip van transplantatie) overeenkomstig klinische richtlijnen. De patiënt komt in aanmerking voor standaard inductie- en consolidatietherapie overeenkomstig klinische richtlijnen en de behandelende arts verwacht therapeutische voordelen met positieve baten/risico's van het toevoegen van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aan standaard inductietherapie met cytarabine en daunorubicine (of </w:t>
            </w:r>
            <w:proofErr w:type="spellStart"/>
            <w:r w:rsidRPr="00DB6125">
              <w:rPr>
                <w:rFonts w:asciiTheme="minorHAnsi" w:hAnsiTheme="minorHAnsi"/>
                <w:sz w:val="20"/>
              </w:rPr>
              <w:t>idarubicine</w:t>
            </w:r>
            <w:proofErr w:type="spellEnd"/>
            <w:r w:rsidRPr="00DB6125">
              <w:rPr>
                <w:rFonts w:asciiTheme="minorHAnsi" w:hAnsiTheme="minorHAnsi"/>
                <w:sz w:val="20"/>
              </w:rPr>
              <w:t xml:space="preserve">) gevolgd door consolidatie met cytarabine. Bij patiënten die SCT ondergaan, wordt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stopgezet vóór de conditionering voor transplantatie. Deze patiënten worden verwijderd uit het  behandelingsplan van het </w:t>
            </w:r>
            <w:proofErr w:type="spellStart"/>
            <w:r w:rsidRPr="00DB6125">
              <w:rPr>
                <w:rFonts w:asciiTheme="minorHAnsi" w:hAnsiTheme="minorHAnsi"/>
                <w:sz w:val="20"/>
              </w:rPr>
              <w:t>het</w:t>
            </w:r>
            <w:proofErr w:type="spellEnd"/>
            <w:r w:rsidRPr="00DB6125">
              <w:rPr>
                <w:rFonts w:asciiTheme="minorHAnsi" w:hAnsiTheme="minorHAnsi"/>
                <w:sz w:val="20"/>
              </w:rPr>
              <w:t xml:space="preserve"> protocol. </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Patiënten moeten 18 jaar of ouder zijn; oudere patiënten moeten in staat zijn om een intensieve inductie- en consolidatie-chemotherapie te ontvangen.</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 xml:space="preserve">Patiënten moeten een gedocumenteerde, ontegensprekelijke diagnose hebben van AML overeenkomstig de WHO2008-classificatie (&gt;20% </w:t>
            </w:r>
            <w:proofErr w:type="spellStart"/>
            <w:r w:rsidRPr="00DB6125">
              <w:rPr>
                <w:rFonts w:asciiTheme="minorHAnsi" w:hAnsiTheme="minorHAnsi"/>
                <w:sz w:val="20"/>
              </w:rPr>
              <w:t>blasten</w:t>
            </w:r>
            <w:proofErr w:type="spellEnd"/>
            <w:r w:rsidRPr="00DB6125">
              <w:rPr>
                <w:rFonts w:asciiTheme="minorHAnsi" w:hAnsiTheme="minorHAnsi"/>
                <w:sz w:val="20"/>
              </w:rPr>
              <w:t xml:space="preserve"> in het beenmerg en/of perifeer bloed), waarbij M3 is uitgesloten (acute </w:t>
            </w:r>
            <w:proofErr w:type="spellStart"/>
            <w:r w:rsidRPr="00DB6125">
              <w:rPr>
                <w:rFonts w:asciiTheme="minorHAnsi" w:hAnsiTheme="minorHAnsi"/>
                <w:sz w:val="20"/>
              </w:rPr>
              <w:t>promyelocytische</w:t>
            </w:r>
            <w:proofErr w:type="spellEnd"/>
            <w:r w:rsidRPr="00DB6125">
              <w:rPr>
                <w:rFonts w:asciiTheme="minorHAnsi" w:hAnsiTheme="minorHAnsi"/>
                <w:sz w:val="20"/>
              </w:rPr>
              <w:t xml:space="preserve"> leukemie). Patiënten met secundaire AML komen in aanmerking. Dit zijn bijvoorbeeld patiënten met AML die eerder al werden behandeld voor een eerdere maligniteit.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Patiënten moeten een gedocumenteerde FLT3-mutatie hebben (ITD of TKD) met behulp van een gevalideerde test.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Patiënten moeten een ECOG-prestatiestatus van ≤ 2 hebben.</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 xml:space="preserve">Patiënten die intrathecale therapie nodig hebben, mogen ten vroegste 48 uur na de laatste dosis een eerste dosis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krijgen.</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 xml:space="preserve">AML-patiënten die eerder werden behandeld voor </w:t>
            </w:r>
            <w:proofErr w:type="spellStart"/>
            <w:r w:rsidRPr="00DB6125">
              <w:rPr>
                <w:rFonts w:asciiTheme="minorHAnsi" w:hAnsiTheme="minorHAnsi"/>
                <w:sz w:val="20"/>
              </w:rPr>
              <w:t>myelodysplasie</w:t>
            </w:r>
            <w:proofErr w:type="spellEnd"/>
            <w:r w:rsidRPr="00DB6125">
              <w:rPr>
                <w:rFonts w:asciiTheme="minorHAnsi" w:hAnsiTheme="minorHAnsi"/>
                <w:sz w:val="20"/>
              </w:rPr>
              <w:t xml:space="preserve"> (MDS) komen in aanmerking voor behandeling met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CUP. (Bijv. </w:t>
            </w:r>
            <w:proofErr w:type="spellStart"/>
            <w:r w:rsidRPr="00DB6125">
              <w:rPr>
                <w:rFonts w:asciiTheme="minorHAnsi" w:hAnsiTheme="minorHAnsi"/>
                <w:sz w:val="20"/>
              </w:rPr>
              <w:t>azacitidine</w:t>
            </w:r>
            <w:proofErr w:type="spellEnd"/>
            <w:r w:rsidRPr="00DB6125">
              <w:rPr>
                <w:rFonts w:asciiTheme="minorHAnsi" w:hAnsiTheme="minorHAnsi"/>
                <w:sz w:val="20"/>
              </w:rPr>
              <w:t xml:space="preserve"> of </w:t>
            </w:r>
            <w:proofErr w:type="spellStart"/>
            <w:r w:rsidRPr="00DB6125">
              <w:rPr>
                <w:rFonts w:asciiTheme="minorHAnsi" w:hAnsiTheme="minorHAnsi"/>
                <w:sz w:val="20"/>
              </w:rPr>
              <w:t>decitabine</w:t>
            </w:r>
            <w:proofErr w:type="spellEnd"/>
            <w:r w:rsidRPr="00DB6125">
              <w:rPr>
                <w:rFonts w:asciiTheme="minorHAnsi" w:hAnsiTheme="minorHAnsi"/>
                <w:sz w:val="20"/>
              </w:rPr>
              <w:t xml:space="preserve"> moet stopgezet zijn gedurende ten minste 30 dagen of 5 keer de halfwaardetijd van het geneesmiddel, wat het langste duurt, voordat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kan worden toegediend).</w:t>
            </w:r>
          </w:p>
        </w:tc>
      </w:tr>
      <w:tr w:rsidR="00B279BE" w:rsidRPr="00C4632B" w:rsidTr="00B279BE">
        <w:trPr>
          <w:cantSplit/>
          <w:trHeight w:val="110"/>
        </w:trPr>
        <w:tc>
          <w:tcPr>
            <w:tcW w:w="9889" w:type="dxa"/>
          </w:tcPr>
          <w:p w:rsidR="00DB6125" w:rsidRPr="00DB6125" w:rsidRDefault="00DB6125" w:rsidP="00DB6125">
            <w:pPr>
              <w:pStyle w:val="ListParagraph"/>
              <w:numPr>
                <w:ilvl w:val="0"/>
                <w:numId w:val="14"/>
              </w:numPr>
              <w:ind w:left="284" w:hanging="284"/>
              <w:jc w:val="both"/>
              <w:rPr>
                <w:rFonts w:asciiTheme="minorHAnsi" w:hAnsiTheme="minorHAnsi"/>
                <w:bCs/>
                <w:sz w:val="20"/>
              </w:rPr>
            </w:pPr>
            <w:r w:rsidRPr="00DB6125">
              <w:rPr>
                <w:rFonts w:asciiTheme="minorHAnsi" w:hAnsiTheme="minorHAnsi"/>
                <w:sz w:val="20"/>
              </w:rPr>
              <w:t>Patiënten moeten de volgende laboratoriumwaarden hebben:</w:t>
            </w:r>
          </w:p>
          <w:p w:rsidR="00DB6125" w:rsidRPr="00DB6125" w:rsidRDefault="00DB6125" w:rsidP="00DB6125">
            <w:pPr>
              <w:ind w:left="284" w:hanging="284"/>
              <w:jc w:val="both"/>
              <w:rPr>
                <w:bCs/>
                <w:lang w:val="fr-BE"/>
              </w:rPr>
            </w:pPr>
            <w:r w:rsidRPr="00DB6125">
              <w:rPr>
                <w:lang w:val="fr-BE"/>
              </w:rPr>
              <w:t>•Directe bilirubine ≤ 2,5 x ULN</w:t>
            </w:r>
          </w:p>
          <w:p w:rsidR="00B279BE" w:rsidRPr="00DB6125" w:rsidRDefault="00DB6125" w:rsidP="00DB6125">
            <w:pPr>
              <w:ind w:left="284" w:hanging="284"/>
              <w:jc w:val="both"/>
              <w:rPr>
                <w:lang w:val="fr-BE"/>
              </w:rPr>
            </w:pPr>
            <w:r w:rsidRPr="00DB6125">
              <w:rPr>
                <w:lang w:val="fr-BE"/>
              </w:rPr>
              <w:t>•</w:t>
            </w:r>
            <w:proofErr w:type="spellStart"/>
            <w:r w:rsidRPr="00DB6125">
              <w:rPr>
                <w:lang w:val="fr-BE"/>
              </w:rPr>
              <w:t>Serumcreatinine</w:t>
            </w:r>
            <w:proofErr w:type="spellEnd"/>
            <w:r w:rsidRPr="00DB6125">
              <w:rPr>
                <w:lang w:val="fr-BE"/>
              </w:rPr>
              <w:t xml:space="preserve"> ≤ 2,5 x ULN</w:t>
            </w:r>
          </w:p>
        </w:tc>
      </w:tr>
      <w:tr w:rsidR="00B279BE" w:rsidRPr="00D6580B" w:rsidTr="00B279BE">
        <w:trPr>
          <w:cantSplit/>
          <w:trHeight w:val="110"/>
        </w:trPr>
        <w:tc>
          <w:tcPr>
            <w:tcW w:w="9889" w:type="dxa"/>
          </w:tcPr>
          <w:p w:rsidR="00B279BE" w:rsidRPr="00DB6125" w:rsidRDefault="00DB6125" w:rsidP="00DB6125">
            <w:pPr>
              <w:pStyle w:val="ListParagraph"/>
              <w:numPr>
                <w:ilvl w:val="0"/>
                <w:numId w:val="14"/>
              </w:numPr>
              <w:ind w:left="284" w:hanging="284"/>
              <w:jc w:val="both"/>
              <w:rPr>
                <w:rFonts w:asciiTheme="minorHAnsi" w:hAnsiTheme="minorHAnsi"/>
                <w:sz w:val="20"/>
              </w:rPr>
            </w:pPr>
            <w:r w:rsidRPr="00DB6125">
              <w:rPr>
                <w:rFonts w:asciiTheme="minorHAnsi" w:hAnsiTheme="minorHAnsi"/>
                <w:sz w:val="20"/>
              </w:rPr>
              <w:t xml:space="preserve">De patiënt komt niet in aanmerking voor een lopende klinische studie met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in dezelfde indicatie als van dit CUP.</w:t>
            </w:r>
          </w:p>
        </w:tc>
      </w:tr>
      <w:tr w:rsidR="00B516CE" w:rsidRPr="00D6580B" w:rsidTr="00B279BE">
        <w:trPr>
          <w:cantSplit/>
          <w:trHeight w:val="110"/>
        </w:trPr>
        <w:tc>
          <w:tcPr>
            <w:tcW w:w="9889" w:type="dxa"/>
          </w:tcPr>
          <w:p w:rsidR="00B516CE" w:rsidRPr="00DB6125" w:rsidRDefault="00B516CE" w:rsidP="00B516CE">
            <w:pPr>
              <w:pStyle w:val="ListParagraph"/>
              <w:numPr>
                <w:ilvl w:val="0"/>
                <w:numId w:val="14"/>
              </w:numPr>
              <w:ind w:left="284" w:hanging="284"/>
              <w:jc w:val="both"/>
              <w:rPr>
                <w:rFonts w:asciiTheme="minorHAnsi" w:hAnsiTheme="minorHAnsi"/>
                <w:sz w:val="20"/>
              </w:rPr>
            </w:pPr>
            <w:r>
              <w:rPr>
                <w:rFonts w:asciiTheme="minorHAnsi" w:hAnsiTheme="minorHAnsi"/>
                <w:sz w:val="20"/>
              </w:rPr>
              <w:t xml:space="preserve"> Regels voor deelname </w:t>
            </w:r>
            <w:r w:rsidRPr="00B516CE">
              <w:rPr>
                <w:rFonts w:asciiTheme="minorHAnsi" w:hAnsiTheme="minorHAnsi"/>
                <w:sz w:val="20"/>
              </w:rPr>
              <w:t>zoals opgesteld door het FAGG</w:t>
            </w:r>
            <w:r>
              <w:rPr>
                <w:rFonts w:asciiTheme="minorHAnsi" w:hAnsiTheme="minorHAnsi"/>
                <w:sz w:val="20"/>
              </w:rPr>
              <w:t>.</w:t>
            </w:r>
          </w:p>
        </w:tc>
      </w:tr>
    </w:tbl>
    <w:p w:rsidR="00B516CE" w:rsidRDefault="00B51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356562" w:rsidTr="00DB6125">
        <w:trPr>
          <w:cantSplit/>
          <w:trHeight w:val="110"/>
        </w:trPr>
        <w:tc>
          <w:tcPr>
            <w:tcW w:w="9889" w:type="dxa"/>
            <w:shd w:val="clear" w:color="auto" w:fill="F2DBDB" w:themeFill="accent2" w:themeFillTint="33"/>
          </w:tcPr>
          <w:p w:rsidR="00B279BE" w:rsidRPr="002C3AB0" w:rsidRDefault="00DB6125" w:rsidP="00B279BE">
            <w:pPr>
              <w:pStyle w:val="NoSpacing"/>
            </w:pPr>
            <w:r w:rsidRPr="002C3AB0">
              <w:lastRenderedPageBreak/>
              <w:t>Exclusiecriteria</w:t>
            </w:r>
          </w:p>
          <w:p w:rsidR="00DB6125" w:rsidRPr="00DB6125" w:rsidRDefault="00DB6125" w:rsidP="00B279BE">
            <w:pPr>
              <w:pStyle w:val="NoSpacing"/>
            </w:pPr>
            <w:r w:rsidRPr="00DB6125">
              <w:t>Patiënten die in aanmerking komen voor dit behandelingsplan, mogen aan geen enkele van de volgende criteria voldoen:</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3"/>
              </w:numPr>
              <w:ind w:left="284" w:hanging="284"/>
              <w:jc w:val="both"/>
              <w:rPr>
                <w:rFonts w:asciiTheme="minorHAnsi" w:hAnsiTheme="minorHAnsi"/>
                <w:sz w:val="20"/>
              </w:rPr>
            </w:pPr>
            <w:r w:rsidRPr="00DB6125">
              <w:rPr>
                <w:rFonts w:asciiTheme="minorHAnsi" w:hAnsiTheme="minorHAnsi"/>
                <w:sz w:val="20"/>
              </w:rPr>
              <w:t>Eerdere overgevoeligheid aan geneesmiddelen (</w:t>
            </w:r>
            <w:proofErr w:type="spellStart"/>
            <w:r w:rsidRPr="00DB6125">
              <w:rPr>
                <w:rFonts w:asciiTheme="minorHAnsi" w:hAnsiTheme="minorHAnsi"/>
                <w:sz w:val="20"/>
              </w:rPr>
              <w:t>midostaurin</w:t>
            </w:r>
            <w:proofErr w:type="spellEnd"/>
            <w:r w:rsidRPr="00DB6125">
              <w:rPr>
                <w:rFonts w:asciiTheme="minorHAnsi" w:hAnsiTheme="minorHAnsi"/>
                <w:sz w:val="20"/>
              </w:rPr>
              <w:t xml:space="preserve">, cytarabine, daunorubicine of </w:t>
            </w:r>
            <w:proofErr w:type="spellStart"/>
            <w:r w:rsidRPr="00DB6125">
              <w:rPr>
                <w:rFonts w:asciiTheme="minorHAnsi" w:hAnsiTheme="minorHAnsi"/>
                <w:sz w:val="20"/>
              </w:rPr>
              <w:t>idarubicine</w:t>
            </w:r>
            <w:proofErr w:type="spellEnd"/>
            <w:r w:rsidRPr="00DB6125">
              <w:rPr>
                <w:rFonts w:asciiTheme="minorHAnsi" w:hAnsiTheme="minorHAnsi"/>
                <w:sz w:val="20"/>
              </w:rPr>
              <w:t xml:space="preserve">) of metabolieten met een gelijkaardige chemische classificering als de IMP of een andere gekende contra-indicatie voor een behandeling met cytarabine, daunorubicine (of </w:t>
            </w:r>
            <w:proofErr w:type="spellStart"/>
            <w:r w:rsidRPr="00DB6125">
              <w:rPr>
                <w:rFonts w:asciiTheme="minorHAnsi" w:hAnsiTheme="minorHAnsi"/>
                <w:sz w:val="20"/>
              </w:rPr>
              <w:t>idarubicine</w:t>
            </w:r>
            <w:proofErr w:type="spellEnd"/>
            <w:r w:rsidRPr="00DB6125">
              <w:rPr>
                <w:rFonts w:asciiTheme="minorHAnsi" w:hAnsiTheme="minorHAnsi"/>
                <w:sz w:val="20"/>
              </w:rPr>
              <w:t xml:space="preserve">) </w:t>
            </w:r>
            <w:r>
              <w:rPr>
                <w:rFonts w:asciiTheme="minorHAnsi" w:hAnsiTheme="minorHAnsi"/>
                <w:sz w:val="20"/>
              </w:rPr>
              <w:t>overeenkomstig de relevante SPC.</w:t>
            </w:r>
          </w:p>
        </w:tc>
      </w:tr>
      <w:tr w:rsidR="00B279BE" w:rsidRPr="00D6580B" w:rsidTr="00B279BE">
        <w:trPr>
          <w:cantSplit/>
          <w:trHeight w:val="110"/>
        </w:trPr>
        <w:tc>
          <w:tcPr>
            <w:tcW w:w="9889" w:type="dxa"/>
          </w:tcPr>
          <w:p w:rsidR="00DB6125" w:rsidRPr="00DB6125" w:rsidRDefault="00DB6125" w:rsidP="00DB6125">
            <w:pPr>
              <w:pStyle w:val="ListParagraph"/>
              <w:numPr>
                <w:ilvl w:val="0"/>
                <w:numId w:val="23"/>
              </w:numPr>
              <w:ind w:left="284" w:hanging="284"/>
              <w:jc w:val="both"/>
              <w:rPr>
                <w:rFonts w:asciiTheme="minorHAnsi" w:hAnsiTheme="minorHAnsi"/>
                <w:bCs/>
                <w:sz w:val="20"/>
              </w:rPr>
            </w:pPr>
            <w:r w:rsidRPr="00DB6125">
              <w:rPr>
                <w:rFonts w:asciiTheme="minorHAnsi" w:hAnsiTheme="minorHAnsi"/>
                <w:sz w:val="20"/>
              </w:rPr>
              <w:t>Voorafgaande behandeling voor AML uitzondering van:</w:t>
            </w:r>
          </w:p>
          <w:p w:rsidR="00DB6125" w:rsidRPr="00DB6125" w:rsidRDefault="00DB6125" w:rsidP="00DB6125">
            <w:pPr>
              <w:ind w:left="284"/>
              <w:jc w:val="both"/>
              <w:rPr>
                <w:bCs/>
              </w:rPr>
            </w:pPr>
            <w:r w:rsidRPr="00DB6125">
              <w:t>•</w:t>
            </w:r>
            <w:proofErr w:type="spellStart"/>
            <w:r w:rsidRPr="00DB6125">
              <w:t>leukaferese</w:t>
            </w:r>
            <w:proofErr w:type="spellEnd"/>
            <w:r w:rsidRPr="00DB6125">
              <w:t xml:space="preserve"> in een noodgeval</w:t>
            </w:r>
          </w:p>
          <w:p w:rsidR="00DB6125" w:rsidRPr="00DB6125" w:rsidRDefault="00DB6125" w:rsidP="00DB6125">
            <w:pPr>
              <w:ind w:left="284"/>
              <w:jc w:val="both"/>
              <w:rPr>
                <w:bCs/>
              </w:rPr>
            </w:pPr>
            <w:r w:rsidRPr="00DB6125">
              <w:t xml:space="preserve">•noodbehandeling voor hyperleukocytose met </w:t>
            </w:r>
            <w:proofErr w:type="spellStart"/>
            <w:r w:rsidRPr="00DB6125">
              <w:t>hydroxyurea</w:t>
            </w:r>
            <w:proofErr w:type="spellEnd"/>
            <w:r w:rsidRPr="00DB6125">
              <w:t xml:space="preserve"> gedurende ≤ 5 dagen</w:t>
            </w:r>
          </w:p>
          <w:p w:rsidR="00DB6125" w:rsidRPr="00DB6125" w:rsidRDefault="00DB6125" w:rsidP="00DB6125">
            <w:pPr>
              <w:ind w:left="284"/>
              <w:jc w:val="both"/>
              <w:rPr>
                <w:bCs/>
              </w:rPr>
            </w:pPr>
            <w:r w:rsidRPr="00DB6125">
              <w:t xml:space="preserve">•craniale RT voor CNS </w:t>
            </w:r>
            <w:proofErr w:type="spellStart"/>
            <w:r w:rsidRPr="00DB6125">
              <w:t>leukostase</w:t>
            </w:r>
            <w:proofErr w:type="spellEnd"/>
            <w:r w:rsidRPr="00DB6125">
              <w:t xml:space="preserve"> (slechts één dosis)</w:t>
            </w:r>
          </w:p>
          <w:p w:rsidR="00B279BE" w:rsidRPr="00DB6125" w:rsidRDefault="00DB6125" w:rsidP="00DB6125">
            <w:pPr>
              <w:ind w:left="284"/>
              <w:jc w:val="both"/>
            </w:pPr>
            <w:r w:rsidRPr="00DB6125">
              <w:t>• groeifactor/cytokine ondersteuning</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3"/>
              </w:numPr>
              <w:ind w:left="284" w:hanging="284"/>
              <w:jc w:val="both"/>
              <w:rPr>
                <w:rFonts w:asciiTheme="minorHAnsi" w:hAnsiTheme="minorHAnsi"/>
                <w:sz w:val="20"/>
              </w:rPr>
            </w:pPr>
            <w:r w:rsidRPr="00DB6125">
              <w:rPr>
                <w:rFonts w:asciiTheme="minorHAnsi" w:hAnsiTheme="minorHAnsi"/>
                <w:sz w:val="20"/>
              </w:rPr>
              <w:t xml:space="preserve">Patiënten met een LVEF lager dan 45% (volgens echocardiogram of MUGA) of symptomatisch congestief hartfalen, klasse III of IV overeenkomstig de classificatie van de New York </w:t>
            </w:r>
            <w:proofErr w:type="spellStart"/>
            <w:r w:rsidRPr="00DB6125">
              <w:rPr>
                <w:rFonts w:asciiTheme="minorHAnsi" w:hAnsiTheme="minorHAnsi"/>
                <w:sz w:val="20"/>
              </w:rPr>
              <w:t>Heart</w:t>
            </w:r>
            <w:proofErr w:type="spellEnd"/>
            <w:r w:rsidRPr="00DB6125">
              <w:rPr>
                <w:rFonts w:asciiTheme="minorHAnsi" w:hAnsiTheme="minorHAnsi"/>
                <w:sz w:val="20"/>
              </w:rPr>
              <w:t xml:space="preserve"> </w:t>
            </w:r>
            <w:proofErr w:type="spellStart"/>
            <w:r w:rsidRPr="00DB6125">
              <w:rPr>
                <w:rFonts w:asciiTheme="minorHAnsi" w:hAnsiTheme="minorHAnsi"/>
                <w:sz w:val="20"/>
              </w:rPr>
              <w:t>Association</w:t>
            </w:r>
            <w:proofErr w:type="spellEnd"/>
            <w:r w:rsidRPr="00DB6125">
              <w:rPr>
                <w:rFonts w:asciiTheme="minorHAnsi" w:hAnsiTheme="minorHAnsi"/>
                <w:sz w:val="20"/>
              </w:rPr>
              <w:t xml:space="preserve"> (NYHA); patiënten met myocardiale infectie of onstabiele angina in de voorbije 6 maanden</w:t>
            </w:r>
            <w:r>
              <w:rPr>
                <w:rFonts w:asciiTheme="minorHAnsi" w:hAnsiTheme="minorHAnsi"/>
                <w:sz w:val="20"/>
              </w:rPr>
              <w: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3"/>
              </w:numPr>
              <w:ind w:left="284" w:hanging="284"/>
              <w:jc w:val="both"/>
              <w:rPr>
                <w:rFonts w:asciiTheme="minorHAnsi" w:hAnsiTheme="minorHAnsi"/>
                <w:sz w:val="20"/>
              </w:rPr>
            </w:pPr>
            <w:r w:rsidRPr="00DB6125">
              <w:rPr>
                <w:rFonts w:asciiTheme="minorHAnsi" w:hAnsiTheme="minorHAnsi"/>
                <w:sz w:val="20"/>
              </w:rPr>
              <w:t xml:space="preserve">Patiënten met een aandoening die niet onder controle is, inclusief, maar niet beperkt tot, acute of chronische pancreatitis of een infectie die niet onder controle is (bijv. actieve virale hepatitis of </w:t>
            </w:r>
            <w:proofErr w:type="spellStart"/>
            <w:r w:rsidRPr="00DB6125">
              <w:rPr>
                <w:rFonts w:asciiTheme="minorHAnsi" w:hAnsiTheme="minorHAnsi"/>
                <w:sz w:val="20"/>
              </w:rPr>
              <w:t>HIV-infectie</w:t>
            </w:r>
            <w:proofErr w:type="spellEnd"/>
            <w:r w:rsidRPr="00DB6125">
              <w:rPr>
                <w:rFonts w:asciiTheme="minorHAnsi" w:hAnsiTheme="minorHAnsi"/>
                <w:sz w:val="20"/>
              </w:rPr>
              <w:t>)</w:t>
            </w:r>
            <w:r>
              <w:rPr>
                <w:rFonts w:asciiTheme="minorHAnsi" w:hAnsiTheme="minorHAnsi"/>
                <w:sz w:val="20"/>
              </w:rPr>
              <w: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3"/>
              </w:numPr>
              <w:ind w:left="284" w:hanging="284"/>
              <w:jc w:val="both"/>
              <w:rPr>
                <w:rFonts w:asciiTheme="minorHAnsi" w:hAnsiTheme="minorHAnsi"/>
                <w:sz w:val="20"/>
              </w:rPr>
            </w:pPr>
            <w:proofErr w:type="spellStart"/>
            <w:r w:rsidRPr="00DB6125">
              <w:rPr>
                <w:rFonts w:asciiTheme="minorHAnsi" w:hAnsiTheme="minorHAnsi"/>
                <w:sz w:val="20"/>
              </w:rPr>
              <w:t>QTc</w:t>
            </w:r>
            <w:proofErr w:type="spellEnd"/>
            <w:r w:rsidRPr="00DB6125">
              <w:rPr>
                <w:rFonts w:asciiTheme="minorHAnsi" w:hAnsiTheme="minorHAnsi"/>
                <w:sz w:val="20"/>
              </w:rPr>
              <w:t xml:space="preserve"> &gt;500 </w:t>
            </w:r>
            <w:proofErr w:type="spellStart"/>
            <w:r w:rsidRPr="00DB6125">
              <w:rPr>
                <w:rFonts w:asciiTheme="minorHAnsi" w:hAnsiTheme="minorHAnsi"/>
                <w:sz w:val="20"/>
              </w:rPr>
              <w:t>msec</w:t>
            </w:r>
            <w:proofErr w:type="spellEnd"/>
            <w:r w:rsidRPr="00DB6125">
              <w:rPr>
                <w:rFonts w:asciiTheme="minorHAnsi" w:hAnsiTheme="minorHAnsi"/>
                <w:sz w:val="20"/>
              </w:rPr>
              <w:t xml:space="preserve"> bij screening-ECG</w:t>
            </w:r>
          </w:p>
        </w:tc>
      </w:tr>
      <w:tr w:rsidR="00B279BE" w:rsidRPr="00356562" w:rsidTr="00B279BE">
        <w:trPr>
          <w:cantSplit/>
          <w:trHeight w:val="110"/>
        </w:trPr>
        <w:tc>
          <w:tcPr>
            <w:tcW w:w="9889" w:type="dxa"/>
          </w:tcPr>
          <w:p w:rsidR="00DB6125" w:rsidRPr="00DB6125" w:rsidRDefault="00DB6125" w:rsidP="00BA6F7C">
            <w:pPr>
              <w:pStyle w:val="ListParagraph"/>
              <w:numPr>
                <w:ilvl w:val="0"/>
                <w:numId w:val="23"/>
              </w:numPr>
              <w:autoSpaceDE w:val="0"/>
              <w:autoSpaceDN w:val="0"/>
              <w:adjustRightInd w:val="0"/>
              <w:ind w:left="284" w:hanging="284"/>
              <w:jc w:val="both"/>
              <w:rPr>
                <w:rFonts w:asciiTheme="minorHAnsi" w:hAnsiTheme="minorHAnsi"/>
                <w:bCs/>
                <w:sz w:val="20"/>
              </w:rPr>
            </w:pPr>
            <w:r w:rsidRPr="00DB6125">
              <w:rPr>
                <w:rFonts w:asciiTheme="minorHAnsi" w:hAnsiTheme="minorHAnsi"/>
                <w:sz w:val="20"/>
              </w:rPr>
              <w:t xml:space="preserve">Vrouwen die zwanger kunnen worden, gedefinieerd als alle vrouwen die fysiologisch in staat zijn om zwanger te worden, met inbegrip van vrouwen bij wie gemeenschap met een mannelijke partner is uitgesloten omwille van carrière, levensstijl of seksuele geaardheid of vrouwen wier partners zijn gesteriliseerd met behulp van een vasectomie of andere middelen, TENZIJ een combinatie van twee anticonceptiemethodes wordt gebruikt. Vrouwen die zwanger kunnen worden, moeten zich onthouden van heteroseksuele gemeenschap of moeten TWEE geaccepteerde anticonceptiemethodes gebruiken; één heel doeltreffende methode (bijv. spiraaltje, hormonale therapie, </w:t>
            </w:r>
            <w:proofErr w:type="spellStart"/>
            <w:r w:rsidRPr="00DB6125">
              <w:rPr>
                <w:rFonts w:asciiTheme="minorHAnsi" w:hAnsiTheme="minorHAnsi"/>
                <w:sz w:val="20"/>
              </w:rPr>
              <w:t>tubaligatie</w:t>
            </w:r>
            <w:proofErr w:type="spellEnd"/>
            <w:r w:rsidRPr="00DB6125">
              <w:rPr>
                <w:rFonts w:asciiTheme="minorHAnsi" w:hAnsiTheme="minorHAnsi"/>
                <w:sz w:val="20"/>
              </w:rPr>
              <w:t xml:space="preserve"> of vasectomie van de partner) en één aanvullende doeltreffende methode (bijv. latex condoom, pessarium of cervixkapje) TEGELIJK.</w:t>
            </w:r>
          </w:p>
          <w:p w:rsidR="00DB6125" w:rsidRPr="00DB6125" w:rsidRDefault="00DB6125" w:rsidP="00BA6F7C">
            <w:pPr>
              <w:spacing w:line="240" w:lineRule="auto"/>
              <w:ind w:left="284"/>
              <w:jc w:val="both"/>
              <w:rPr>
                <w:bCs/>
              </w:rPr>
            </w:pPr>
            <w:r w:rsidRPr="00DB6125">
              <w:t>Betrouwbare anticonceptie moet de gehele behandelingsperiode worden aangehouden en vervolgens 3 maanden na het stopzetten van de behandeling.</w:t>
            </w:r>
          </w:p>
          <w:p w:rsidR="00B279BE" w:rsidRPr="00DB6125" w:rsidRDefault="00DB6125" w:rsidP="00BA6F7C">
            <w:pPr>
              <w:spacing w:line="240" w:lineRule="auto"/>
              <w:ind w:left="284"/>
              <w:jc w:val="both"/>
            </w:pPr>
            <w:r w:rsidRPr="00DB6125">
              <w:t xml:space="preserve">Vrouwen worden als </w:t>
            </w:r>
            <w:proofErr w:type="spellStart"/>
            <w:r w:rsidRPr="00DB6125">
              <w:t>post-menopauzaal</w:t>
            </w:r>
            <w:proofErr w:type="spellEnd"/>
            <w:r w:rsidRPr="00DB6125">
              <w:t xml:space="preserve"> beschouwd en niet in staat om zwanger te worden indien ze ten minste 12 maanden (natuurlijke) amenorroe hebben met een geschikt klinisch profiel (bijv. de  juiste leeftijd, geschiedenis van vasomotorische symptomen) of zes maanden spontane amenorroe met een serum FSH-peil &gt; 40 </w:t>
            </w:r>
            <w:proofErr w:type="spellStart"/>
            <w:r w:rsidRPr="00DB6125">
              <w:t>mIU</w:t>
            </w:r>
            <w:proofErr w:type="spellEnd"/>
            <w:r w:rsidRPr="00DB6125">
              <w:t xml:space="preserve">/ml en estradiol &lt; 20 pg/ml of indien ze een chirurgische bilaterale </w:t>
            </w:r>
            <w:proofErr w:type="spellStart"/>
            <w:r w:rsidRPr="00DB6125">
              <w:t>ovariëctomie</w:t>
            </w:r>
            <w:proofErr w:type="spellEnd"/>
            <w:r w:rsidRPr="00DB6125">
              <w:t xml:space="preserve"> (met of zonder hysterectomie) ondergingen ten minste zes weken geleden. Indien alleen een </w:t>
            </w:r>
            <w:proofErr w:type="spellStart"/>
            <w:r w:rsidRPr="00DB6125">
              <w:t>ovariëctomie</w:t>
            </w:r>
            <w:proofErr w:type="spellEnd"/>
            <w:r w:rsidRPr="00DB6125">
              <w:t xml:space="preserve"> werd uitgevoerd, wordt de vrouw alleen beschouwd als niet in staat om zwanger te worden indien dit is bevestigd door een beoordeling achteraf van het hormoonpeil.</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3"/>
              </w:numPr>
              <w:ind w:left="284" w:hanging="284"/>
              <w:jc w:val="both"/>
              <w:rPr>
                <w:rFonts w:asciiTheme="minorHAnsi" w:hAnsiTheme="minorHAnsi"/>
                <w:sz w:val="20"/>
              </w:rPr>
            </w:pPr>
            <w:r w:rsidRPr="00DB6125">
              <w:rPr>
                <w:rFonts w:asciiTheme="minorHAnsi" w:hAnsiTheme="minorHAnsi"/>
                <w:sz w:val="20"/>
              </w:rPr>
              <w:t xml:space="preserve">Seksueel actieve mannen, tenzij ze een condoom gebruiken tijdens gemeenschap terwijl ze het geneesmiddel nemen en gedurende 5 maanden na het stopzetten van de behandeling met </w:t>
            </w:r>
            <w:proofErr w:type="spellStart"/>
            <w:r w:rsidRPr="00DB6125">
              <w:rPr>
                <w:rFonts w:asciiTheme="minorHAnsi" w:hAnsiTheme="minorHAnsi"/>
                <w:sz w:val="20"/>
              </w:rPr>
              <w:t>midostaurin</w:t>
            </w:r>
            <w:proofErr w:type="spellEnd"/>
            <w:r w:rsidRPr="00DB6125">
              <w:rPr>
                <w:rFonts w:asciiTheme="minorHAnsi" w:hAnsiTheme="minorHAnsi"/>
                <w:sz w:val="20"/>
              </w:rPr>
              <w:t>. Tijdens deze periode mogen zij geen kind verwekken. Er moet een condoom worden gebruikt, ook door mannen die een vasectomie hebben ondergaan, om te voorkomen dat het geneesmiddel wordt overgedragen via zaadvocht.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4"/>
              </w:numPr>
              <w:ind w:left="284" w:hanging="284"/>
              <w:jc w:val="both"/>
              <w:rPr>
                <w:rFonts w:asciiTheme="minorHAnsi" w:hAnsiTheme="minorHAnsi"/>
                <w:sz w:val="20"/>
              </w:rPr>
            </w:pPr>
            <w:r w:rsidRPr="00DB6125">
              <w:rPr>
                <w:rFonts w:asciiTheme="minorHAnsi" w:hAnsiTheme="minorHAnsi"/>
                <w:sz w:val="20"/>
              </w:rPr>
              <w:t>Deelname aan een eerdere studie binnen de 30 dagen voorafgaand aan de inschrijving of binnen 5 keer de halfwaardetijd van het onderzoeksmiddel, wat het langste duurt.</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4"/>
              </w:numPr>
              <w:ind w:left="284" w:hanging="284"/>
              <w:jc w:val="both"/>
              <w:rPr>
                <w:rFonts w:asciiTheme="minorHAnsi" w:hAnsiTheme="minorHAnsi"/>
                <w:sz w:val="20"/>
              </w:rPr>
            </w:pPr>
            <w:r w:rsidRPr="00DB6125">
              <w:rPr>
                <w:rFonts w:asciiTheme="minorHAnsi" w:hAnsiTheme="minorHAnsi"/>
                <w:sz w:val="20"/>
              </w:rPr>
              <w:t>Niet in staat om de instructies en vereisten van de behandeling te begrijpen en na te leven.</w:t>
            </w:r>
          </w:p>
        </w:tc>
      </w:tr>
      <w:tr w:rsidR="00B279BE" w:rsidRPr="00356562" w:rsidTr="00B279BE">
        <w:trPr>
          <w:cantSplit/>
          <w:trHeight w:val="110"/>
        </w:trPr>
        <w:tc>
          <w:tcPr>
            <w:tcW w:w="9889" w:type="dxa"/>
          </w:tcPr>
          <w:p w:rsidR="00B279BE" w:rsidRPr="00DB6125" w:rsidRDefault="00DB6125" w:rsidP="00DB6125">
            <w:pPr>
              <w:pStyle w:val="ListParagraph"/>
              <w:numPr>
                <w:ilvl w:val="0"/>
                <w:numId w:val="24"/>
              </w:numPr>
              <w:ind w:left="284" w:hanging="284"/>
              <w:jc w:val="both"/>
              <w:rPr>
                <w:rFonts w:asciiTheme="minorHAnsi" w:hAnsiTheme="minorHAnsi"/>
                <w:sz w:val="20"/>
              </w:rPr>
            </w:pPr>
            <w:r w:rsidRPr="00DB6125">
              <w:rPr>
                <w:rFonts w:asciiTheme="minorHAnsi" w:hAnsiTheme="minorHAnsi"/>
                <w:sz w:val="20"/>
              </w:rPr>
              <w:t>De patiënt heeft cyclus 2 van de geconsolideerde chemotherapie al voltooid</w:t>
            </w:r>
            <w:r>
              <w:rPr>
                <w:rFonts w:asciiTheme="minorHAnsi" w:hAnsiTheme="minorHAnsi"/>
                <w:sz w:val="20"/>
              </w:rPr>
              <w:t>.</w:t>
            </w:r>
          </w:p>
        </w:tc>
      </w:tr>
      <w:tr w:rsidR="00B516CE" w:rsidRPr="00356562" w:rsidTr="00B279BE">
        <w:trPr>
          <w:cantSplit/>
          <w:trHeight w:val="110"/>
        </w:trPr>
        <w:tc>
          <w:tcPr>
            <w:tcW w:w="9889" w:type="dxa"/>
          </w:tcPr>
          <w:p w:rsidR="00B516CE" w:rsidRPr="00DB6125" w:rsidRDefault="00B516CE" w:rsidP="00B516CE">
            <w:pPr>
              <w:pStyle w:val="ListParagraph"/>
              <w:numPr>
                <w:ilvl w:val="0"/>
                <w:numId w:val="24"/>
              </w:numPr>
              <w:ind w:left="284" w:hanging="284"/>
              <w:jc w:val="both"/>
              <w:rPr>
                <w:rFonts w:asciiTheme="minorHAnsi" w:hAnsiTheme="minorHAnsi"/>
                <w:sz w:val="20"/>
              </w:rPr>
            </w:pPr>
            <w:r w:rsidRPr="00B516CE">
              <w:rPr>
                <w:rFonts w:asciiTheme="minorHAnsi" w:hAnsiTheme="minorHAnsi"/>
                <w:sz w:val="20"/>
              </w:rPr>
              <w:t xml:space="preserve">M3-vorm van AML (andere naam: acute </w:t>
            </w:r>
            <w:proofErr w:type="spellStart"/>
            <w:r w:rsidRPr="00B516CE">
              <w:rPr>
                <w:rFonts w:asciiTheme="minorHAnsi" w:hAnsiTheme="minorHAnsi"/>
                <w:sz w:val="20"/>
              </w:rPr>
              <w:t>promyelocyten</w:t>
            </w:r>
            <w:proofErr w:type="spellEnd"/>
            <w:r w:rsidRPr="00B516CE">
              <w:rPr>
                <w:rFonts w:asciiTheme="minorHAnsi" w:hAnsiTheme="minorHAnsi"/>
                <w:sz w:val="20"/>
              </w:rPr>
              <w:t xml:space="preserve"> leukemie)</w:t>
            </w:r>
          </w:p>
        </w:tc>
      </w:tr>
      <w:tr w:rsidR="00B516CE" w:rsidRPr="00356562" w:rsidTr="00B279BE">
        <w:trPr>
          <w:cantSplit/>
          <w:trHeight w:val="110"/>
        </w:trPr>
        <w:tc>
          <w:tcPr>
            <w:tcW w:w="9889" w:type="dxa"/>
          </w:tcPr>
          <w:p w:rsidR="00B516CE" w:rsidRPr="00DB6125" w:rsidRDefault="00B516CE" w:rsidP="00B516CE">
            <w:pPr>
              <w:pStyle w:val="ListParagraph"/>
              <w:numPr>
                <w:ilvl w:val="0"/>
                <w:numId w:val="24"/>
              </w:numPr>
              <w:ind w:left="284" w:hanging="284"/>
              <w:jc w:val="both"/>
              <w:rPr>
                <w:rFonts w:asciiTheme="minorHAnsi" w:hAnsiTheme="minorHAnsi"/>
                <w:sz w:val="20"/>
              </w:rPr>
            </w:pPr>
            <w:r>
              <w:rPr>
                <w:rFonts w:asciiTheme="minorHAnsi" w:hAnsiTheme="minorHAnsi"/>
                <w:sz w:val="20"/>
              </w:rPr>
              <w:t>P</w:t>
            </w:r>
            <w:r w:rsidRPr="00B516CE">
              <w:rPr>
                <w:rFonts w:asciiTheme="minorHAnsi" w:hAnsiTheme="minorHAnsi"/>
                <w:sz w:val="20"/>
              </w:rPr>
              <w:t>atiënten met een antecedent van acuut myocardinfarct in de voorbije 6 maanden</w:t>
            </w:r>
          </w:p>
        </w:tc>
      </w:tr>
    </w:tbl>
    <w:p w:rsidR="009A0E8E" w:rsidRDefault="009A0E8E" w:rsidP="00065731">
      <w:pPr>
        <w:pStyle w:val="NoSpacing"/>
        <w:ind w:left="567" w:right="567"/>
        <w:jc w:val="both"/>
        <w:rPr>
          <w:b/>
        </w:rPr>
      </w:pPr>
    </w:p>
    <w:p w:rsidR="00B516CE" w:rsidRDefault="00B516CE" w:rsidP="00065731">
      <w:pPr>
        <w:pStyle w:val="NoSpacing"/>
        <w:ind w:left="567" w:right="567"/>
        <w:jc w:val="both"/>
        <w:rPr>
          <w:b/>
        </w:rPr>
      </w:pPr>
    </w:p>
    <w:p w:rsidR="00B516CE" w:rsidRDefault="00B516CE" w:rsidP="00065731">
      <w:pPr>
        <w:pStyle w:val="NoSpacing"/>
        <w:ind w:left="567" w:right="567"/>
        <w:jc w:val="both"/>
        <w:rPr>
          <w:b/>
        </w:rPr>
      </w:pPr>
    </w:p>
    <w:p w:rsidR="00B516CE" w:rsidRDefault="00B516CE" w:rsidP="00065731">
      <w:pPr>
        <w:pStyle w:val="NoSpacing"/>
        <w:ind w:left="567" w:right="567"/>
        <w:jc w:val="both"/>
        <w:rPr>
          <w:b/>
        </w:rPr>
      </w:pPr>
    </w:p>
    <w:p w:rsidR="00B516CE" w:rsidRDefault="00B516CE" w:rsidP="00065731">
      <w:pPr>
        <w:pStyle w:val="NoSpacing"/>
        <w:ind w:left="567" w:right="567"/>
        <w:jc w:val="both"/>
        <w:rPr>
          <w:b/>
        </w:rPr>
      </w:pPr>
    </w:p>
    <w:p w:rsidR="00B516CE" w:rsidRDefault="00B516CE" w:rsidP="00065731">
      <w:pPr>
        <w:pStyle w:val="NoSpacing"/>
        <w:ind w:left="567" w:right="567"/>
        <w:jc w:val="both"/>
        <w:rPr>
          <w:b/>
        </w:rPr>
      </w:pPr>
    </w:p>
    <w:p w:rsidR="00B516CE" w:rsidRDefault="00B516CE" w:rsidP="00065731">
      <w:pPr>
        <w:pStyle w:val="NoSpacing"/>
        <w:ind w:left="567" w:right="567"/>
        <w:jc w:val="both"/>
        <w:rPr>
          <w:b/>
        </w:rPr>
      </w:pPr>
    </w:p>
    <w:p w:rsidR="00B516CE" w:rsidRPr="00A705DE" w:rsidRDefault="00B516CE" w:rsidP="00B516CE">
      <w:pPr>
        <w:pStyle w:val="NoSpacing"/>
        <w:ind w:left="1984" w:right="1984"/>
        <w:jc w:val="both"/>
        <w:rPr>
          <w:i/>
        </w:rPr>
      </w:pPr>
    </w:p>
    <w:p w:rsidR="00B516CE" w:rsidRPr="00B516CE" w:rsidRDefault="00B516CE" w:rsidP="00B516CE">
      <w:pPr>
        <w:pStyle w:val="Heading2"/>
        <w:numPr>
          <w:ilvl w:val="0"/>
          <w:numId w:val="0"/>
        </w:numPr>
        <w:ind w:left="720" w:hanging="720"/>
        <w:rPr>
          <w:lang w:val="nl-BE"/>
        </w:rPr>
      </w:pPr>
      <w:r w:rsidRPr="00B516CE">
        <w:rPr>
          <w:lang w:val="nl-BE"/>
        </w:rPr>
        <w:lastRenderedPageBreak/>
        <w:t>SPECIALISATI</w:t>
      </w:r>
      <w:r w:rsidRPr="00E5583D">
        <w:rPr>
          <w:lang w:val="nl-BE"/>
        </w:rPr>
        <w:t>E</w:t>
      </w:r>
      <w:r w:rsidRPr="00B516CE">
        <w:rPr>
          <w:lang w:val="nl-BE"/>
        </w:rPr>
        <w:t xml:space="preserve"> </w:t>
      </w:r>
      <w:r w:rsidRPr="00E5583D">
        <w:rPr>
          <w:lang w:val="nl-BE"/>
        </w:rPr>
        <w:t>VAN DE VOORSCHRIJVER</w:t>
      </w:r>
      <w:r w:rsidRPr="00B516CE">
        <w:rPr>
          <w:lang w:val="nl-BE"/>
        </w:rPr>
        <w:t xml:space="preserve"> </w:t>
      </w:r>
    </w:p>
    <w:p w:rsidR="00B516CE" w:rsidRPr="00B516CE" w:rsidRDefault="00B516CE" w:rsidP="00065731">
      <w:pPr>
        <w:pStyle w:val="NoSpacing"/>
        <w:ind w:left="567" w:right="567"/>
        <w:jc w:val="both"/>
      </w:pPr>
    </w:p>
    <w:p w:rsidR="000A0FC5" w:rsidRPr="00B516CE" w:rsidRDefault="000A0FC5" w:rsidP="00065731">
      <w:pPr>
        <w:pStyle w:val="NoSpacing"/>
        <w:ind w:left="567" w:right="567"/>
        <w:jc w:val="both"/>
      </w:pPr>
    </w:p>
    <w:p w:rsidR="000A0FC5" w:rsidRPr="00B516CE" w:rsidRDefault="00FC7B5C" w:rsidP="00BA6F7C">
      <w:pPr>
        <w:pStyle w:val="NoSpacing"/>
        <w:ind w:right="567"/>
        <w:jc w:val="both"/>
      </w:pPr>
      <w:r w:rsidRPr="00B516CE">
        <w:rPr>
          <w:b/>
        </w:rPr>
        <w:t>Sp</w:t>
      </w:r>
      <w:r w:rsidRPr="000A0FC5">
        <w:rPr>
          <w:b/>
        </w:rPr>
        <w:t>e</w:t>
      </w:r>
      <w:r w:rsidRPr="00B516CE">
        <w:rPr>
          <w:b/>
        </w:rPr>
        <w:t>cialisati</w:t>
      </w:r>
      <w:r w:rsidRPr="000A0FC5">
        <w:rPr>
          <w:b/>
        </w:rPr>
        <w:t>e van de voorschrijver</w:t>
      </w:r>
      <w:r w:rsidRPr="00B516CE">
        <w:t xml:space="preserve"> </w:t>
      </w:r>
    </w:p>
    <w:p w:rsidR="000A0FC5" w:rsidRPr="00B516CE" w:rsidRDefault="000A0FC5" w:rsidP="00065731">
      <w:pPr>
        <w:pStyle w:val="NoSpacing"/>
        <w:ind w:left="567" w:right="567"/>
        <w:jc w:val="both"/>
      </w:pPr>
    </w:p>
    <w:p w:rsidR="00FC7B5C" w:rsidRDefault="00FC7B5C" w:rsidP="00BA6F7C">
      <w:pPr>
        <w:pStyle w:val="NoSpacing"/>
        <w:ind w:right="567"/>
        <w:jc w:val="both"/>
      </w:pPr>
      <w:r>
        <w:t xml:space="preserve">arts-specialist </w:t>
      </w:r>
      <w:r w:rsidR="00065731">
        <w:t xml:space="preserve">in de inwendige geneeskunde met de bijzondere beroepstitel </w:t>
      </w:r>
      <w:r>
        <w:t>erke</w:t>
      </w:r>
      <w:r w:rsidR="00065731">
        <w:t>nd in de klinische hematologie</w:t>
      </w:r>
    </w:p>
    <w:p w:rsidR="009A0E8E" w:rsidRDefault="009A0E8E" w:rsidP="00065731">
      <w:pPr>
        <w:pStyle w:val="NoSpacing"/>
        <w:ind w:left="567" w:right="567"/>
        <w:jc w:val="both"/>
      </w:pPr>
    </w:p>
    <w:p w:rsidR="009D768F" w:rsidRPr="00AA2A12" w:rsidRDefault="009D768F" w:rsidP="00356562">
      <w:pPr>
        <w:pStyle w:val="NoSpacing"/>
      </w:pPr>
    </w:p>
    <w:p w:rsidR="00356562" w:rsidRPr="00FC6706" w:rsidRDefault="00BA6F7C" w:rsidP="00BA6F7C">
      <w:pPr>
        <w:pStyle w:val="Heading2"/>
        <w:numPr>
          <w:ilvl w:val="0"/>
          <w:numId w:val="0"/>
        </w:numPr>
        <w:ind w:left="720" w:hanging="720"/>
        <w:rPr>
          <w:lang w:val="nl-BE"/>
        </w:rPr>
      </w:pPr>
      <w:r>
        <w:rPr>
          <w:lang w:val="nl-BE"/>
        </w:rPr>
        <w:t>BEDRAG VAN TUSSENKOMST</w:t>
      </w:r>
    </w:p>
    <w:p w:rsidR="00356562" w:rsidRPr="00FC6706" w:rsidRDefault="00356562" w:rsidP="00356562">
      <w:pPr>
        <w:pStyle w:val="NoSpacing"/>
      </w:pPr>
    </w:p>
    <w:tbl>
      <w:tblPr>
        <w:tblStyle w:val="TableGrid"/>
        <w:tblW w:w="9889" w:type="dxa"/>
        <w:tblLook w:val="04A0" w:firstRow="1" w:lastRow="0" w:firstColumn="1" w:lastColumn="0" w:noHBand="0" w:noVBand="1"/>
      </w:tblPr>
      <w:tblGrid>
        <w:gridCol w:w="5070"/>
        <w:gridCol w:w="4819"/>
      </w:tblGrid>
      <w:tr w:rsidR="00495856" w:rsidRPr="00A77546" w:rsidTr="00BA6F7C">
        <w:tc>
          <w:tcPr>
            <w:tcW w:w="5070" w:type="dxa"/>
            <w:shd w:val="clear" w:color="auto" w:fill="F2DBDB" w:themeFill="accent2" w:themeFillTint="33"/>
          </w:tcPr>
          <w:p w:rsidR="00BA6F7C" w:rsidRDefault="00495856" w:rsidP="00BA6F7C">
            <w:pPr>
              <w:jc w:val="both"/>
              <w:rPr>
                <w:i/>
              </w:rPr>
            </w:pPr>
            <w:r w:rsidRPr="009D7351">
              <w:rPr>
                <w:i/>
              </w:rPr>
              <w:t xml:space="preserve">RYDAPT </w:t>
            </w:r>
            <w:r w:rsidR="00BA6F7C">
              <w:rPr>
                <w:i/>
              </w:rPr>
              <w:t>(</w:t>
            </w:r>
            <w:proofErr w:type="spellStart"/>
            <w:r w:rsidRPr="009D7351">
              <w:rPr>
                <w:i/>
              </w:rPr>
              <w:t>midostaurin</w:t>
            </w:r>
            <w:proofErr w:type="spellEnd"/>
            <w:r w:rsidR="00BA6F7C">
              <w:rPr>
                <w:i/>
              </w:rPr>
              <w:t>)</w:t>
            </w:r>
          </w:p>
          <w:p w:rsidR="00495856" w:rsidRPr="009D7351" w:rsidRDefault="00495856" w:rsidP="00BA6F7C">
            <w:pPr>
              <w:jc w:val="both"/>
              <w:rPr>
                <w:i/>
              </w:rPr>
            </w:pPr>
            <w:r w:rsidRPr="009D7351">
              <w:rPr>
                <w:i/>
              </w:rPr>
              <w:t xml:space="preserve"> 25 mg </w:t>
            </w:r>
            <w:r w:rsidR="00BA6F7C">
              <w:rPr>
                <w:i/>
              </w:rPr>
              <w:t xml:space="preserve">zachte </w:t>
            </w:r>
            <w:r w:rsidRPr="009D7351">
              <w:rPr>
                <w:i/>
              </w:rPr>
              <w:t>caps</w:t>
            </w:r>
            <w:r w:rsidR="00BA6F7C">
              <w:rPr>
                <w:i/>
              </w:rPr>
              <w:t>ules</w:t>
            </w:r>
          </w:p>
        </w:tc>
        <w:tc>
          <w:tcPr>
            <w:tcW w:w="4819" w:type="dxa"/>
            <w:shd w:val="clear" w:color="auto" w:fill="F2DBDB" w:themeFill="accent2" w:themeFillTint="33"/>
          </w:tcPr>
          <w:p w:rsidR="00495856" w:rsidRDefault="00495856" w:rsidP="00EE3F69">
            <w:pPr>
              <w:jc w:val="center"/>
              <w:rPr>
                <w:lang w:val="fr-BE"/>
              </w:rPr>
            </w:pPr>
            <w:proofErr w:type="spellStart"/>
            <w:r>
              <w:rPr>
                <w:rFonts w:ascii="Calibri" w:hAnsi="Calibri"/>
                <w:lang w:val="fr-BE"/>
              </w:rPr>
              <w:t>Bedrag</w:t>
            </w:r>
            <w:proofErr w:type="spellEnd"/>
            <w:r>
              <w:rPr>
                <w:rFonts w:ascii="Calibri" w:hAnsi="Calibri"/>
                <w:lang w:val="fr-BE"/>
              </w:rPr>
              <w:t xml:space="preserve"> van </w:t>
            </w:r>
            <w:proofErr w:type="spellStart"/>
            <w:r>
              <w:rPr>
                <w:rFonts w:ascii="Calibri" w:hAnsi="Calibri"/>
                <w:lang w:val="fr-BE"/>
              </w:rPr>
              <w:t>tussenkomst</w:t>
            </w:r>
            <w:proofErr w:type="spellEnd"/>
            <w:r w:rsidRPr="00A77546">
              <w:rPr>
                <w:lang w:val="fr-BE"/>
              </w:rPr>
              <w:t xml:space="preserve"> (EURO)</w:t>
            </w:r>
          </w:p>
          <w:p w:rsidR="00BA6F7C" w:rsidRPr="00BA6F7C" w:rsidRDefault="00BA6F7C" w:rsidP="00BA6F7C">
            <w:pPr>
              <w:pStyle w:val="NoSpacing"/>
              <w:rPr>
                <w:lang w:val="fr-BE"/>
              </w:rPr>
            </w:pPr>
          </w:p>
        </w:tc>
      </w:tr>
      <w:tr w:rsidR="00495856" w:rsidRPr="00A77546" w:rsidTr="00EE3F69">
        <w:tc>
          <w:tcPr>
            <w:tcW w:w="5070" w:type="dxa"/>
          </w:tcPr>
          <w:p w:rsidR="00495856" w:rsidRPr="00495856" w:rsidRDefault="00495856" w:rsidP="00EE3F69">
            <w:pPr>
              <w:jc w:val="both"/>
            </w:pPr>
            <w:r w:rsidRPr="00495856">
              <w:t>Éénmalige tussenkomst voor CUP van gemengde cohorte</w:t>
            </w:r>
          </w:p>
        </w:tc>
        <w:tc>
          <w:tcPr>
            <w:tcW w:w="4819" w:type="dxa"/>
          </w:tcPr>
          <w:p w:rsidR="00495856" w:rsidRPr="00495856" w:rsidRDefault="00495856" w:rsidP="00EE3F69">
            <w:pPr>
              <w:jc w:val="center"/>
            </w:pPr>
            <w:r w:rsidRPr="00495856">
              <w:t>20.</w:t>
            </w:r>
            <w:r>
              <w:t>000</w:t>
            </w:r>
            <w:r w:rsidRPr="00495856">
              <w:t xml:space="preserve"> </w:t>
            </w:r>
            <w:r w:rsidRPr="00495856">
              <w:rPr>
                <w:rFonts w:ascii="Calibri" w:hAnsi="Calibri" w:cs="Calibri"/>
              </w:rPr>
              <w:t>€</w:t>
            </w:r>
          </w:p>
        </w:tc>
      </w:tr>
      <w:tr w:rsidR="00495856" w:rsidRPr="00A77546" w:rsidTr="00EE3F69">
        <w:tc>
          <w:tcPr>
            <w:tcW w:w="5070" w:type="dxa"/>
          </w:tcPr>
          <w:p w:rsidR="001701C8" w:rsidRPr="001701C8" w:rsidRDefault="00495856" w:rsidP="00BA6F7C">
            <w:pPr>
              <w:jc w:val="both"/>
            </w:pPr>
            <w:r>
              <w:t>Tussenkomst per patiënt per periode van 12 maanden behandeling</w:t>
            </w:r>
            <w:r w:rsidR="00BA6F7C">
              <w:t xml:space="preserve"> </w:t>
            </w:r>
            <w:r w:rsidR="00BA6F7C" w:rsidRPr="00BA6F7C">
              <w:rPr>
                <w:sz w:val="18"/>
              </w:rPr>
              <w:t>(p</w:t>
            </w:r>
            <w:r w:rsidR="001701C8" w:rsidRPr="00BA6F7C">
              <w:rPr>
                <w:sz w:val="18"/>
              </w:rPr>
              <w:t>ro rata te verminderen</w:t>
            </w:r>
            <w:r w:rsidR="00BA6F7C" w:rsidRPr="00BA6F7C">
              <w:rPr>
                <w:sz w:val="18"/>
              </w:rPr>
              <w:t>)</w:t>
            </w:r>
          </w:p>
        </w:tc>
        <w:tc>
          <w:tcPr>
            <w:tcW w:w="4819" w:type="dxa"/>
          </w:tcPr>
          <w:p w:rsidR="00495856" w:rsidRPr="00495856" w:rsidRDefault="00495856" w:rsidP="00EE3F69">
            <w:pPr>
              <w:jc w:val="center"/>
            </w:pPr>
            <w:r>
              <w:t>2.500</w:t>
            </w:r>
            <w:r w:rsidRPr="00495856">
              <w:t xml:space="preserve"> </w:t>
            </w:r>
            <w:r w:rsidRPr="00495856">
              <w:rPr>
                <w:rFonts w:ascii="Calibri" w:hAnsi="Calibri" w:cs="Calibri"/>
              </w:rPr>
              <w:t>€</w:t>
            </w:r>
          </w:p>
        </w:tc>
      </w:tr>
    </w:tbl>
    <w:p w:rsidR="00ED4CF3" w:rsidRDefault="00ED4CF3">
      <w:pPr>
        <w:spacing w:after="200"/>
      </w:pPr>
    </w:p>
    <w:p w:rsidR="000C0064" w:rsidRDefault="000C0064" w:rsidP="000C0064">
      <w:pPr>
        <w:pStyle w:val="NoSpacing"/>
      </w:pPr>
    </w:p>
    <w:p w:rsidR="000C0064" w:rsidRDefault="000C0064" w:rsidP="000C0064">
      <w:pPr>
        <w:pStyle w:val="NoSpacing"/>
      </w:pPr>
    </w:p>
    <w:p w:rsidR="000C0064" w:rsidRDefault="000C0064" w:rsidP="000C0064">
      <w:pPr>
        <w:pStyle w:val="NoSpacing"/>
      </w:pPr>
    </w:p>
    <w:p w:rsidR="000C0064" w:rsidRDefault="000C0064" w:rsidP="000C0064">
      <w:pPr>
        <w:pStyle w:val="NoSpacing"/>
      </w:pPr>
    </w:p>
    <w:p w:rsidR="000C0064" w:rsidRDefault="000C0064" w:rsidP="000C0064">
      <w:pPr>
        <w:pStyle w:val="NoSpacing"/>
      </w:pPr>
    </w:p>
    <w:sectPr w:rsidR="000C0064" w:rsidSect="009015A3">
      <w:footerReference w:type="default" r:id="rId9"/>
      <w:pgSz w:w="12240" w:h="15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CE" w:rsidRDefault="00B516CE">
      <w:pPr>
        <w:spacing w:line="240" w:lineRule="auto"/>
      </w:pPr>
      <w:r>
        <w:separator/>
      </w:r>
    </w:p>
  </w:endnote>
  <w:endnote w:type="continuationSeparator" w:id="0">
    <w:p w:rsidR="00B516CE" w:rsidRDefault="00B51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1528"/>
      <w:docPartObj>
        <w:docPartGallery w:val="Page Numbers (Bottom of Page)"/>
        <w:docPartUnique/>
      </w:docPartObj>
    </w:sdtPr>
    <w:sdtEndPr/>
    <w:sdtContent>
      <w:p w:rsidR="00B516CE" w:rsidRDefault="00B516CE">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1020"/>
          <w:gridCol w:w="9182"/>
        </w:tblGrid>
        <w:tr w:rsidR="00B516CE" w:rsidRPr="00EE15BE" w:rsidTr="009015A3">
          <w:tc>
            <w:tcPr>
              <w:tcW w:w="500" w:type="pct"/>
              <w:tcBorders>
                <w:top w:val="single" w:sz="4" w:space="0" w:color="943634" w:themeColor="accent2" w:themeShade="BF"/>
              </w:tcBorders>
              <w:shd w:val="clear" w:color="auto" w:fill="943634" w:themeFill="accent2" w:themeFillShade="BF"/>
            </w:tcPr>
            <w:p w:rsidR="00B516CE" w:rsidRPr="00F16A8E" w:rsidRDefault="00B516CE" w:rsidP="009015A3">
              <w:pPr>
                <w:tabs>
                  <w:tab w:val="center" w:pos="4680"/>
                  <w:tab w:val="right" w:pos="9360"/>
                </w:tabs>
                <w:spacing w:line="240" w:lineRule="auto"/>
                <w:jc w:val="right"/>
                <w:rPr>
                  <w:b/>
                  <w:bCs/>
                  <w:color w:val="FFFFFF" w:themeColor="background1"/>
                </w:rPr>
              </w:pPr>
              <w:r w:rsidRPr="00F16A8E">
                <w:fldChar w:fldCharType="begin"/>
              </w:r>
              <w:r w:rsidRPr="00F16A8E">
                <w:instrText>PAGE   \* MERGEFORMAT</w:instrText>
              </w:r>
              <w:r w:rsidRPr="00F16A8E">
                <w:fldChar w:fldCharType="separate"/>
              </w:r>
              <w:r w:rsidR="00C4632B" w:rsidRPr="00C4632B">
                <w:rPr>
                  <w:noProof/>
                  <w:color w:val="FFFFFF" w:themeColor="background1"/>
                  <w:lang w:val="nl-NL"/>
                </w:rPr>
                <w:t>3</w:t>
              </w:r>
              <w:r w:rsidRPr="00F16A8E">
                <w:rPr>
                  <w:color w:val="FFFFFF" w:themeColor="background1"/>
                </w:rPr>
                <w:fldChar w:fldCharType="end"/>
              </w:r>
            </w:p>
          </w:tc>
          <w:tc>
            <w:tcPr>
              <w:tcW w:w="4500" w:type="pct"/>
              <w:tcBorders>
                <w:top w:val="single" w:sz="4" w:space="0" w:color="auto"/>
              </w:tcBorders>
            </w:tcPr>
            <w:p w:rsidR="00B516CE" w:rsidRPr="002C3AB0" w:rsidRDefault="00B516CE" w:rsidP="009015A3">
              <w:pPr>
                <w:pStyle w:val="Footer"/>
                <w:tabs>
                  <w:tab w:val="right" w:pos="10065"/>
                </w:tabs>
              </w:pPr>
              <w:r w:rsidRPr="002C3AB0">
                <w:t>Cohort</w:t>
              </w:r>
              <w:r>
                <w:t>beslissing</w:t>
              </w:r>
              <w:r w:rsidRPr="002C3AB0">
                <w:t>–</w:t>
              </w:r>
              <w:r>
                <w:t>“</w:t>
              </w:r>
              <w:r w:rsidRPr="002C3AB0">
                <w:t>1</w:t>
              </w:r>
              <w:r w:rsidR="00C4632B">
                <w:t>05</w:t>
              </w:r>
              <w:r w:rsidRPr="002C3AB0">
                <w:t>3</w:t>
              </w:r>
              <w:r>
                <w:t>”</w:t>
              </w:r>
              <w:r w:rsidRPr="002C3AB0">
                <w:t xml:space="preserve"> RYDAPT |</w:t>
              </w:r>
            </w:p>
            <w:p w:rsidR="00B516CE" w:rsidRPr="002C3AB0" w:rsidRDefault="00C4632B" w:rsidP="009015A3">
              <w:pPr>
                <w:pStyle w:val="Footer"/>
                <w:tabs>
                  <w:tab w:val="right" w:pos="10065"/>
                </w:tabs>
                <w:rPr>
                  <w:rFonts w:ascii="Arial" w:hAnsi="Arial"/>
                  <w:color w:val="808080"/>
                  <w:sz w:val="16"/>
                </w:rPr>
              </w:pPr>
              <w:sdt>
                <w:sdtPr>
                  <w:alias w:val="Bedrijf"/>
                  <w:id w:val="2092194638"/>
                  <w:dataBinding w:prefixMappings="xmlns:ns0='http://schemas.openxmlformats.org/officeDocument/2006/extended-properties'" w:xpath="/ns0:Properties[1]/ns0:Company[1]" w:storeItemID="{6668398D-A668-4E3E-A5EB-62B293D839F1}"/>
                  <w:text/>
                </w:sdtPr>
                <w:sdtEndPr/>
                <w:sdtContent>
                  <w:r w:rsidR="00B516CE" w:rsidRPr="002C3AB0">
                    <w:t>R.I.Z.I.V. - I.N.A.M.I.</w:t>
                  </w:r>
                </w:sdtContent>
              </w:sdt>
            </w:p>
          </w:tc>
        </w:tr>
      </w:tbl>
      <w:p w:rsidR="00B516CE" w:rsidRDefault="00C4632B">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CE" w:rsidRDefault="00B516CE">
      <w:pPr>
        <w:spacing w:line="240" w:lineRule="auto"/>
      </w:pPr>
      <w:r>
        <w:separator/>
      </w:r>
    </w:p>
  </w:footnote>
  <w:footnote w:type="continuationSeparator" w:id="0">
    <w:p w:rsidR="00B516CE" w:rsidRDefault="00B516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bCs/>
        <w:i w:val="0"/>
        <w:iCs w:val="0"/>
        <w:smallCaps w:val="0"/>
        <w:strike w:val="0"/>
        <w:color w:val="000000"/>
        <w:spacing w:val="0"/>
        <w:w w:val="100"/>
        <w:position w:val="0"/>
        <w:sz w:val="21"/>
        <w:szCs w:val="21"/>
        <w:u w:val="none"/>
      </w:rPr>
    </w:lvl>
    <w:lvl w:ilvl="2">
      <w:start w:val="1"/>
      <w:numFmt w:val="decimal"/>
      <w:lvlText w:val="%1.%2"/>
      <w:lvlJc w:val="left"/>
      <w:rPr>
        <w:b/>
        <w:bCs/>
        <w:i w:val="0"/>
        <w:iCs w:val="0"/>
        <w:smallCaps w:val="0"/>
        <w:strike w:val="0"/>
        <w:color w:val="000000"/>
        <w:spacing w:val="0"/>
        <w:w w:val="100"/>
        <w:position w:val="0"/>
        <w:sz w:val="21"/>
        <w:szCs w:val="21"/>
        <w:u w:val="none"/>
      </w:rPr>
    </w:lvl>
    <w:lvl w:ilvl="3">
      <w:start w:val="1"/>
      <w:numFmt w:val="decimal"/>
      <w:lvlText w:val="%1.%2"/>
      <w:lvlJc w:val="left"/>
      <w:rPr>
        <w:b/>
        <w:bCs/>
        <w:i w:val="0"/>
        <w:iCs w:val="0"/>
        <w:smallCaps w:val="0"/>
        <w:strike w:val="0"/>
        <w:color w:val="000000"/>
        <w:spacing w:val="0"/>
        <w:w w:val="100"/>
        <w:position w:val="0"/>
        <w:sz w:val="21"/>
        <w:szCs w:val="21"/>
        <w:u w:val="none"/>
      </w:rPr>
    </w:lvl>
    <w:lvl w:ilvl="4">
      <w:start w:val="1"/>
      <w:numFmt w:val="decimal"/>
      <w:lvlText w:val="%1.%2"/>
      <w:lvlJc w:val="left"/>
      <w:rPr>
        <w:b/>
        <w:bCs/>
        <w:i w:val="0"/>
        <w:iCs w:val="0"/>
        <w:smallCaps w:val="0"/>
        <w:strike w:val="0"/>
        <w:color w:val="000000"/>
        <w:spacing w:val="0"/>
        <w:w w:val="100"/>
        <w:position w:val="0"/>
        <w:sz w:val="21"/>
        <w:szCs w:val="21"/>
        <w:u w:val="none"/>
      </w:rPr>
    </w:lvl>
    <w:lvl w:ilvl="5">
      <w:start w:val="1"/>
      <w:numFmt w:val="decimal"/>
      <w:lvlText w:val="%1.%2"/>
      <w:lvlJc w:val="left"/>
      <w:rPr>
        <w:b/>
        <w:bCs/>
        <w:i w:val="0"/>
        <w:iCs w:val="0"/>
        <w:smallCaps w:val="0"/>
        <w:strike w:val="0"/>
        <w:color w:val="000000"/>
        <w:spacing w:val="0"/>
        <w:w w:val="100"/>
        <w:position w:val="0"/>
        <w:sz w:val="21"/>
        <w:szCs w:val="21"/>
        <w:u w:val="none"/>
      </w:rPr>
    </w:lvl>
    <w:lvl w:ilvl="6">
      <w:start w:val="1"/>
      <w:numFmt w:val="decimal"/>
      <w:lvlText w:val="%1.%2"/>
      <w:lvlJc w:val="left"/>
      <w:rPr>
        <w:b/>
        <w:bCs/>
        <w:i w:val="0"/>
        <w:iCs w:val="0"/>
        <w:smallCaps w:val="0"/>
        <w:strike w:val="0"/>
        <w:color w:val="000000"/>
        <w:spacing w:val="0"/>
        <w:w w:val="100"/>
        <w:position w:val="0"/>
        <w:sz w:val="21"/>
        <w:szCs w:val="21"/>
        <w:u w:val="none"/>
      </w:rPr>
    </w:lvl>
    <w:lvl w:ilvl="7">
      <w:start w:val="1"/>
      <w:numFmt w:val="decimal"/>
      <w:lvlText w:val="%1.%2"/>
      <w:lvlJc w:val="left"/>
      <w:rPr>
        <w:b/>
        <w:bCs/>
        <w:i w:val="0"/>
        <w:iCs w:val="0"/>
        <w:smallCaps w:val="0"/>
        <w:strike w:val="0"/>
        <w:color w:val="000000"/>
        <w:spacing w:val="0"/>
        <w:w w:val="100"/>
        <w:position w:val="0"/>
        <w:sz w:val="21"/>
        <w:szCs w:val="21"/>
        <w:u w:val="none"/>
      </w:rPr>
    </w:lvl>
    <w:lvl w:ilvl="8">
      <w:start w:val="1"/>
      <w:numFmt w:val="decimal"/>
      <w:lvlText w:val="%1.%2"/>
      <w:lvlJc w:val="left"/>
      <w:rPr>
        <w:b/>
        <w:bCs/>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BD174F3"/>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349E"/>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B6270"/>
    <w:multiLevelType w:val="hybridMultilevel"/>
    <w:tmpl w:val="3D10DA56"/>
    <w:lvl w:ilvl="0" w:tplc="D604FBF4">
      <w:start w:val="1"/>
      <w:numFmt w:val="decimal"/>
      <w:lvlText w:val="%1."/>
      <w:lvlJc w:val="left"/>
      <w:pPr>
        <w:ind w:left="855" w:hanging="495"/>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03372"/>
    <w:multiLevelType w:val="hybridMultilevel"/>
    <w:tmpl w:val="FED2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F2984"/>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42742"/>
    <w:multiLevelType w:val="singleLevel"/>
    <w:tmpl w:val="A93AB558"/>
    <w:lvl w:ilvl="0">
      <w:start w:val="3"/>
      <w:numFmt w:val="bullet"/>
      <w:lvlText w:val="-"/>
      <w:lvlJc w:val="left"/>
      <w:pPr>
        <w:tabs>
          <w:tab w:val="num" w:pos="1140"/>
        </w:tabs>
        <w:ind w:left="1140" w:hanging="570"/>
      </w:pPr>
      <w:rPr>
        <w:rFonts w:ascii="Times New Roman" w:hAnsi="Times New Roman" w:hint="default"/>
      </w:rPr>
    </w:lvl>
  </w:abstractNum>
  <w:abstractNum w:abstractNumId="8">
    <w:nsid w:val="3A114EC1"/>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75A48"/>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C613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5147A"/>
    <w:multiLevelType w:val="hybridMultilevel"/>
    <w:tmpl w:val="96C8FF0A"/>
    <w:lvl w:ilvl="0" w:tplc="BA18A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46180"/>
    <w:multiLevelType w:val="hybridMultilevel"/>
    <w:tmpl w:val="8738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83FF2"/>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0150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2542EC"/>
    <w:multiLevelType w:val="hybridMultilevel"/>
    <w:tmpl w:val="7B2E2D68"/>
    <w:lvl w:ilvl="0" w:tplc="022A4800">
      <w:numFmt w:val="bullet"/>
      <w:lvlText w:val="-"/>
      <w:lvlJc w:val="left"/>
      <w:pPr>
        <w:ind w:left="927" w:hanging="360"/>
      </w:pPr>
      <w:rPr>
        <w:rFonts w:ascii="Calibri" w:eastAsiaTheme="minorEastAsia"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6">
    <w:nsid w:val="72E804AA"/>
    <w:multiLevelType w:val="multilevel"/>
    <w:tmpl w:val="9474C8E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6"/>
  </w:num>
  <w:num w:numId="2">
    <w:abstractNumId w:val="7"/>
  </w:num>
  <w:num w:numId="3">
    <w:abstractNumId w:val="4"/>
  </w:num>
  <w:num w:numId="4">
    <w:abstractNumId w:val="11"/>
  </w:num>
  <w:num w:numId="5">
    <w:abstractNumId w:val="5"/>
  </w:num>
  <w:num w:numId="6">
    <w:abstractNumId w:val="12"/>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
  </w:num>
  <w:num w:numId="14">
    <w:abstractNumId w:val="4"/>
  </w:num>
  <w:num w:numId="15">
    <w:abstractNumId w:val="9"/>
  </w:num>
  <w:num w:numId="16">
    <w:abstractNumId w:val="6"/>
  </w:num>
  <w:num w:numId="17">
    <w:abstractNumId w:val="2"/>
  </w:num>
  <w:num w:numId="18">
    <w:abstractNumId w:val="3"/>
  </w:num>
  <w:num w:numId="19">
    <w:abstractNumId w:val="13"/>
  </w:num>
  <w:num w:numId="20">
    <w:abstractNumId w:val="14"/>
  </w:num>
  <w:num w:numId="21">
    <w:abstractNumId w:val="8"/>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08"/>
    <w:rsid w:val="00062693"/>
    <w:rsid w:val="00063E15"/>
    <w:rsid w:val="00065731"/>
    <w:rsid w:val="0007768F"/>
    <w:rsid w:val="0008254D"/>
    <w:rsid w:val="000A0FC5"/>
    <w:rsid w:val="000A11CD"/>
    <w:rsid w:val="000A707F"/>
    <w:rsid w:val="000B3867"/>
    <w:rsid w:val="000C0064"/>
    <w:rsid w:val="000E11E7"/>
    <w:rsid w:val="000F492D"/>
    <w:rsid w:val="000F73D3"/>
    <w:rsid w:val="00130CE0"/>
    <w:rsid w:val="00154C07"/>
    <w:rsid w:val="00157401"/>
    <w:rsid w:val="001701C8"/>
    <w:rsid w:val="001917D7"/>
    <w:rsid w:val="001964E8"/>
    <w:rsid w:val="00196E33"/>
    <w:rsid w:val="001A7162"/>
    <w:rsid w:val="002116E3"/>
    <w:rsid w:val="0025761F"/>
    <w:rsid w:val="002C3AB0"/>
    <w:rsid w:val="002D3C8A"/>
    <w:rsid w:val="002D4698"/>
    <w:rsid w:val="002F1B57"/>
    <w:rsid w:val="003150F6"/>
    <w:rsid w:val="00332D29"/>
    <w:rsid w:val="00356562"/>
    <w:rsid w:val="00435297"/>
    <w:rsid w:val="004932D3"/>
    <w:rsid w:val="00495856"/>
    <w:rsid w:val="004D5397"/>
    <w:rsid w:val="0051110E"/>
    <w:rsid w:val="0051242B"/>
    <w:rsid w:val="00513796"/>
    <w:rsid w:val="00526C19"/>
    <w:rsid w:val="005645D4"/>
    <w:rsid w:val="00576B4B"/>
    <w:rsid w:val="00594674"/>
    <w:rsid w:val="005A0E60"/>
    <w:rsid w:val="005E134C"/>
    <w:rsid w:val="005F3F94"/>
    <w:rsid w:val="006220D9"/>
    <w:rsid w:val="00626273"/>
    <w:rsid w:val="00643CD7"/>
    <w:rsid w:val="00647EFC"/>
    <w:rsid w:val="00662346"/>
    <w:rsid w:val="006B3E3E"/>
    <w:rsid w:val="006D1B3F"/>
    <w:rsid w:val="006F13EA"/>
    <w:rsid w:val="006F2208"/>
    <w:rsid w:val="006F275B"/>
    <w:rsid w:val="00721FF8"/>
    <w:rsid w:val="00762F6E"/>
    <w:rsid w:val="00785D88"/>
    <w:rsid w:val="007B6319"/>
    <w:rsid w:val="007C7AF4"/>
    <w:rsid w:val="007E1F0C"/>
    <w:rsid w:val="007F0B03"/>
    <w:rsid w:val="0080397B"/>
    <w:rsid w:val="008E014C"/>
    <w:rsid w:val="008E4811"/>
    <w:rsid w:val="008F68D9"/>
    <w:rsid w:val="008F7317"/>
    <w:rsid w:val="00900365"/>
    <w:rsid w:val="009015A3"/>
    <w:rsid w:val="00903A23"/>
    <w:rsid w:val="00907EF7"/>
    <w:rsid w:val="009349BB"/>
    <w:rsid w:val="00946CF9"/>
    <w:rsid w:val="00985D56"/>
    <w:rsid w:val="00992CC2"/>
    <w:rsid w:val="009A0E8E"/>
    <w:rsid w:val="009A4D31"/>
    <w:rsid w:val="009A5122"/>
    <w:rsid w:val="009C6B66"/>
    <w:rsid w:val="009D7351"/>
    <w:rsid w:val="009D768F"/>
    <w:rsid w:val="009E00F7"/>
    <w:rsid w:val="00A318CF"/>
    <w:rsid w:val="00A31B1F"/>
    <w:rsid w:val="00A34C81"/>
    <w:rsid w:val="00A84435"/>
    <w:rsid w:val="00AA2A12"/>
    <w:rsid w:val="00AA506F"/>
    <w:rsid w:val="00AC280E"/>
    <w:rsid w:val="00AC6E2D"/>
    <w:rsid w:val="00AD652A"/>
    <w:rsid w:val="00B21831"/>
    <w:rsid w:val="00B279BE"/>
    <w:rsid w:val="00B30994"/>
    <w:rsid w:val="00B516CE"/>
    <w:rsid w:val="00B66FF6"/>
    <w:rsid w:val="00BA5A57"/>
    <w:rsid w:val="00BA6F7C"/>
    <w:rsid w:val="00BB10A4"/>
    <w:rsid w:val="00BD2BA0"/>
    <w:rsid w:val="00C00C4B"/>
    <w:rsid w:val="00C4632B"/>
    <w:rsid w:val="00C55965"/>
    <w:rsid w:val="00C9350D"/>
    <w:rsid w:val="00C94722"/>
    <w:rsid w:val="00CC72D3"/>
    <w:rsid w:val="00CF6826"/>
    <w:rsid w:val="00D07969"/>
    <w:rsid w:val="00D44E25"/>
    <w:rsid w:val="00D63C1F"/>
    <w:rsid w:val="00D6580B"/>
    <w:rsid w:val="00D65CDD"/>
    <w:rsid w:val="00D70C89"/>
    <w:rsid w:val="00D83213"/>
    <w:rsid w:val="00DB6125"/>
    <w:rsid w:val="00E1268F"/>
    <w:rsid w:val="00E22665"/>
    <w:rsid w:val="00E3732F"/>
    <w:rsid w:val="00E609F1"/>
    <w:rsid w:val="00E70906"/>
    <w:rsid w:val="00E81EDA"/>
    <w:rsid w:val="00E875AE"/>
    <w:rsid w:val="00E90728"/>
    <w:rsid w:val="00E94E1D"/>
    <w:rsid w:val="00ED4CF3"/>
    <w:rsid w:val="00EE15BE"/>
    <w:rsid w:val="00EE3F69"/>
    <w:rsid w:val="00EE7693"/>
    <w:rsid w:val="00EF03FB"/>
    <w:rsid w:val="00F37C48"/>
    <w:rsid w:val="00F459C1"/>
    <w:rsid w:val="00F50950"/>
    <w:rsid w:val="00F52B17"/>
    <w:rsid w:val="00F906B0"/>
    <w:rsid w:val="00FB6241"/>
    <w:rsid w:val="00FC6706"/>
    <w:rsid w:val="00FC6F5F"/>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ard tekst"/>
    <w:next w:val="NoSpacing"/>
    <w:qFormat/>
    <w:rsid w:val="009015A3"/>
    <w:pPr>
      <w:spacing w:after="0"/>
    </w:pPr>
    <w:rPr>
      <w:rFonts w:eastAsiaTheme="minorEastAsia"/>
      <w:sz w:val="20"/>
      <w:szCs w:val="20"/>
      <w:lang w:val="nl-BE"/>
    </w:rPr>
  </w:style>
  <w:style w:type="paragraph" w:styleId="Heading1">
    <w:name w:val="heading 1"/>
    <w:basedOn w:val="Normal"/>
    <w:next w:val="Normal"/>
    <w:link w:val="Heading1Char"/>
    <w:autoRedefine/>
    <w:uiPriority w:val="9"/>
    <w:qFormat/>
    <w:rsid w:val="009015A3"/>
    <w:pPr>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outlineLvl w:val="0"/>
    </w:pPr>
    <w:rPr>
      <w:rFonts w:eastAsiaTheme="minorHAnsi"/>
      <w:b/>
      <w:bCs/>
      <w:caps/>
      <w:color w:val="FFFFFF" w:themeColor="background1"/>
      <w:spacing w:val="40"/>
      <w:sz w:val="24"/>
      <w:szCs w:val="22"/>
    </w:rPr>
  </w:style>
  <w:style w:type="paragraph" w:styleId="Heading2">
    <w:name w:val="heading 2"/>
    <w:basedOn w:val="Normal"/>
    <w:next w:val="Normal"/>
    <w:link w:val="Heading2Char"/>
    <w:autoRedefine/>
    <w:uiPriority w:val="9"/>
    <w:unhideWhenUsed/>
    <w:qFormat/>
    <w:rsid w:val="001917D7"/>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Heading3">
    <w:name w:val="heading 3"/>
    <w:basedOn w:val="Heading2"/>
    <w:next w:val="Normal"/>
    <w:link w:val="Heading3Ch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Heading4">
    <w:name w:val="heading 4"/>
    <w:basedOn w:val="Heading3"/>
    <w:next w:val="Normal"/>
    <w:link w:val="Heading4Ch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A3"/>
    <w:rPr>
      <w:b/>
      <w:bCs/>
      <w:caps/>
      <w:color w:val="FFFFFF" w:themeColor="background1"/>
      <w:spacing w:val="40"/>
      <w:sz w:val="24"/>
      <w:shd w:val="clear" w:color="auto" w:fill="8DB3E2" w:themeFill="text2" w:themeFillTint="66"/>
      <w:lang w:val="nl-BE"/>
    </w:rPr>
  </w:style>
  <w:style w:type="character" w:customStyle="1" w:styleId="Heading2Char">
    <w:name w:val="Heading 2 Char"/>
    <w:basedOn w:val="DefaultParagraphFont"/>
    <w:link w:val="Heading2"/>
    <w:uiPriority w:val="9"/>
    <w:rsid w:val="001917D7"/>
    <w:rPr>
      <w:b/>
      <w:caps/>
      <w:color w:val="365F91" w:themeColor="accent1" w:themeShade="BF"/>
      <w:spacing w:val="15"/>
      <w:sz w:val="20"/>
      <w:szCs w:val="24"/>
      <w:shd w:val="clear" w:color="auto" w:fill="DBE5F1" w:themeFill="accent1" w:themeFillTint="33"/>
      <w:lang w:val="fr-BE"/>
    </w:rPr>
  </w:style>
  <w:style w:type="character" w:customStyle="1" w:styleId="Heading3Char">
    <w:name w:val="Heading 3 Char"/>
    <w:basedOn w:val="DefaultParagraphFont"/>
    <w:link w:val="Heading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Heading4Char">
    <w:name w:val="Heading 4 Char"/>
    <w:basedOn w:val="DefaultParagraphFont"/>
    <w:link w:val="Heading4"/>
    <w:uiPriority w:val="9"/>
    <w:rsid w:val="009015A3"/>
    <w:rPr>
      <w:caps/>
      <w:color w:val="365F91" w:themeColor="accent1" w:themeShade="BF"/>
      <w:spacing w:val="10"/>
      <w:sz w:val="24"/>
      <w:szCs w:val="24"/>
      <w:shd w:val="clear" w:color="auto" w:fill="DBE5F1" w:themeFill="accent1" w:themeFillTint="33"/>
      <w:lang w:val="fr-BE"/>
    </w:rPr>
  </w:style>
  <w:style w:type="character" w:styleId="BookTitle">
    <w:name w:val="Book Title"/>
    <w:aliases w:val="Titel 2"/>
    <w:basedOn w:val="SubtleEmphasis"/>
    <w:uiPriority w:val="33"/>
    <w:qFormat/>
    <w:rsid w:val="009015A3"/>
    <w:rPr>
      <w:rFonts w:ascii="Calibri" w:hAnsi="Calibri"/>
      <w:b/>
      <w:bCs/>
      <w:i w:val="0"/>
      <w:iCs w:val="0"/>
      <w:caps w:val="0"/>
      <w:smallCaps/>
      <w:color w:val="4F81BD" w:themeColor="accent1"/>
      <w:spacing w:val="30"/>
      <w:kern w:val="28"/>
      <w:sz w:val="32"/>
      <w:szCs w:val="52"/>
    </w:rPr>
  </w:style>
  <w:style w:type="paragraph" w:styleId="Title">
    <w:name w:val="Title"/>
    <w:aliases w:val="Titel 1"/>
    <w:basedOn w:val="Normal"/>
    <w:next w:val="Normal"/>
    <w:link w:val="TitleCh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leChar">
    <w:name w:val="Title Char"/>
    <w:aliases w:val="Titel 1 Char"/>
    <w:basedOn w:val="DefaultParagraphFont"/>
    <w:link w:val="Title"/>
    <w:uiPriority w:val="10"/>
    <w:rsid w:val="009015A3"/>
    <w:rPr>
      <w:caps/>
      <w:color w:val="4F81BD" w:themeColor="accent1"/>
      <w:spacing w:val="20"/>
      <w:kern w:val="28"/>
      <w:sz w:val="32"/>
      <w:szCs w:val="52"/>
      <w:lang w:val="nl-BE"/>
    </w:rPr>
  </w:style>
  <w:style w:type="paragraph" w:customStyle="1" w:styleId="Typedocument">
    <w:name w:val="Type document"/>
    <w:basedOn w:val="Heading1"/>
    <w:next w:val="NoSpacing"/>
    <w:qFormat/>
    <w:rsid w:val="009015A3"/>
    <w:pPr>
      <w:numPr>
        <w:numId w:val="0"/>
      </w:numPr>
    </w:pPr>
    <w:rPr>
      <w:rFonts w:eastAsiaTheme="minorEastAsia"/>
      <w:spacing w:val="20"/>
      <w:sz w:val="22"/>
    </w:rPr>
  </w:style>
  <w:style w:type="paragraph" w:styleId="NoSpacing">
    <w:name w:val="No Spacing"/>
    <w:uiPriority w:val="1"/>
    <w:qFormat/>
    <w:rsid w:val="009015A3"/>
    <w:pPr>
      <w:spacing w:after="0" w:line="240" w:lineRule="auto"/>
    </w:pPr>
    <w:rPr>
      <w:rFonts w:eastAsiaTheme="minorEastAsia"/>
      <w:sz w:val="20"/>
      <w:szCs w:val="20"/>
      <w:lang w:val="nl-BE"/>
    </w:rPr>
  </w:style>
  <w:style w:type="character" w:styleId="SubtleEmphasis">
    <w:name w:val="Subtle Emphasis"/>
    <w:basedOn w:val="DefaultParagraphFont"/>
    <w:uiPriority w:val="19"/>
    <w:qFormat/>
    <w:rsid w:val="009015A3"/>
    <w:rPr>
      <w:i/>
      <w:iCs/>
      <w:color w:val="808080" w:themeColor="text1" w:themeTint="7F"/>
    </w:rPr>
  </w:style>
  <w:style w:type="paragraph" w:styleId="Subtitle">
    <w:name w:val="Subtitle"/>
    <w:basedOn w:val="Normal"/>
    <w:next w:val="Normal"/>
    <w:link w:val="SubtitleCh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Header">
    <w:name w:val="header"/>
    <w:basedOn w:val="Normal"/>
    <w:link w:val="HeaderChar"/>
    <w:uiPriority w:val="99"/>
    <w:unhideWhenUsed/>
    <w:rsid w:val="009015A3"/>
    <w:pPr>
      <w:tabs>
        <w:tab w:val="center" w:pos="4680"/>
        <w:tab w:val="right" w:pos="9360"/>
      </w:tabs>
      <w:spacing w:line="240" w:lineRule="auto"/>
    </w:pPr>
  </w:style>
  <w:style w:type="character" w:customStyle="1" w:styleId="HeaderChar">
    <w:name w:val="Header Char"/>
    <w:basedOn w:val="DefaultParagraphFont"/>
    <w:link w:val="Header"/>
    <w:uiPriority w:val="99"/>
    <w:rsid w:val="009015A3"/>
    <w:rPr>
      <w:rFonts w:eastAsiaTheme="minorEastAsia"/>
      <w:sz w:val="20"/>
      <w:szCs w:val="20"/>
      <w:lang w:val="nl-BE"/>
    </w:rPr>
  </w:style>
  <w:style w:type="paragraph" w:styleId="Footer">
    <w:name w:val="footer"/>
    <w:basedOn w:val="Normal"/>
    <w:link w:val="FooterChar"/>
    <w:unhideWhenUsed/>
    <w:rsid w:val="009015A3"/>
    <w:pPr>
      <w:tabs>
        <w:tab w:val="center" w:pos="4680"/>
        <w:tab w:val="right" w:pos="9360"/>
      </w:tabs>
      <w:spacing w:line="240" w:lineRule="auto"/>
    </w:pPr>
  </w:style>
  <w:style w:type="character" w:customStyle="1" w:styleId="FooterChar">
    <w:name w:val="Footer Char"/>
    <w:basedOn w:val="DefaultParagraphFont"/>
    <w:link w:val="Footer"/>
    <w:rsid w:val="009015A3"/>
    <w:rPr>
      <w:rFonts w:eastAsiaTheme="minorEastAsia"/>
      <w:sz w:val="20"/>
      <w:szCs w:val="20"/>
      <w:lang w:val="nl-BE"/>
    </w:rPr>
  </w:style>
  <w:style w:type="table" w:styleId="TableGrid">
    <w:name w:val="Table Grid"/>
    <w:basedOn w:val="TableNormal"/>
    <w:uiPriority w:val="59"/>
    <w:rsid w:val="009015A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A3"/>
    <w:rPr>
      <w:rFonts w:ascii="Tahoma" w:eastAsiaTheme="minorEastAsia" w:hAnsi="Tahoma" w:cs="Tahoma"/>
      <w:sz w:val="16"/>
      <w:szCs w:val="16"/>
      <w:lang w:val="nl-BE"/>
    </w:rPr>
  </w:style>
  <w:style w:type="paragraph" w:styleId="ListParagraph">
    <w:name w:val="List Paragraph"/>
    <w:basedOn w:val="Normal"/>
    <w:link w:val="ListParagraphCh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ListParagraphChar">
    <w:name w:val="List Paragraph Char"/>
    <w:basedOn w:val="DefaultParagraphFont"/>
    <w:link w:val="ListParagraph"/>
    <w:uiPriority w:val="34"/>
    <w:rsid w:val="00D6580B"/>
    <w:rPr>
      <w:rFonts w:ascii="Times New Roman" w:eastAsia="Times New Roman" w:hAnsi="Times New Roman" w:cs="Times New Roman"/>
      <w:sz w:val="24"/>
      <w:szCs w:val="20"/>
      <w:lang w:val="nl-BE" w:eastAsia="fr-FR"/>
    </w:rPr>
  </w:style>
  <w:style w:type="paragraph" w:styleId="FootnoteText">
    <w:name w:val="footnote text"/>
    <w:basedOn w:val="Normal"/>
    <w:link w:val="FootnoteTextChar"/>
    <w:uiPriority w:val="99"/>
    <w:semiHidden/>
    <w:unhideWhenUsed/>
    <w:rsid w:val="008E4811"/>
    <w:pPr>
      <w:spacing w:line="240" w:lineRule="auto"/>
    </w:pPr>
  </w:style>
  <w:style w:type="character" w:customStyle="1" w:styleId="FootnoteTextChar">
    <w:name w:val="Footnote Text Char"/>
    <w:basedOn w:val="DefaultParagraphFont"/>
    <w:link w:val="FootnoteText"/>
    <w:uiPriority w:val="99"/>
    <w:semiHidden/>
    <w:rsid w:val="008E4811"/>
    <w:rPr>
      <w:rFonts w:eastAsiaTheme="minorEastAsia"/>
      <w:sz w:val="20"/>
      <w:szCs w:val="20"/>
      <w:lang w:val="nl-BE"/>
    </w:rPr>
  </w:style>
  <w:style w:type="character" w:styleId="FootnoteReference">
    <w:name w:val="footnote reference"/>
    <w:basedOn w:val="DefaultParagraphFont"/>
    <w:uiPriority w:val="99"/>
    <w:semiHidden/>
    <w:unhideWhenUsed/>
    <w:rsid w:val="008E4811"/>
    <w:rPr>
      <w:vertAlign w:val="superscript"/>
    </w:rPr>
  </w:style>
  <w:style w:type="character" w:customStyle="1" w:styleId="Bodytext2">
    <w:name w:val="Body text (2)_"/>
    <w:basedOn w:val="DefaultParagraphFont"/>
    <w:link w:val="Bodytext21"/>
    <w:uiPriority w:val="99"/>
    <w:rsid w:val="00E3732F"/>
    <w:rPr>
      <w:sz w:val="21"/>
      <w:szCs w:val="21"/>
      <w:shd w:val="clear" w:color="auto" w:fill="FFFFFF"/>
    </w:rPr>
  </w:style>
  <w:style w:type="character" w:customStyle="1" w:styleId="Heading10">
    <w:name w:val="Heading #1_"/>
    <w:basedOn w:val="DefaultParagraphFont"/>
    <w:link w:val="Heading11"/>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1">
    <w:name w:val="Heading #1"/>
    <w:basedOn w:val="Normal"/>
    <w:link w:val="Heading10"/>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DefaultParagraphFon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DefaultParagraphFon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ard tekst"/>
    <w:next w:val="NoSpacing"/>
    <w:qFormat/>
    <w:rsid w:val="009015A3"/>
    <w:pPr>
      <w:spacing w:after="0"/>
    </w:pPr>
    <w:rPr>
      <w:rFonts w:eastAsiaTheme="minorEastAsia"/>
      <w:sz w:val="20"/>
      <w:szCs w:val="20"/>
      <w:lang w:val="nl-BE"/>
    </w:rPr>
  </w:style>
  <w:style w:type="paragraph" w:styleId="Heading1">
    <w:name w:val="heading 1"/>
    <w:basedOn w:val="Normal"/>
    <w:next w:val="Normal"/>
    <w:link w:val="Heading1Char"/>
    <w:autoRedefine/>
    <w:uiPriority w:val="9"/>
    <w:qFormat/>
    <w:rsid w:val="009015A3"/>
    <w:pPr>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outlineLvl w:val="0"/>
    </w:pPr>
    <w:rPr>
      <w:rFonts w:eastAsiaTheme="minorHAnsi"/>
      <w:b/>
      <w:bCs/>
      <w:caps/>
      <w:color w:val="FFFFFF" w:themeColor="background1"/>
      <w:spacing w:val="40"/>
      <w:sz w:val="24"/>
      <w:szCs w:val="22"/>
    </w:rPr>
  </w:style>
  <w:style w:type="paragraph" w:styleId="Heading2">
    <w:name w:val="heading 2"/>
    <w:basedOn w:val="Normal"/>
    <w:next w:val="Normal"/>
    <w:link w:val="Heading2Char"/>
    <w:autoRedefine/>
    <w:uiPriority w:val="9"/>
    <w:unhideWhenUsed/>
    <w:qFormat/>
    <w:rsid w:val="001917D7"/>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Heading3">
    <w:name w:val="heading 3"/>
    <w:basedOn w:val="Heading2"/>
    <w:next w:val="Normal"/>
    <w:link w:val="Heading3Ch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Heading4">
    <w:name w:val="heading 4"/>
    <w:basedOn w:val="Heading3"/>
    <w:next w:val="Normal"/>
    <w:link w:val="Heading4Ch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A3"/>
    <w:rPr>
      <w:b/>
      <w:bCs/>
      <w:caps/>
      <w:color w:val="FFFFFF" w:themeColor="background1"/>
      <w:spacing w:val="40"/>
      <w:sz w:val="24"/>
      <w:shd w:val="clear" w:color="auto" w:fill="8DB3E2" w:themeFill="text2" w:themeFillTint="66"/>
      <w:lang w:val="nl-BE"/>
    </w:rPr>
  </w:style>
  <w:style w:type="character" w:customStyle="1" w:styleId="Heading2Char">
    <w:name w:val="Heading 2 Char"/>
    <w:basedOn w:val="DefaultParagraphFont"/>
    <w:link w:val="Heading2"/>
    <w:uiPriority w:val="9"/>
    <w:rsid w:val="001917D7"/>
    <w:rPr>
      <w:b/>
      <w:caps/>
      <w:color w:val="365F91" w:themeColor="accent1" w:themeShade="BF"/>
      <w:spacing w:val="15"/>
      <w:sz w:val="20"/>
      <w:szCs w:val="24"/>
      <w:shd w:val="clear" w:color="auto" w:fill="DBE5F1" w:themeFill="accent1" w:themeFillTint="33"/>
      <w:lang w:val="fr-BE"/>
    </w:rPr>
  </w:style>
  <w:style w:type="character" w:customStyle="1" w:styleId="Heading3Char">
    <w:name w:val="Heading 3 Char"/>
    <w:basedOn w:val="DefaultParagraphFont"/>
    <w:link w:val="Heading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Heading4Char">
    <w:name w:val="Heading 4 Char"/>
    <w:basedOn w:val="DefaultParagraphFont"/>
    <w:link w:val="Heading4"/>
    <w:uiPriority w:val="9"/>
    <w:rsid w:val="009015A3"/>
    <w:rPr>
      <w:caps/>
      <w:color w:val="365F91" w:themeColor="accent1" w:themeShade="BF"/>
      <w:spacing w:val="10"/>
      <w:sz w:val="24"/>
      <w:szCs w:val="24"/>
      <w:shd w:val="clear" w:color="auto" w:fill="DBE5F1" w:themeFill="accent1" w:themeFillTint="33"/>
      <w:lang w:val="fr-BE"/>
    </w:rPr>
  </w:style>
  <w:style w:type="character" w:styleId="BookTitle">
    <w:name w:val="Book Title"/>
    <w:aliases w:val="Titel 2"/>
    <w:basedOn w:val="SubtleEmphasis"/>
    <w:uiPriority w:val="33"/>
    <w:qFormat/>
    <w:rsid w:val="009015A3"/>
    <w:rPr>
      <w:rFonts w:ascii="Calibri" w:hAnsi="Calibri"/>
      <w:b/>
      <w:bCs/>
      <w:i w:val="0"/>
      <w:iCs w:val="0"/>
      <w:caps w:val="0"/>
      <w:smallCaps/>
      <w:color w:val="4F81BD" w:themeColor="accent1"/>
      <w:spacing w:val="30"/>
      <w:kern w:val="28"/>
      <w:sz w:val="32"/>
      <w:szCs w:val="52"/>
    </w:rPr>
  </w:style>
  <w:style w:type="paragraph" w:styleId="Title">
    <w:name w:val="Title"/>
    <w:aliases w:val="Titel 1"/>
    <w:basedOn w:val="Normal"/>
    <w:next w:val="Normal"/>
    <w:link w:val="TitleCh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leChar">
    <w:name w:val="Title Char"/>
    <w:aliases w:val="Titel 1 Char"/>
    <w:basedOn w:val="DefaultParagraphFont"/>
    <w:link w:val="Title"/>
    <w:uiPriority w:val="10"/>
    <w:rsid w:val="009015A3"/>
    <w:rPr>
      <w:caps/>
      <w:color w:val="4F81BD" w:themeColor="accent1"/>
      <w:spacing w:val="20"/>
      <w:kern w:val="28"/>
      <w:sz w:val="32"/>
      <w:szCs w:val="52"/>
      <w:lang w:val="nl-BE"/>
    </w:rPr>
  </w:style>
  <w:style w:type="paragraph" w:customStyle="1" w:styleId="Typedocument">
    <w:name w:val="Type document"/>
    <w:basedOn w:val="Heading1"/>
    <w:next w:val="NoSpacing"/>
    <w:qFormat/>
    <w:rsid w:val="009015A3"/>
    <w:pPr>
      <w:numPr>
        <w:numId w:val="0"/>
      </w:numPr>
    </w:pPr>
    <w:rPr>
      <w:rFonts w:eastAsiaTheme="minorEastAsia"/>
      <w:spacing w:val="20"/>
      <w:sz w:val="22"/>
    </w:rPr>
  </w:style>
  <w:style w:type="paragraph" w:styleId="NoSpacing">
    <w:name w:val="No Spacing"/>
    <w:uiPriority w:val="1"/>
    <w:qFormat/>
    <w:rsid w:val="009015A3"/>
    <w:pPr>
      <w:spacing w:after="0" w:line="240" w:lineRule="auto"/>
    </w:pPr>
    <w:rPr>
      <w:rFonts w:eastAsiaTheme="minorEastAsia"/>
      <w:sz w:val="20"/>
      <w:szCs w:val="20"/>
      <w:lang w:val="nl-BE"/>
    </w:rPr>
  </w:style>
  <w:style w:type="character" w:styleId="SubtleEmphasis">
    <w:name w:val="Subtle Emphasis"/>
    <w:basedOn w:val="DefaultParagraphFont"/>
    <w:uiPriority w:val="19"/>
    <w:qFormat/>
    <w:rsid w:val="009015A3"/>
    <w:rPr>
      <w:i/>
      <w:iCs/>
      <w:color w:val="808080" w:themeColor="text1" w:themeTint="7F"/>
    </w:rPr>
  </w:style>
  <w:style w:type="paragraph" w:styleId="Subtitle">
    <w:name w:val="Subtitle"/>
    <w:basedOn w:val="Normal"/>
    <w:next w:val="Normal"/>
    <w:link w:val="SubtitleCh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Header">
    <w:name w:val="header"/>
    <w:basedOn w:val="Normal"/>
    <w:link w:val="HeaderChar"/>
    <w:uiPriority w:val="99"/>
    <w:unhideWhenUsed/>
    <w:rsid w:val="009015A3"/>
    <w:pPr>
      <w:tabs>
        <w:tab w:val="center" w:pos="4680"/>
        <w:tab w:val="right" w:pos="9360"/>
      </w:tabs>
      <w:spacing w:line="240" w:lineRule="auto"/>
    </w:pPr>
  </w:style>
  <w:style w:type="character" w:customStyle="1" w:styleId="HeaderChar">
    <w:name w:val="Header Char"/>
    <w:basedOn w:val="DefaultParagraphFont"/>
    <w:link w:val="Header"/>
    <w:uiPriority w:val="99"/>
    <w:rsid w:val="009015A3"/>
    <w:rPr>
      <w:rFonts w:eastAsiaTheme="minorEastAsia"/>
      <w:sz w:val="20"/>
      <w:szCs w:val="20"/>
      <w:lang w:val="nl-BE"/>
    </w:rPr>
  </w:style>
  <w:style w:type="paragraph" w:styleId="Footer">
    <w:name w:val="footer"/>
    <w:basedOn w:val="Normal"/>
    <w:link w:val="FooterChar"/>
    <w:unhideWhenUsed/>
    <w:rsid w:val="009015A3"/>
    <w:pPr>
      <w:tabs>
        <w:tab w:val="center" w:pos="4680"/>
        <w:tab w:val="right" w:pos="9360"/>
      </w:tabs>
      <w:spacing w:line="240" w:lineRule="auto"/>
    </w:pPr>
  </w:style>
  <w:style w:type="character" w:customStyle="1" w:styleId="FooterChar">
    <w:name w:val="Footer Char"/>
    <w:basedOn w:val="DefaultParagraphFont"/>
    <w:link w:val="Footer"/>
    <w:rsid w:val="009015A3"/>
    <w:rPr>
      <w:rFonts w:eastAsiaTheme="minorEastAsia"/>
      <w:sz w:val="20"/>
      <w:szCs w:val="20"/>
      <w:lang w:val="nl-BE"/>
    </w:rPr>
  </w:style>
  <w:style w:type="table" w:styleId="TableGrid">
    <w:name w:val="Table Grid"/>
    <w:basedOn w:val="TableNormal"/>
    <w:uiPriority w:val="59"/>
    <w:rsid w:val="009015A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A3"/>
    <w:rPr>
      <w:rFonts w:ascii="Tahoma" w:eastAsiaTheme="minorEastAsia" w:hAnsi="Tahoma" w:cs="Tahoma"/>
      <w:sz w:val="16"/>
      <w:szCs w:val="16"/>
      <w:lang w:val="nl-BE"/>
    </w:rPr>
  </w:style>
  <w:style w:type="paragraph" w:styleId="ListParagraph">
    <w:name w:val="List Paragraph"/>
    <w:basedOn w:val="Normal"/>
    <w:link w:val="ListParagraphCh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ListParagraphChar">
    <w:name w:val="List Paragraph Char"/>
    <w:basedOn w:val="DefaultParagraphFont"/>
    <w:link w:val="ListParagraph"/>
    <w:uiPriority w:val="34"/>
    <w:rsid w:val="00D6580B"/>
    <w:rPr>
      <w:rFonts w:ascii="Times New Roman" w:eastAsia="Times New Roman" w:hAnsi="Times New Roman" w:cs="Times New Roman"/>
      <w:sz w:val="24"/>
      <w:szCs w:val="20"/>
      <w:lang w:val="nl-BE" w:eastAsia="fr-FR"/>
    </w:rPr>
  </w:style>
  <w:style w:type="paragraph" w:styleId="FootnoteText">
    <w:name w:val="footnote text"/>
    <w:basedOn w:val="Normal"/>
    <w:link w:val="FootnoteTextChar"/>
    <w:uiPriority w:val="99"/>
    <w:semiHidden/>
    <w:unhideWhenUsed/>
    <w:rsid w:val="008E4811"/>
    <w:pPr>
      <w:spacing w:line="240" w:lineRule="auto"/>
    </w:pPr>
  </w:style>
  <w:style w:type="character" w:customStyle="1" w:styleId="FootnoteTextChar">
    <w:name w:val="Footnote Text Char"/>
    <w:basedOn w:val="DefaultParagraphFont"/>
    <w:link w:val="FootnoteText"/>
    <w:uiPriority w:val="99"/>
    <w:semiHidden/>
    <w:rsid w:val="008E4811"/>
    <w:rPr>
      <w:rFonts w:eastAsiaTheme="minorEastAsia"/>
      <w:sz w:val="20"/>
      <w:szCs w:val="20"/>
      <w:lang w:val="nl-BE"/>
    </w:rPr>
  </w:style>
  <w:style w:type="character" w:styleId="FootnoteReference">
    <w:name w:val="footnote reference"/>
    <w:basedOn w:val="DefaultParagraphFont"/>
    <w:uiPriority w:val="99"/>
    <w:semiHidden/>
    <w:unhideWhenUsed/>
    <w:rsid w:val="008E4811"/>
    <w:rPr>
      <w:vertAlign w:val="superscript"/>
    </w:rPr>
  </w:style>
  <w:style w:type="character" w:customStyle="1" w:styleId="Bodytext2">
    <w:name w:val="Body text (2)_"/>
    <w:basedOn w:val="DefaultParagraphFont"/>
    <w:link w:val="Bodytext21"/>
    <w:uiPriority w:val="99"/>
    <w:rsid w:val="00E3732F"/>
    <w:rPr>
      <w:sz w:val="21"/>
      <w:szCs w:val="21"/>
      <w:shd w:val="clear" w:color="auto" w:fill="FFFFFF"/>
    </w:rPr>
  </w:style>
  <w:style w:type="character" w:customStyle="1" w:styleId="Heading10">
    <w:name w:val="Heading #1_"/>
    <w:basedOn w:val="DefaultParagraphFont"/>
    <w:link w:val="Heading11"/>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1">
    <w:name w:val="Heading #1"/>
    <w:basedOn w:val="Normal"/>
    <w:link w:val="Heading10"/>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DefaultParagraphFon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DefaultParagraphFon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321">
      <w:bodyDiv w:val="1"/>
      <w:marLeft w:val="0"/>
      <w:marRight w:val="0"/>
      <w:marTop w:val="0"/>
      <w:marBottom w:val="0"/>
      <w:divBdr>
        <w:top w:val="none" w:sz="0" w:space="0" w:color="auto"/>
        <w:left w:val="none" w:sz="0" w:space="0" w:color="auto"/>
        <w:bottom w:val="none" w:sz="0" w:space="0" w:color="auto"/>
        <w:right w:val="none" w:sz="0" w:space="0" w:color="auto"/>
      </w:divBdr>
    </w:div>
    <w:div w:id="24717802">
      <w:bodyDiv w:val="1"/>
      <w:marLeft w:val="0"/>
      <w:marRight w:val="0"/>
      <w:marTop w:val="0"/>
      <w:marBottom w:val="0"/>
      <w:divBdr>
        <w:top w:val="none" w:sz="0" w:space="0" w:color="auto"/>
        <w:left w:val="none" w:sz="0" w:space="0" w:color="auto"/>
        <w:bottom w:val="none" w:sz="0" w:space="0" w:color="auto"/>
        <w:right w:val="none" w:sz="0" w:space="0" w:color="auto"/>
      </w:divBdr>
    </w:div>
    <w:div w:id="204872482">
      <w:bodyDiv w:val="1"/>
      <w:marLeft w:val="0"/>
      <w:marRight w:val="0"/>
      <w:marTop w:val="0"/>
      <w:marBottom w:val="0"/>
      <w:divBdr>
        <w:top w:val="none" w:sz="0" w:space="0" w:color="auto"/>
        <w:left w:val="none" w:sz="0" w:space="0" w:color="auto"/>
        <w:bottom w:val="none" w:sz="0" w:space="0" w:color="auto"/>
        <w:right w:val="none" w:sz="0" w:space="0" w:color="auto"/>
      </w:divBdr>
    </w:div>
    <w:div w:id="293297746">
      <w:bodyDiv w:val="1"/>
      <w:marLeft w:val="0"/>
      <w:marRight w:val="0"/>
      <w:marTop w:val="0"/>
      <w:marBottom w:val="0"/>
      <w:divBdr>
        <w:top w:val="none" w:sz="0" w:space="0" w:color="auto"/>
        <w:left w:val="none" w:sz="0" w:space="0" w:color="auto"/>
        <w:bottom w:val="none" w:sz="0" w:space="0" w:color="auto"/>
        <w:right w:val="none" w:sz="0" w:space="0" w:color="auto"/>
      </w:divBdr>
    </w:div>
    <w:div w:id="382364522">
      <w:bodyDiv w:val="1"/>
      <w:marLeft w:val="0"/>
      <w:marRight w:val="0"/>
      <w:marTop w:val="0"/>
      <w:marBottom w:val="0"/>
      <w:divBdr>
        <w:top w:val="none" w:sz="0" w:space="0" w:color="auto"/>
        <w:left w:val="none" w:sz="0" w:space="0" w:color="auto"/>
        <w:bottom w:val="none" w:sz="0" w:space="0" w:color="auto"/>
        <w:right w:val="none" w:sz="0" w:space="0" w:color="auto"/>
      </w:divBdr>
    </w:div>
    <w:div w:id="511919852">
      <w:bodyDiv w:val="1"/>
      <w:marLeft w:val="0"/>
      <w:marRight w:val="0"/>
      <w:marTop w:val="0"/>
      <w:marBottom w:val="0"/>
      <w:divBdr>
        <w:top w:val="none" w:sz="0" w:space="0" w:color="auto"/>
        <w:left w:val="none" w:sz="0" w:space="0" w:color="auto"/>
        <w:bottom w:val="none" w:sz="0" w:space="0" w:color="auto"/>
        <w:right w:val="none" w:sz="0" w:space="0" w:color="auto"/>
      </w:divBdr>
    </w:div>
    <w:div w:id="981890054">
      <w:bodyDiv w:val="1"/>
      <w:marLeft w:val="0"/>
      <w:marRight w:val="0"/>
      <w:marTop w:val="0"/>
      <w:marBottom w:val="0"/>
      <w:divBdr>
        <w:top w:val="none" w:sz="0" w:space="0" w:color="auto"/>
        <w:left w:val="none" w:sz="0" w:space="0" w:color="auto"/>
        <w:bottom w:val="none" w:sz="0" w:space="0" w:color="auto"/>
        <w:right w:val="none" w:sz="0" w:space="0" w:color="auto"/>
      </w:divBdr>
    </w:div>
    <w:div w:id="1030301960">
      <w:bodyDiv w:val="1"/>
      <w:marLeft w:val="0"/>
      <w:marRight w:val="0"/>
      <w:marTop w:val="0"/>
      <w:marBottom w:val="0"/>
      <w:divBdr>
        <w:top w:val="none" w:sz="0" w:space="0" w:color="auto"/>
        <w:left w:val="none" w:sz="0" w:space="0" w:color="auto"/>
        <w:bottom w:val="none" w:sz="0" w:space="0" w:color="auto"/>
        <w:right w:val="none" w:sz="0" w:space="0" w:color="auto"/>
      </w:divBdr>
    </w:div>
    <w:div w:id="1101335187">
      <w:bodyDiv w:val="1"/>
      <w:marLeft w:val="0"/>
      <w:marRight w:val="0"/>
      <w:marTop w:val="0"/>
      <w:marBottom w:val="0"/>
      <w:divBdr>
        <w:top w:val="none" w:sz="0" w:space="0" w:color="auto"/>
        <w:left w:val="none" w:sz="0" w:space="0" w:color="auto"/>
        <w:bottom w:val="none" w:sz="0" w:space="0" w:color="auto"/>
        <w:right w:val="none" w:sz="0" w:space="0" w:color="auto"/>
      </w:divBdr>
    </w:div>
    <w:div w:id="1118110276">
      <w:bodyDiv w:val="1"/>
      <w:marLeft w:val="0"/>
      <w:marRight w:val="0"/>
      <w:marTop w:val="0"/>
      <w:marBottom w:val="0"/>
      <w:divBdr>
        <w:top w:val="none" w:sz="0" w:space="0" w:color="auto"/>
        <w:left w:val="none" w:sz="0" w:space="0" w:color="auto"/>
        <w:bottom w:val="none" w:sz="0" w:space="0" w:color="auto"/>
        <w:right w:val="none" w:sz="0" w:space="0" w:color="auto"/>
      </w:divBdr>
    </w:div>
    <w:div w:id="1350715378">
      <w:bodyDiv w:val="1"/>
      <w:marLeft w:val="0"/>
      <w:marRight w:val="0"/>
      <w:marTop w:val="0"/>
      <w:marBottom w:val="0"/>
      <w:divBdr>
        <w:top w:val="none" w:sz="0" w:space="0" w:color="auto"/>
        <w:left w:val="none" w:sz="0" w:space="0" w:color="auto"/>
        <w:bottom w:val="none" w:sz="0" w:space="0" w:color="auto"/>
        <w:right w:val="none" w:sz="0" w:space="0" w:color="auto"/>
      </w:divBdr>
    </w:div>
    <w:div w:id="1461650184">
      <w:bodyDiv w:val="1"/>
      <w:marLeft w:val="0"/>
      <w:marRight w:val="0"/>
      <w:marTop w:val="0"/>
      <w:marBottom w:val="0"/>
      <w:divBdr>
        <w:top w:val="none" w:sz="0" w:space="0" w:color="auto"/>
        <w:left w:val="none" w:sz="0" w:space="0" w:color="auto"/>
        <w:bottom w:val="none" w:sz="0" w:space="0" w:color="auto"/>
        <w:right w:val="none" w:sz="0" w:space="0" w:color="auto"/>
      </w:divBdr>
    </w:div>
    <w:div w:id="1513573037">
      <w:bodyDiv w:val="1"/>
      <w:marLeft w:val="0"/>
      <w:marRight w:val="0"/>
      <w:marTop w:val="0"/>
      <w:marBottom w:val="0"/>
      <w:divBdr>
        <w:top w:val="none" w:sz="0" w:space="0" w:color="auto"/>
        <w:left w:val="none" w:sz="0" w:space="0" w:color="auto"/>
        <w:bottom w:val="none" w:sz="0" w:space="0" w:color="auto"/>
        <w:right w:val="none" w:sz="0" w:space="0" w:color="auto"/>
      </w:divBdr>
    </w:div>
    <w:div w:id="1529490036">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59365907">
      <w:bodyDiv w:val="1"/>
      <w:marLeft w:val="0"/>
      <w:marRight w:val="0"/>
      <w:marTop w:val="0"/>
      <w:marBottom w:val="0"/>
      <w:divBdr>
        <w:top w:val="none" w:sz="0" w:space="0" w:color="auto"/>
        <w:left w:val="none" w:sz="0" w:space="0" w:color="auto"/>
        <w:bottom w:val="none" w:sz="0" w:space="0" w:color="auto"/>
        <w:right w:val="none" w:sz="0" w:space="0" w:color="auto"/>
      </w:divBdr>
    </w:div>
    <w:div w:id="1602110019">
      <w:bodyDiv w:val="1"/>
      <w:marLeft w:val="0"/>
      <w:marRight w:val="0"/>
      <w:marTop w:val="0"/>
      <w:marBottom w:val="0"/>
      <w:divBdr>
        <w:top w:val="none" w:sz="0" w:space="0" w:color="auto"/>
        <w:left w:val="none" w:sz="0" w:space="0" w:color="auto"/>
        <w:bottom w:val="none" w:sz="0" w:space="0" w:color="auto"/>
        <w:right w:val="none" w:sz="0" w:space="0" w:color="auto"/>
      </w:divBdr>
    </w:div>
    <w:div w:id="1821538508">
      <w:bodyDiv w:val="1"/>
      <w:marLeft w:val="0"/>
      <w:marRight w:val="0"/>
      <w:marTop w:val="0"/>
      <w:marBottom w:val="0"/>
      <w:divBdr>
        <w:top w:val="none" w:sz="0" w:space="0" w:color="auto"/>
        <w:left w:val="none" w:sz="0" w:space="0" w:color="auto"/>
        <w:bottom w:val="none" w:sz="0" w:space="0" w:color="auto"/>
        <w:right w:val="none" w:sz="0" w:space="0" w:color="auto"/>
      </w:divBdr>
    </w:div>
    <w:div w:id="1830558611">
      <w:bodyDiv w:val="1"/>
      <w:marLeft w:val="0"/>
      <w:marRight w:val="0"/>
      <w:marTop w:val="0"/>
      <w:marBottom w:val="0"/>
      <w:divBdr>
        <w:top w:val="none" w:sz="0" w:space="0" w:color="auto"/>
        <w:left w:val="none" w:sz="0" w:space="0" w:color="auto"/>
        <w:bottom w:val="none" w:sz="0" w:space="0" w:color="auto"/>
        <w:right w:val="none" w:sz="0" w:space="0" w:color="auto"/>
      </w:divBdr>
    </w:div>
    <w:div w:id="1851409772">
      <w:bodyDiv w:val="1"/>
      <w:marLeft w:val="0"/>
      <w:marRight w:val="0"/>
      <w:marTop w:val="0"/>
      <w:marBottom w:val="0"/>
      <w:divBdr>
        <w:top w:val="none" w:sz="0" w:space="0" w:color="auto"/>
        <w:left w:val="none" w:sz="0" w:space="0" w:color="auto"/>
        <w:bottom w:val="none" w:sz="0" w:space="0" w:color="auto"/>
        <w:right w:val="none" w:sz="0" w:space="0" w:color="auto"/>
      </w:divBdr>
    </w:div>
    <w:div w:id="1995332514">
      <w:bodyDiv w:val="1"/>
      <w:marLeft w:val="0"/>
      <w:marRight w:val="0"/>
      <w:marTop w:val="0"/>
      <w:marBottom w:val="0"/>
      <w:divBdr>
        <w:top w:val="none" w:sz="0" w:space="0" w:color="auto"/>
        <w:left w:val="none" w:sz="0" w:space="0" w:color="auto"/>
        <w:bottom w:val="none" w:sz="0" w:space="0" w:color="auto"/>
        <w:right w:val="none" w:sz="0" w:space="0" w:color="auto"/>
      </w:divBdr>
    </w:div>
    <w:div w:id="20995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2016-11-16T23:00:00+00:00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10</Value>
      <Value>29</Value>
      <Value>58</Value>
      <Value>43</Value>
      <Value>12</Value>
      <Value>76</Value>
    </TaxCatchAll>
    <RIDocSummary xmlns="f15eea43-7fa7-45cf-8dc0-d5244e2cd467">Cohortbeslissing betreffende de behandeling van volwassen, nieuw gediagnosticeerde patiënten met FLT3-gemuteerde acute myeloïde leukemie die in aanmerking komen voor standaard inductie- en consoliderende chemotherapie. </RIDocSummary>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AF0F3-62C9-4AB2-BA86-2EAEC96A3699}"/>
</file>

<file path=customXml/itemProps2.xml><?xml version="1.0" encoding="utf-8"?>
<ds:datastoreItem xmlns:ds="http://schemas.openxmlformats.org/officeDocument/2006/customXml" ds:itemID="{7EA02E39-725E-4CE7-9951-6A3A69069A85}"/>
</file>

<file path=customXml/itemProps3.xml><?xml version="1.0" encoding="utf-8"?>
<ds:datastoreItem xmlns:ds="http://schemas.openxmlformats.org/officeDocument/2006/customXml" ds:itemID="{4DF1800D-4DC1-47F9-BF50-9AEC70C7A29A}"/>
</file>

<file path=customXml/itemProps4.xml><?xml version="1.0" encoding="utf-8"?>
<ds:datastoreItem xmlns:ds="http://schemas.openxmlformats.org/officeDocument/2006/customXml" ds:itemID="{146C990B-B89C-41CB-A5FE-07A57C44BAF3}"/>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Onbeantwoorde medische behoeften - Unmet Medical Need - Cohortbeslissingen</dc:title>
  <dc:creator>Florence Leveque</dc:creator>
  <cp:lastModifiedBy>Florence Leveque</cp:lastModifiedBy>
  <cp:revision>10</cp:revision>
  <cp:lastPrinted>2016-09-22T16:03:00Z</cp:lastPrinted>
  <dcterms:created xsi:type="dcterms:W3CDTF">2016-10-27T09:25:00Z</dcterms:created>
  <dcterms:modified xsi:type="dcterms:W3CDTF">2016-11-17T13:35:00Z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29;#Médecin|d8a1e59b-bcd7-4d2f-b75c-23b993f6e1ad;#58;#Patient|2ebaf0cf-7353-4273-b1af-236262c84494;#76;#Industrie pharmaceutique|83b39a11-269c-4339-a584-6d2618915f6d;#43;#Pharmacien|afadc2d1-9390-4c99-b189-4366cd2906a2</vt:lpwstr>
  </property>
  <property fmtid="{D5CDD505-2E9C-101B-9397-08002B2CF9AE}" pid="4" name="RITheme">
    <vt:lpwstr>10;#Médicaments|5c4b8432-7a7f-4679-b7fc-04dc5116b9e9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