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171C7" w14:textId="727C788B" w:rsidR="009015A3" w:rsidRPr="002D4224" w:rsidRDefault="002D4224" w:rsidP="003C020F">
      <w:pPr>
        <w:pStyle w:val="Typedocument"/>
        <w:jc w:val="center"/>
        <w:rPr>
          <w:lang w:val="fr-BE"/>
        </w:rPr>
      </w:pPr>
      <w:r w:rsidRPr="002D4224">
        <w:rPr>
          <w:lang w:val="fr-BE"/>
        </w:rPr>
        <w:t xml:space="preserve">DECISION DE </w:t>
      </w:r>
      <w:r w:rsidR="005F0771" w:rsidRPr="002D4224">
        <w:rPr>
          <w:lang w:val="fr-BE"/>
        </w:rPr>
        <w:t>COHORT</w:t>
      </w:r>
      <w:r w:rsidRPr="002D4224">
        <w:rPr>
          <w:lang w:val="fr-BE"/>
        </w:rPr>
        <w:t>E</w:t>
      </w:r>
      <w:r w:rsidR="00310EE1">
        <w:rPr>
          <w:lang w:val="fr-BE"/>
        </w:rPr>
        <w:t xml:space="preserve"> </w:t>
      </w:r>
    </w:p>
    <w:p w14:paraId="11E32F86" w14:textId="69E44086" w:rsidR="009015A3" w:rsidRPr="004E2D95" w:rsidRDefault="009015A3" w:rsidP="009015A3">
      <w:pPr>
        <w:jc w:val="both"/>
        <w:rPr>
          <w:rFonts w:cstheme="minorHAnsi"/>
          <w:sz w:val="24"/>
          <w:szCs w:val="24"/>
          <w:lang w:val="fr-BE"/>
        </w:rPr>
      </w:pPr>
      <w:r w:rsidRPr="004E2D95">
        <w:rPr>
          <w:rStyle w:val="Sous-titreCar"/>
          <w:rFonts w:asciiTheme="minorHAnsi" w:hAnsiTheme="minorHAnsi" w:cstheme="minorHAnsi"/>
          <w:lang w:val="fr-BE"/>
        </w:rPr>
        <w:t>Dossier:</w:t>
      </w:r>
      <w:r w:rsidRPr="004E2D95">
        <w:rPr>
          <w:rFonts w:cstheme="minorHAnsi"/>
          <w:sz w:val="24"/>
          <w:szCs w:val="24"/>
          <w:lang w:val="fr-BE"/>
        </w:rPr>
        <w:t xml:space="preserve"> </w:t>
      </w:r>
      <w:r w:rsidR="00C07F11" w:rsidRPr="004E2D95">
        <w:rPr>
          <w:rStyle w:val="Sous-titreCar"/>
          <w:rFonts w:asciiTheme="minorHAnsi" w:hAnsiTheme="minorHAnsi" w:cstheme="minorHAnsi"/>
          <w:lang w:val="fr-BE"/>
        </w:rPr>
        <w:t>105</w:t>
      </w:r>
      <w:r w:rsidR="004E2D95" w:rsidRPr="004E2D95">
        <w:rPr>
          <w:rStyle w:val="Sous-titreCar"/>
          <w:rFonts w:asciiTheme="minorHAnsi" w:hAnsiTheme="minorHAnsi" w:cstheme="minorHAnsi"/>
          <w:lang w:val="fr-BE"/>
        </w:rPr>
        <w:t>9</w:t>
      </w:r>
    </w:p>
    <w:p w14:paraId="53A2E592" w14:textId="6BE89643" w:rsidR="00DB6125" w:rsidRPr="004E2D95" w:rsidRDefault="004E2D95" w:rsidP="00E3732F">
      <w:pPr>
        <w:pStyle w:val="Sansinterligne"/>
        <w:rPr>
          <w:rStyle w:val="Titredulivre"/>
          <w:rFonts w:asciiTheme="minorHAnsi" w:hAnsiTheme="minorHAnsi" w:cstheme="minorHAnsi"/>
          <w:sz w:val="24"/>
          <w:szCs w:val="24"/>
          <w:lang w:val="fr-BE"/>
        </w:rPr>
      </w:pPr>
      <w:r w:rsidRPr="004E2D95">
        <w:rPr>
          <w:rStyle w:val="Titredulivre"/>
          <w:rFonts w:asciiTheme="minorHAnsi" w:hAnsiTheme="minorHAnsi" w:cstheme="minorHAnsi"/>
          <w:caps/>
          <w:smallCaps w:val="0"/>
          <w:sz w:val="24"/>
          <w:szCs w:val="24"/>
          <w:lang w:val="fr-BE"/>
        </w:rPr>
        <w:t>Aspaveli</w:t>
      </w:r>
    </w:p>
    <w:p w14:paraId="2B4DED3A" w14:textId="6CD48E26" w:rsidR="00E3732F" w:rsidRPr="004E2D95" w:rsidRDefault="00DB6125" w:rsidP="00E3732F">
      <w:pPr>
        <w:pStyle w:val="Sansinterligne"/>
        <w:rPr>
          <w:rStyle w:val="Titredulivre"/>
          <w:rFonts w:asciiTheme="minorHAnsi" w:hAnsiTheme="minorHAnsi" w:cstheme="minorHAnsi"/>
          <w:sz w:val="24"/>
          <w:szCs w:val="24"/>
          <w:lang w:val="fr-BE"/>
        </w:rPr>
      </w:pPr>
      <w:r w:rsidRPr="004E2D95">
        <w:rPr>
          <w:rStyle w:val="Titredulivre"/>
          <w:rFonts w:asciiTheme="minorHAnsi" w:hAnsiTheme="minorHAnsi" w:cstheme="minorHAnsi"/>
          <w:sz w:val="24"/>
          <w:szCs w:val="24"/>
          <w:lang w:val="fr-BE"/>
        </w:rPr>
        <w:t>(</w:t>
      </w:r>
      <w:proofErr w:type="spellStart"/>
      <w:r w:rsidR="004E2D95" w:rsidRPr="004E2D95">
        <w:rPr>
          <w:rStyle w:val="Titredulivre"/>
          <w:rFonts w:asciiTheme="minorHAnsi" w:hAnsiTheme="minorHAnsi" w:cstheme="minorHAnsi"/>
          <w:sz w:val="24"/>
          <w:szCs w:val="24"/>
          <w:lang w:val="fr-BE"/>
        </w:rPr>
        <w:t>pegcetacoplan</w:t>
      </w:r>
      <w:proofErr w:type="spellEnd"/>
      <w:r w:rsidRPr="004E2D95">
        <w:rPr>
          <w:rStyle w:val="Titredulivre"/>
          <w:rFonts w:asciiTheme="minorHAnsi" w:hAnsiTheme="minorHAnsi" w:cstheme="minorHAnsi"/>
          <w:sz w:val="24"/>
          <w:szCs w:val="24"/>
          <w:lang w:val="fr-BE"/>
        </w:rPr>
        <w:t>)</w:t>
      </w:r>
    </w:p>
    <w:p w14:paraId="7FFA4F90" w14:textId="4B8F1EEE" w:rsidR="005F0771" w:rsidRPr="004E2D95" w:rsidRDefault="004E2D95" w:rsidP="00E3732F">
      <w:pPr>
        <w:pStyle w:val="Sansinterligne"/>
        <w:rPr>
          <w:rStyle w:val="Titredulivre"/>
          <w:rFonts w:asciiTheme="minorHAnsi" w:hAnsiTheme="minorHAnsi" w:cstheme="minorHAnsi"/>
          <w:sz w:val="24"/>
          <w:szCs w:val="24"/>
          <w:lang w:val="fr-BE"/>
        </w:rPr>
      </w:pPr>
      <w:r w:rsidRPr="004E2D95">
        <w:rPr>
          <w:rStyle w:val="Titredulivre"/>
          <w:rFonts w:asciiTheme="minorHAnsi" w:hAnsiTheme="minorHAnsi" w:cstheme="minorHAnsi"/>
          <w:sz w:val="24"/>
          <w:szCs w:val="24"/>
          <w:lang w:val="fr-BE"/>
        </w:rPr>
        <w:t xml:space="preserve">1080MG solution pour perfusion </w:t>
      </w:r>
    </w:p>
    <w:p w14:paraId="40CB42A5" w14:textId="77777777" w:rsidR="005F0771" w:rsidRPr="002D4224" w:rsidRDefault="005F0771" w:rsidP="005F0771">
      <w:pPr>
        <w:pStyle w:val="Sansinterligne"/>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000" w:firstRow="0" w:lastRow="0" w:firstColumn="0" w:lastColumn="0" w:noHBand="0" w:noVBand="0"/>
      </w:tblPr>
      <w:tblGrid>
        <w:gridCol w:w="9852"/>
      </w:tblGrid>
      <w:tr w:rsidR="005F0771" w:rsidRPr="009015A3" w14:paraId="38DD045D" w14:textId="77777777" w:rsidTr="005F0771">
        <w:trPr>
          <w:cantSplit/>
        </w:trPr>
        <w:tc>
          <w:tcPr>
            <w:tcW w:w="9852" w:type="dxa"/>
            <w:shd w:val="clear" w:color="auto" w:fill="C6D9F1" w:themeFill="text2" w:themeFillTint="33"/>
          </w:tcPr>
          <w:p w14:paraId="50C88D2E" w14:textId="77777777" w:rsidR="005F0771" w:rsidRPr="00E5583D" w:rsidRDefault="005F0771" w:rsidP="005F0771">
            <w:pPr>
              <w:jc w:val="both"/>
              <w:rPr>
                <w:highlight w:val="yellow"/>
                <w:lang w:val="fr-BE"/>
              </w:rPr>
            </w:pPr>
            <w:r w:rsidRPr="00F8664A">
              <w:rPr>
                <w:b/>
                <w:lang w:val="fr-BE"/>
              </w:rPr>
              <w:t>COHORTE</w:t>
            </w:r>
            <w:r w:rsidR="002D4224">
              <w:rPr>
                <w:b/>
                <w:lang w:val="fr-BE"/>
              </w:rPr>
              <w:t xml:space="preserve"> MIXTE</w:t>
            </w:r>
          </w:p>
        </w:tc>
      </w:tr>
    </w:tbl>
    <w:p w14:paraId="11FD37C8" w14:textId="77777777" w:rsidR="005F0771" w:rsidRDefault="005F0771" w:rsidP="00E3732F">
      <w:pPr>
        <w:pStyle w:val="Sansinterligne"/>
        <w:rPr>
          <w:rStyle w:val="Titredulivre"/>
          <w:lang w:val="fr-BE"/>
        </w:rPr>
      </w:pPr>
    </w:p>
    <w:p w14:paraId="3A51BEE3" w14:textId="77777777" w:rsidR="00B279BE" w:rsidRPr="00484CF8" w:rsidRDefault="00B279BE" w:rsidP="005F0771">
      <w:pPr>
        <w:pStyle w:val="Titre2"/>
        <w:numPr>
          <w:ilvl w:val="0"/>
          <w:numId w:val="0"/>
        </w:numPr>
        <w:ind w:left="720" w:hanging="720"/>
        <w:rPr>
          <w:lang w:val="nl-BE"/>
        </w:rPr>
      </w:pPr>
      <w:r w:rsidRPr="00484CF8">
        <w:rPr>
          <w:lang w:val="nl-BE"/>
        </w:rPr>
        <w:t>indicati</w:t>
      </w:r>
      <w:r w:rsidR="002D4224">
        <w:rPr>
          <w:lang w:val="nl-BE"/>
        </w:rPr>
        <w:t>on</w:t>
      </w:r>
      <w:r w:rsidRPr="00484CF8">
        <w:rPr>
          <w:lang w:val="nl-BE"/>
        </w:rPr>
        <w:t xml:space="preserve"> </w:t>
      </w:r>
      <w:r w:rsidR="002D4224" w:rsidRPr="00484CF8">
        <w:rPr>
          <w:lang w:val="nl-BE"/>
        </w:rPr>
        <w:t>thErapeuti</w:t>
      </w:r>
      <w:r w:rsidR="002D4224">
        <w:rPr>
          <w:lang w:val="nl-BE"/>
        </w:rPr>
        <w:t>qu</w:t>
      </w:r>
      <w:r w:rsidR="002D4224" w:rsidRPr="00484CF8">
        <w:rPr>
          <w:lang w:val="nl-BE"/>
        </w:rPr>
        <w:t>e</w:t>
      </w:r>
    </w:p>
    <w:p w14:paraId="51E3FFE9" w14:textId="1B884FAC" w:rsidR="00B279BE" w:rsidRDefault="00F13569" w:rsidP="00044A14">
      <w:pPr>
        <w:spacing w:before="120"/>
        <w:jc w:val="both"/>
        <w:rPr>
          <w:lang w:val="fr-BE"/>
        </w:rPr>
      </w:pPr>
      <w:proofErr w:type="spellStart"/>
      <w:r w:rsidRPr="002D4224">
        <w:rPr>
          <w:bCs/>
          <w:lang w:val="fr-BE"/>
        </w:rPr>
        <w:t>P</w:t>
      </w:r>
      <w:r w:rsidR="00044A14">
        <w:rPr>
          <w:bCs/>
          <w:lang w:val="fr-BE"/>
        </w:rPr>
        <w:t>egcetacoplan</w:t>
      </w:r>
      <w:proofErr w:type="spellEnd"/>
      <w:r w:rsidR="00044A14">
        <w:rPr>
          <w:bCs/>
          <w:lang w:val="fr-BE"/>
        </w:rPr>
        <w:t xml:space="preserve"> </w:t>
      </w:r>
      <w:r w:rsidR="007C1D08" w:rsidRPr="007C1D08">
        <w:rPr>
          <w:lang w:val="fr-BE"/>
        </w:rPr>
        <w:t>pour le traitement des bénéficiaires atteints d’une glomérulopathie à dépôts de C3 (C3G)</w:t>
      </w:r>
      <w:r w:rsidR="00044A14">
        <w:rPr>
          <w:lang w:val="fr-BE"/>
        </w:rPr>
        <w:t>.</w:t>
      </w:r>
    </w:p>
    <w:p w14:paraId="32DD5FB1" w14:textId="77777777" w:rsidR="003B17BE" w:rsidRPr="002D4224" w:rsidRDefault="003B17BE" w:rsidP="00B279BE">
      <w:pPr>
        <w:pStyle w:val="Sansinterligne"/>
        <w:rPr>
          <w:lang w:val="fr-BE"/>
        </w:rPr>
      </w:pPr>
    </w:p>
    <w:p w14:paraId="71ACDF2A" w14:textId="77777777" w:rsidR="00B279BE" w:rsidRPr="00C7322B" w:rsidRDefault="005B31E1" w:rsidP="00B7737C">
      <w:pPr>
        <w:pStyle w:val="Titre2"/>
        <w:numPr>
          <w:ilvl w:val="0"/>
          <w:numId w:val="0"/>
        </w:numPr>
        <w:ind w:left="720" w:hanging="720"/>
        <w:rPr>
          <w:lang w:val="nl-BE"/>
        </w:rPr>
      </w:pPr>
      <w:r>
        <w:rPr>
          <w:lang w:val="nl-BE"/>
        </w:rPr>
        <w:t>DESCRIPTION DE LA COHORTE</w:t>
      </w:r>
    </w:p>
    <w:p w14:paraId="0FFA549C" w14:textId="77777777" w:rsidR="00B279BE" w:rsidRPr="00C7322B" w:rsidRDefault="00B279BE" w:rsidP="00B279BE">
      <w:pPr>
        <w:pStyle w:val="Sansinterligne"/>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279BE" w:rsidRPr="00490CFB" w14:paraId="57E4106D" w14:textId="77777777" w:rsidTr="00B279BE">
        <w:trPr>
          <w:cantSplit/>
          <w:trHeight w:val="110"/>
        </w:trPr>
        <w:tc>
          <w:tcPr>
            <w:tcW w:w="9889" w:type="dxa"/>
            <w:shd w:val="clear" w:color="auto" w:fill="C6D9F1" w:themeFill="text2" w:themeFillTint="33"/>
          </w:tcPr>
          <w:p w14:paraId="118C8C03" w14:textId="77777777" w:rsidR="00B279BE" w:rsidRPr="009A47A3" w:rsidRDefault="005B31E1" w:rsidP="00B279BE">
            <w:pPr>
              <w:jc w:val="both"/>
              <w:rPr>
                <w:b/>
              </w:rPr>
            </w:pPr>
            <w:r>
              <w:rPr>
                <w:b/>
                <w:lang w:val="fr-BE"/>
              </w:rPr>
              <w:t>Description de la cohorte</w:t>
            </w:r>
          </w:p>
        </w:tc>
      </w:tr>
      <w:tr w:rsidR="00B279BE" w:rsidRPr="00356562" w14:paraId="1DD1237F" w14:textId="77777777" w:rsidTr="00DB6125">
        <w:trPr>
          <w:cantSplit/>
          <w:trHeight w:val="110"/>
        </w:trPr>
        <w:tc>
          <w:tcPr>
            <w:tcW w:w="9889" w:type="dxa"/>
            <w:shd w:val="clear" w:color="auto" w:fill="F2DBDB" w:themeFill="accent2" w:themeFillTint="33"/>
          </w:tcPr>
          <w:p w14:paraId="63570E6C" w14:textId="77777777" w:rsidR="00B279BE" w:rsidRPr="00D6580B" w:rsidRDefault="005B31E1" w:rsidP="00DB6125">
            <w:pPr>
              <w:rPr>
                <w:lang w:val="en-GB"/>
              </w:rPr>
            </w:pPr>
            <w:r w:rsidRPr="005278F8">
              <w:rPr>
                <w:lang w:val="fr-BE"/>
              </w:rPr>
              <w:t>Critères d’inclusion</w:t>
            </w:r>
          </w:p>
        </w:tc>
      </w:tr>
      <w:tr w:rsidR="00B279BE" w:rsidRPr="00B3247A" w14:paraId="1B5E6158" w14:textId="77777777" w:rsidTr="00B279BE">
        <w:trPr>
          <w:cantSplit/>
          <w:trHeight w:val="110"/>
        </w:trPr>
        <w:tc>
          <w:tcPr>
            <w:tcW w:w="9889" w:type="dxa"/>
          </w:tcPr>
          <w:p w14:paraId="7B4B85F1" w14:textId="402EE9BD" w:rsidR="00B279BE" w:rsidRPr="007F20D5" w:rsidRDefault="00C52F75" w:rsidP="007C6797">
            <w:pPr>
              <w:pStyle w:val="Paragraphedeliste"/>
              <w:numPr>
                <w:ilvl w:val="0"/>
                <w:numId w:val="25"/>
              </w:numPr>
              <w:jc w:val="both"/>
              <w:rPr>
                <w:rFonts w:asciiTheme="minorHAnsi" w:eastAsia="Calibri" w:hAnsiTheme="minorHAnsi" w:cstheme="minorBidi"/>
                <w:sz w:val="20"/>
                <w:szCs w:val="24"/>
                <w:lang w:val="fr-BE" w:eastAsia="en-US"/>
              </w:rPr>
            </w:pPr>
            <w:r w:rsidRPr="00C52F75">
              <w:rPr>
                <w:rFonts w:asciiTheme="minorHAnsi" w:eastAsia="Calibri" w:hAnsiTheme="minorHAnsi" w:cstheme="minorBidi"/>
                <w:sz w:val="20"/>
                <w:szCs w:val="24"/>
                <w:lang w:val="fr-BE" w:eastAsia="en-US"/>
              </w:rPr>
              <w:t xml:space="preserve">Le patient n’est pas éligible pour une étude clinique avec le </w:t>
            </w:r>
            <w:proofErr w:type="spellStart"/>
            <w:r w:rsidRPr="00C52F75">
              <w:rPr>
                <w:rFonts w:asciiTheme="minorHAnsi" w:eastAsia="Calibri" w:hAnsiTheme="minorHAnsi" w:cstheme="minorBidi"/>
                <w:sz w:val="20"/>
                <w:szCs w:val="24"/>
                <w:lang w:val="fr-BE" w:eastAsia="en-US"/>
              </w:rPr>
              <w:t>pegcetacoplan</w:t>
            </w:r>
            <w:proofErr w:type="spellEnd"/>
            <w:r w:rsidRPr="00C52F75">
              <w:rPr>
                <w:rFonts w:asciiTheme="minorHAnsi" w:eastAsia="Calibri" w:hAnsiTheme="minorHAnsi" w:cstheme="minorBidi"/>
                <w:sz w:val="20"/>
                <w:szCs w:val="24"/>
                <w:lang w:val="fr-BE" w:eastAsia="en-US"/>
              </w:rPr>
              <w:t xml:space="preserve"> ou un autre médicament expérimental (IMP) pour l’indication MNP.</w:t>
            </w:r>
          </w:p>
        </w:tc>
      </w:tr>
      <w:tr w:rsidR="00B279BE" w:rsidRPr="00B3247A" w14:paraId="2525CA37" w14:textId="77777777" w:rsidTr="00B279BE">
        <w:trPr>
          <w:cantSplit/>
          <w:trHeight w:val="110"/>
        </w:trPr>
        <w:tc>
          <w:tcPr>
            <w:tcW w:w="9889" w:type="dxa"/>
          </w:tcPr>
          <w:p w14:paraId="2C431913" w14:textId="371312AE" w:rsidR="00B279BE" w:rsidRPr="007F20D5" w:rsidRDefault="007C6797" w:rsidP="00C00551">
            <w:pPr>
              <w:pStyle w:val="Paragraphedeliste"/>
              <w:numPr>
                <w:ilvl w:val="0"/>
                <w:numId w:val="25"/>
              </w:numPr>
              <w:jc w:val="both"/>
              <w:rPr>
                <w:rFonts w:eastAsiaTheme="minorHAnsi"/>
                <w:szCs w:val="24"/>
                <w:lang w:val="fr-BE"/>
              </w:rPr>
            </w:pPr>
            <w:r w:rsidRPr="007C6797">
              <w:rPr>
                <w:rFonts w:asciiTheme="minorHAnsi" w:eastAsiaTheme="minorHAnsi" w:hAnsiTheme="minorHAnsi" w:cstheme="minorBidi"/>
                <w:sz w:val="20"/>
                <w:szCs w:val="24"/>
                <w:lang w:val="fr-BE" w:eastAsia="en-US"/>
              </w:rPr>
              <w:t>Le patient n’est pas éligible à un traitement ou ne peut pas être traité de manière adéquate selon les directives cliniques, en raison de problèmes d’efficacité et/ou de sécurité, avec une autre thérapie pharmaceutique disponible commercialement en Belgique </w:t>
            </w:r>
            <w:r w:rsidRPr="007C6797">
              <w:rPr>
                <w:rFonts w:asciiTheme="minorHAnsi" w:eastAsiaTheme="minorHAnsi" w:hAnsiTheme="minorHAnsi" w:cstheme="minorBidi"/>
                <w:b/>
                <w:bCs/>
                <w:sz w:val="20"/>
                <w:szCs w:val="24"/>
                <w:lang w:val="fr-BE" w:eastAsia="en-US"/>
              </w:rPr>
              <w:t>ET</w:t>
            </w:r>
            <w:r w:rsidRPr="007C6797">
              <w:rPr>
                <w:rFonts w:asciiTheme="minorHAnsi" w:eastAsiaTheme="minorHAnsi" w:hAnsiTheme="minorHAnsi" w:cstheme="minorBidi"/>
                <w:sz w:val="20"/>
                <w:szCs w:val="24"/>
                <w:lang w:val="fr-BE" w:eastAsia="en-US"/>
              </w:rPr>
              <w:t> remboursée pour l’indication MNP.</w:t>
            </w:r>
          </w:p>
        </w:tc>
      </w:tr>
      <w:tr w:rsidR="00C52F75" w:rsidRPr="00B3247A" w14:paraId="500477F7" w14:textId="77777777" w:rsidTr="00B279BE">
        <w:trPr>
          <w:cantSplit/>
          <w:trHeight w:val="110"/>
        </w:trPr>
        <w:tc>
          <w:tcPr>
            <w:tcW w:w="9889" w:type="dxa"/>
          </w:tcPr>
          <w:p w14:paraId="598B4C8C" w14:textId="077168AF" w:rsidR="00C52F75" w:rsidRPr="007F20D5" w:rsidRDefault="00166878" w:rsidP="00C00551">
            <w:pPr>
              <w:numPr>
                <w:ilvl w:val="0"/>
                <w:numId w:val="25"/>
              </w:numPr>
              <w:autoSpaceDE w:val="0"/>
              <w:autoSpaceDN w:val="0"/>
              <w:adjustRightInd w:val="0"/>
              <w:spacing w:line="240" w:lineRule="auto"/>
              <w:jc w:val="both"/>
              <w:rPr>
                <w:rFonts w:eastAsiaTheme="minorHAnsi"/>
                <w:szCs w:val="24"/>
                <w:lang w:val="fr-BE"/>
              </w:rPr>
            </w:pPr>
            <w:r w:rsidRPr="00166878">
              <w:rPr>
                <w:rFonts w:eastAsiaTheme="minorHAnsi"/>
                <w:szCs w:val="24"/>
                <w:lang w:val="fr-BE"/>
              </w:rPr>
              <w:t>Patients adultes âgés d’au moins 18 ans et patients adolescents (12–17 ans) pesant au moins 30 kg</w:t>
            </w:r>
          </w:p>
        </w:tc>
      </w:tr>
      <w:tr w:rsidR="00C52F75" w:rsidRPr="00B3247A" w14:paraId="678A68AF" w14:textId="77777777" w:rsidTr="00B279BE">
        <w:trPr>
          <w:cantSplit/>
          <w:trHeight w:val="110"/>
        </w:trPr>
        <w:tc>
          <w:tcPr>
            <w:tcW w:w="9889" w:type="dxa"/>
          </w:tcPr>
          <w:p w14:paraId="2ED975D6" w14:textId="2B912E09" w:rsidR="00C52F75" w:rsidRPr="007F20D5" w:rsidRDefault="00166878" w:rsidP="00C00551">
            <w:pPr>
              <w:numPr>
                <w:ilvl w:val="0"/>
                <w:numId w:val="25"/>
              </w:numPr>
              <w:autoSpaceDE w:val="0"/>
              <w:autoSpaceDN w:val="0"/>
              <w:adjustRightInd w:val="0"/>
              <w:spacing w:line="240" w:lineRule="auto"/>
              <w:jc w:val="both"/>
              <w:rPr>
                <w:rFonts w:eastAsiaTheme="minorHAnsi"/>
                <w:szCs w:val="24"/>
                <w:lang w:val="fr-BE"/>
              </w:rPr>
            </w:pPr>
            <w:r w:rsidRPr="00166878">
              <w:rPr>
                <w:rFonts w:eastAsiaTheme="minorHAnsi"/>
                <w:szCs w:val="24"/>
                <w:lang w:val="fr-BE"/>
              </w:rPr>
              <w:t>Diagnostic confirmé de C3G (avec ou sans antécédent de transplantation rénale)</w:t>
            </w:r>
            <w:r w:rsidR="007F2950">
              <w:rPr>
                <w:rFonts w:eastAsiaTheme="minorHAnsi"/>
                <w:szCs w:val="24"/>
                <w:lang w:val="fr-BE"/>
              </w:rPr>
              <w:t>*</w:t>
            </w:r>
            <w:r w:rsidRPr="00166878">
              <w:rPr>
                <w:rFonts w:eastAsiaTheme="minorHAnsi"/>
                <w:szCs w:val="24"/>
                <w:lang w:val="fr-BE"/>
              </w:rPr>
              <w:t>.</w:t>
            </w:r>
          </w:p>
        </w:tc>
      </w:tr>
      <w:tr w:rsidR="00C52F75" w:rsidRPr="00B3247A" w14:paraId="4D1ECED8" w14:textId="77777777" w:rsidTr="00B279BE">
        <w:trPr>
          <w:cantSplit/>
          <w:trHeight w:val="110"/>
        </w:trPr>
        <w:tc>
          <w:tcPr>
            <w:tcW w:w="9889" w:type="dxa"/>
          </w:tcPr>
          <w:p w14:paraId="4E8E3E1B" w14:textId="07DD2AFF" w:rsidR="00701740" w:rsidRDefault="00A72BB3" w:rsidP="00C00551">
            <w:pPr>
              <w:numPr>
                <w:ilvl w:val="0"/>
                <w:numId w:val="25"/>
              </w:numPr>
              <w:autoSpaceDE w:val="0"/>
              <w:autoSpaceDN w:val="0"/>
              <w:adjustRightInd w:val="0"/>
              <w:spacing w:line="240" w:lineRule="auto"/>
              <w:jc w:val="both"/>
              <w:rPr>
                <w:rFonts w:eastAsiaTheme="minorHAnsi" w:cstheme="minorHAnsi"/>
                <w:szCs w:val="24"/>
                <w:lang w:val="fr-BE"/>
              </w:rPr>
            </w:pPr>
            <w:r w:rsidRPr="00A72BB3">
              <w:rPr>
                <w:rFonts w:eastAsiaTheme="minorHAnsi" w:cstheme="minorHAnsi"/>
                <w:szCs w:val="24"/>
                <w:lang w:val="fr-BE"/>
              </w:rPr>
              <w:t>Preuve de maladie rénale active, basée sur un ou plusieurs des critères suivants :</w:t>
            </w:r>
          </w:p>
          <w:p w14:paraId="7B141962" w14:textId="7FD83BE6" w:rsidR="00C52F75" w:rsidRPr="003C020F" w:rsidRDefault="00A72BB3" w:rsidP="003C020F">
            <w:pPr>
              <w:pStyle w:val="Paragraphedeliste"/>
              <w:numPr>
                <w:ilvl w:val="0"/>
                <w:numId w:val="46"/>
              </w:numPr>
              <w:autoSpaceDE w:val="0"/>
              <w:autoSpaceDN w:val="0"/>
              <w:adjustRightInd w:val="0"/>
              <w:jc w:val="both"/>
              <w:rPr>
                <w:rFonts w:asciiTheme="minorHAnsi" w:eastAsiaTheme="minorHAnsi" w:hAnsiTheme="minorHAnsi" w:cstheme="minorHAnsi"/>
                <w:sz w:val="20"/>
                <w:lang w:val="fr-BE"/>
              </w:rPr>
            </w:pPr>
            <w:r w:rsidRPr="00604903">
              <w:rPr>
                <w:rFonts w:asciiTheme="minorHAnsi" w:eastAsiaTheme="minorHAnsi" w:hAnsiTheme="minorHAnsi" w:cstheme="minorHAnsi"/>
                <w:sz w:val="20"/>
                <w:lang w:val="fr-BE"/>
              </w:rPr>
              <w:t xml:space="preserve">Chez les patients ayant subi une biopsie rénale (réalisée dans les 28 semaines précédant la demande d’inclusion dans le MNP), une coloration C3c d’au moins 2+ sur la biopsie. </w:t>
            </w:r>
          </w:p>
        </w:tc>
      </w:tr>
      <w:tr w:rsidR="00C52F75" w:rsidRPr="00B3247A" w14:paraId="5342E065" w14:textId="77777777" w:rsidTr="00B279BE">
        <w:trPr>
          <w:cantSplit/>
          <w:trHeight w:val="110"/>
        </w:trPr>
        <w:tc>
          <w:tcPr>
            <w:tcW w:w="9889" w:type="dxa"/>
          </w:tcPr>
          <w:p w14:paraId="403BDABA" w14:textId="628A6B69" w:rsidR="00C52F75" w:rsidRPr="00C00551" w:rsidRDefault="00967C11" w:rsidP="00C00551">
            <w:pPr>
              <w:pStyle w:val="Paragraphedeliste"/>
              <w:numPr>
                <w:ilvl w:val="0"/>
                <w:numId w:val="25"/>
              </w:numPr>
              <w:autoSpaceDE w:val="0"/>
              <w:autoSpaceDN w:val="0"/>
              <w:adjustRightInd w:val="0"/>
              <w:jc w:val="both"/>
              <w:rPr>
                <w:rFonts w:asciiTheme="minorHAnsi" w:eastAsiaTheme="minorHAnsi" w:hAnsiTheme="minorHAnsi" w:cstheme="minorHAnsi"/>
                <w:sz w:val="20"/>
                <w:lang w:val="fr-BE"/>
              </w:rPr>
            </w:pPr>
            <w:r w:rsidRPr="00C00551">
              <w:rPr>
                <w:rFonts w:asciiTheme="minorHAnsi" w:eastAsiaTheme="minorHAnsi" w:hAnsiTheme="minorHAnsi" w:cstheme="minorHAnsi"/>
                <w:sz w:val="20"/>
                <w:lang w:val="fr-BE"/>
              </w:rPr>
              <w:t xml:space="preserve">Pas plus de 50 % de </w:t>
            </w:r>
            <w:proofErr w:type="spellStart"/>
            <w:r w:rsidRPr="00C00551">
              <w:rPr>
                <w:rFonts w:asciiTheme="minorHAnsi" w:eastAsiaTheme="minorHAnsi" w:hAnsiTheme="minorHAnsi" w:cstheme="minorHAnsi"/>
                <w:sz w:val="20"/>
                <w:lang w:val="fr-BE"/>
              </w:rPr>
              <w:t>glomérulosclérose</w:t>
            </w:r>
            <w:proofErr w:type="spellEnd"/>
            <w:r w:rsidRPr="00C00551">
              <w:rPr>
                <w:rFonts w:asciiTheme="minorHAnsi" w:eastAsiaTheme="minorHAnsi" w:hAnsiTheme="minorHAnsi" w:cstheme="minorHAnsi"/>
                <w:sz w:val="20"/>
                <w:lang w:val="fr-BE"/>
              </w:rPr>
              <w:t xml:space="preserve"> globale ou de fibrose interstitielle sur la biopsie la plus récente disponible.</w:t>
            </w:r>
          </w:p>
        </w:tc>
      </w:tr>
      <w:tr w:rsidR="00C52F75" w:rsidRPr="00B3247A" w14:paraId="27D92FBC" w14:textId="77777777" w:rsidTr="00B279BE">
        <w:trPr>
          <w:cantSplit/>
          <w:trHeight w:val="110"/>
        </w:trPr>
        <w:tc>
          <w:tcPr>
            <w:tcW w:w="9889" w:type="dxa"/>
          </w:tcPr>
          <w:p w14:paraId="31CD30E3" w14:textId="143EFFA4" w:rsidR="00C52F75" w:rsidRPr="00C00551" w:rsidRDefault="0009515F" w:rsidP="00C00551">
            <w:pPr>
              <w:pStyle w:val="Paragraphedeliste"/>
              <w:numPr>
                <w:ilvl w:val="0"/>
                <w:numId w:val="25"/>
              </w:numPr>
              <w:jc w:val="both"/>
              <w:rPr>
                <w:rFonts w:asciiTheme="minorHAnsi" w:eastAsiaTheme="minorHAnsi" w:hAnsiTheme="minorHAnsi" w:cstheme="minorHAnsi"/>
                <w:sz w:val="20"/>
                <w:lang w:val="fr-BE"/>
              </w:rPr>
            </w:pPr>
            <w:r w:rsidRPr="00C00551">
              <w:rPr>
                <w:rFonts w:asciiTheme="minorHAnsi" w:eastAsiaTheme="minorHAnsi" w:hAnsiTheme="minorHAnsi" w:cstheme="minorHAnsi"/>
                <w:sz w:val="20"/>
                <w:lang w:val="fr-BE"/>
              </w:rPr>
              <w:t xml:space="preserve">Le patient présente une réponse limitée aux schémas thérapeutiques pour le C3G, pouvant inclure des stéroïdes, du </w:t>
            </w:r>
            <w:proofErr w:type="spellStart"/>
            <w:r w:rsidRPr="00C00551">
              <w:rPr>
                <w:rFonts w:asciiTheme="minorHAnsi" w:eastAsiaTheme="minorHAnsi" w:hAnsiTheme="minorHAnsi" w:cstheme="minorHAnsi"/>
                <w:sz w:val="20"/>
                <w:lang w:val="fr-BE"/>
              </w:rPr>
              <w:t>mycophénolate</w:t>
            </w:r>
            <w:proofErr w:type="spellEnd"/>
            <w:r w:rsidRPr="00C00551">
              <w:rPr>
                <w:rFonts w:asciiTheme="minorHAnsi" w:eastAsiaTheme="minorHAnsi" w:hAnsiTheme="minorHAnsi" w:cstheme="minorHAnsi"/>
                <w:sz w:val="20"/>
                <w:lang w:val="fr-BE"/>
              </w:rPr>
              <w:t xml:space="preserve"> </w:t>
            </w:r>
            <w:proofErr w:type="spellStart"/>
            <w:r w:rsidRPr="00C00551">
              <w:rPr>
                <w:rFonts w:asciiTheme="minorHAnsi" w:eastAsiaTheme="minorHAnsi" w:hAnsiTheme="minorHAnsi" w:cstheme="minorHAnsi"/>
                <w:sz w:val="20"/>
                <w:lang w:val="fr-BE"/>
              </w:rPr>
              <w:t>mofétil</w:t>
            </w:r>
            <w:proofErr w:type="spellEnd"/>
            <w:r w:rsidRPr="00C00551">
              <w:rPr>
                <w:rFonts w:asciiTheme="minorHAnsi" w:eastAsiaTheme="minorHAnsi" w:hAnsiTheme="minorHAnsi" w:cstheme="minorHAnsi"/>
                <w:sz w:val="20"/>
                <w:lang w:val="fr-BE"/>
              </w:rPr>
              <w:t xml:space="preserve"> et/ou d’autres immunosuppresseurs.</w:t>
            </w:r>
          </w:p>
        </w:tc>
      </w:tr>
      <w:tr w:rsidR="00B279BE" w:rsidRPr="00B3247A" w14:paraId="11290824" w14:textId="77777777" w:rsidTr="00B279BE">
        <w:trPr>
          <w:cantSplit/>
          <w:trHeight w:val="110"/>
        </w:trPr>
        <w:tc>
          <w:tcPr>
            <w:tcW w:w="9889" w:type="dxa"/>
          </w:tcPr>
          <w:p w14:paraId="07D838E8" w14:textId="48D4502C" w:rsidR="00194ED8" w:rsidRPr="00C00551" w:rsidRDefault="00194ED8" w:rsidP="00C00551">
            <w:pPr>
              <w:pStyle w:val="Paragraphedeliste"/>
              <w:numPr>
                <w:ilvl w:val="0"/>
                <w:numId w:val="25"/>
              </w:numPr>
              <w:jc w:val="both"/>
              <w:rPr>
                <w:rFonts w:asciiTheme="minorHAnsi" w:hAnsiTheme="minorHAnsi" w:cstheme="minorHAnsi"/>
                <w:sz w:val="20"/>
                <w:lang w:val="fr-BE"/>
              </w:rPr>
            </w:pPr>
            <w:r w:rsidRPr="00C00551">
              <w:rPr>
                <w:rFonts w:asciiTheme="minorHAnsi" w:hAnsiTheme="minorHAnsi" w:cstheme="minorHAnsi"/>
                <w:sz w:val="20"/>
                <w:lang w:val="fr-BE"/>
              </w:rPr>
              <w:t xml:space="preserve">Protéinurie d’au moins 1 g/j lors d’une collecte d’urine sur 24 heures pendant le dépistage et un </w:t>
            </w:r>
            <w:proofErr w:type="spellStart"/>
            <w:r w:rsidRPr="00C00551">
              <w:rPr>
                <w:rFonts w:asciiTheme="minorHAnsi" w:hAnsiTheme="minorHAnsi" w:cstheme="minorHAnsi"/>
                <w:sz w:val="20"/>
                <w:lang w:val="fr-BE"/>
              </w:rPr>
              <w:t>uPCR</w:t>
            </w:r>
            <w:proofErr w:type="spellEnd"/>
            <w:r w:rsidRPr="00C00551">
              <w:rPr>
                <w:rFonts w:asciiTheme="minorHAnsi" w:hAnsiTheme="minorHAnsi" w:cstheme="minorHAnsi"/>
                <w:sz w:val="20"/>
                <w:lang w:val="fr-BE"/>
              </w:rPr>
              <w:t xml:space="preserve"> d’au moins 1000 mg/g sur au moins deux échantillons d’urine ponctuels recueillis le matin pendant le dépistage.</w:t>
            </w:r>
          </w:p>
          <w:p w14:paraId="425D523F" w14:textId="13DB278D" w:rsidR="00B7737C" w:rsidRPr="00C00551" w:rsidRDefault="00B7737C" w:rsidP="00C00551">
            <w:pPr>
              <w:ind w:left="360"/>
              <w:jc w:val="both"/>
              <w:rPr>
                <w:rFonts w:cstheme="minorHAnsi"/>
                <w:lang w:val="fr-BE"/>
              </w:rPr>
            </w:pPr>
          </w:p>
        </w:tc>
      </w:tr>
      <w:tr w:rsidR="00B279BE" w:rsidRPr="00B3247A" w14:paraId="5DF3A748" w14:textId="77777777" w:rsidTr="00B279BE">
        <w:trPr>
          <w:cantSplit/>
          <w:trHeight w:val="110"/>
        </w:trPr>
        <w:tc>
          <w:tcPr>
            <w:tcW w:w="9889" w:type="dxa"/>
          </w:tcPr>
          <w:p w14:paraId="6E2A0AF7" w14:textId="668363D9" w:rsidR="00B279BE" w:rsidRPr="00C00551" w:rsidRDefault="001235B0" w:rsidP="00C00551">
            <w:pPr>
              <w:pStyle w:val="Paragraphedeliste"/>
              <w:numPr>
                <w:ilvl w:val="0"/>
                <w:numId w:val="25"/>
              </w:numPr>
              <w:jc w:val="both"/>
              <w:rPr>
                <w:rFonts w:asciiTheme="minorHAnsi" w:hAnsiTheme="minorHAnsi" w:cstheme="minorHAnsi"/>
                <w:sz w:val="20"/>
                <w:lang w:val="fr-BE"/>
              </w:rPr>
            </w:pPr>
            <w:proofErr w:type="spellStart"/>
            <w:r w:rsidRPr="00194ED8">
              <w:rPr>
                <w:rFonts w:asciiTheme="minorHAnsi" w:hAnsiTheme="minorHAnsi" w:cstheme="minorHAnsi"/>
                <w:sz w:val="20"/>
                <w:lang w:val="fr-BE"/>
              </w:rPr>
              <w:t>eGFR</w:t>
            </w:r>
            <w:proofErr w:type="spellEnd"/>
            <w:r w:rsidRPr="00194ED8">
              <w:rPr>
                <w:rFonts w:asciiTheme="minorHAnsi" w:hAnsiTheme="minorHAnsi" w:cstheme="minorHAnsi"/>
                <w:sz w:val="20"/>
                <w:lang w:val="fr-BE"/>
              </w:rPr>
              <w:t xml:space="preserve"> ≥ 30 ml/min/1,73 m² calculé avec la formule de la </w:t>
            </w:r>
            <w:proofErr w:type="spellStart"/>
            <w:r w:rsidRPr="00194ED8">
              <w:rPr>
                <w:rFonts w:asciiTheme="minorHAnsi" w:hAnsiTheme="minorHAnsi" w:cstheme="minorHAnsi"/>
                <w:sz w:val="20"/>
                <w:lang w:val="fr-BE"/>
              </w:rPr>
              <w:t>Chronic</w:t>
            </w:r>
            <w:proofErr w:type="spellEnd"/>
            <w:r w:rsidRPr="00194ED8">
              <w:rPr>
                <w:rFonts w:asciiTheme="minorHAnsi" w:hAnsiTheme="minorHAnsi" w:cstheme="minorHAnsi"/>
                <w:sz w:val="20"/>
                <w:lang w:val="fr-BE"/>
              </w:rPr>
              <w:t xml:space="preserve"> </w:t>
            </w:r>
            <w:proofErr w:type="spellStart"/>
            <w:r w:rsidRPr="00194ED8">
              <w:rPr>
                <w:rFonts w:asciiTheme="minorHAnsi" w:hAnsiTheme="minorHAnsi" w:cstheme="minorHAnsi"/>
                <w:sz w:val="20"/>
                <w:lang w:val="fr-BE"/>
              </w:rPr>
              <w:t>Kidney</w:t>
            </w:r>
            <w:proofErr w:type="spellEnd"/>
            <w:r w:rsidRPr="00194ED8">
              <w:rPr>
                <w:rFonts w:asciiTheme="minorHAnsi" w:hAnsiTheme="minorHAnsi" w:cstheme="minorHAnsi"/>
                <w:sz w:val="20"/>
                <w:lang w:val="fr-BE"/>
              </w:rPr>
              <w:t xml:space="preserve"> </w:t>
            </w:r>
            <w:proofErr w:type="spellStart"/>
            <w:r w:rsidRPr="00194ED8">
              <w:rPr>
                <w:rFonts w:asciiTheme="minorHAnsi" w:hAnsiTheme="minorHAnsi" w:cstheme="minorHAnsi"/>
                <w:sz w:val="20"/>
                <w:lang w:val="fr-BE"/>
              </w:rPr>
              <w:t>Disease-Epidemiology</w:t>
            </w:r>
            <w:proofErr w:type="spellEnd"/>
            <w:r w:rsidRPr="00194ED8">
              <w:rPr>
                <w:rFonts w:asciiTheme="minorHAnsi" w:hAnsiTheme="minorHAnsi" w:cstheme="minorHAnsi"/>
                <w:sz w:val="20"/>
                <w:lang w:val="fr-BE"/>
              </w:rPr>
              <w:t xml:space="preserve"> Collaboration pour les adultes ou la formule </w:t>
            </w:r>
            <w:proofErr w:type="spellStart"/>
            <w:r w:rsidRPr="00194ED8">
              <w:rPr>
                <w:rFonts w:asciiTheme="minorHAnsi" w:hAnsiTheme="minorHAnsi" w:cstheme="minorHAnsi"/>
                <w:sz w:val="20"/>
                <w:lang w:val="fr-BE"/>
              </w:rPr>
              <w:t>Bedside</w:t>
            </w:r>
            <w:proofErr w:type="spellEnd"/>
            <w:r w:rsidRPr="00194ED8">
              <w:rPr>
                <w:rFonts w:asciiTheme="minorHAnsi" w:hAnsiTheme="minorHAnsi" w:cstheme="minorHAnsi"/>
                <w:sz w:val="20"/>
                <w:lang w:val="fr-BE"/>
              </w:rPr>
              <w:t xml:space="preserve"> Schwartz pour les adolescents.</w:t>
            </w:r>
          </w:p>
        </w:tc>
      </w:tr>
      <w:tr w:rsidR="00B279BE" w:rsidRPr="00B3247A" w14:paraId="34EA9A6E" w14:textId="77777777" w:rsidTr="00B279BE">
        <w:trPr>
          <w:cantSplit/>
          <w:trHeight w:val="110"/>
        </w:trPr>
        <w:tc>
          <w:tcPr>
            <w:tcW w:w="9889" w:type="dxa"/>
          </w:tcPr>
          <w:p w14:paraId="6765513E" w14:textId="1ABAD3E2" w:rsidR="00B279BE" w:rsidRPr="00C00551" w:rsidRDefault="001235B0" w:rsidP="00D62A5E">
            <w:pPr>
              <w:pStyle w:val="Paragraphedeliste"/>
              <w:numPr>
                <w:ilvl w:val="0"/>
                <w:numId w:val="25"/>
              </w:numPr>
              <w:jc w:val="both"/>
              <w:rPr>
                <w:rFonts w:asciiTheme="minorHAnsi" w:hAnsiTheme="minorHAnsi" w:cstheme="minorHAnsi"/>
                <w:sz w:val="20"/>
                <w:lang w:val="fr-BE"/>
              </w:rPr>
            </w:pPr>
            <w:r w:rsidRPr="00194ED8">
              <w:rPr>
                <w:rFonts w:asciiTheme="minorHAnsi" w:hAnsiTheme="minorHAnsi" w:cstheme="minorHAnsi"/>
                <w:sz w:val="20"/>
                <w:lang w:val="fr-BE"/>
              </w:rPr>
              <w:t>Capacité à comprendre et à suivre les exigences, restrictions et instructions du traitement (selon l’évaluation du médecin traitant).</w:t>
            </w:r>
          </w:p>
        </w:tc>
      </w:tr>
      <w:tr w:rsidR="00B279BE" w:rsidRPr="00B3247A" w14:paraId="73FD64A9" w14:textId="77777777" w:rsidTr="00B279BE">
        <w:trPr>
          <w:cantSplit/>
          <w:trHeight w:val="110"/>
        </w:trPr>
        <w:tc>
          <w:tcPr>
            <w:tcW w:w="9889" w:type="dxa"/>
          </w:tcPr>
          <w:p w14:paraId="27333ECF" w14:textId="0CE82FEF" w:rsidR="00B279BE" w:rsidRPr="00C00551" w:rsidRDefault="000125CD" w:rsidP="00C00551">
            <w:pPr>
              <w:pStyle w:val="Paragraphedeliste"/>
              <w:numPr>
                <w:ilvl w:val="0"/>
                <w:numId w:val="25"/>
              </w:numPr>
              <w:jc w:val="both"/>
              <w:rPr>
                <w:rFonts w:asciiTheme="minorHAnsi" w:hAnsiTheme="minorHAnsi" w:cstheme="minorHAnsi"/>
                <w:sz w:val="20"/>
                <w:lang w:val="fr-BE"/>
              </w:rPr>
            </w:pPr>
            <w:r w:rsidRPr="00194ED8">
              <w:rPr>
                <w:rFonts w:asciiTheme="minorHAnsi" w:hAnsiTheme="minorHAnsi" w:cstheme="minorHAnsi"/>
                <w:sz w:val="20"/>
                <w:lang w:val="fr-BE"/>
              </w:rPr>
              <w:t xml:space="preserve">Disposition et capacité à s’auto-administrer le </w:t>
            </w:r>
            <w:proofErr w:type="spellStart"/>
            <w:r w:rsidRPr="00194ED8">
              <w:rPr>
                <w:rFonts w:asciiTheme="minorHAnsi" w:hAnsiTheme="minorHAnsi" w:cstheme="minorHAnsi"/>
                <w:sz w:val="20"/>
                <w:lang w:val="fr-BE"/>
              </w:rPr>
              <w:t>pegcetacoplan</w:t>
            </w:r>
            <w:proofErr w:type="spellEnd"/>
            <w:r w:rsidRPr="00194ED8">
              <w:rPr>
                <w:rFonts w:asciiTheme="minorHAnsi" w:hAnsiTheme="minorHAnsi" w:cstheme="minorHAnsi"/>
                <w:sz w:val="20"/>
                <w:lang w:val="fr-BE"/>
              </w:rPr>
              <w:t xml:space="preserve"> ou à disposer d’un soignant désigné pouvant effectuer l’administration.</w:t>
            </w:r>
          </w:p>
        </w:tc>
      </w:tr>
      <w:tr w:rsidR="00B279BE" w:rsidRPr="00B3247A" w14:paraId="68773258" w14:textId="77777777" w:rsidTr="00B279BE">
        <w:trPr>
          <w:cantSplit/>
          <w:trHeight w:val="110"/>
        </w:trPr>
        <w:tc>
          <w:tcPr>
            <w:tcW w:w="9889" w:type="dxa"/>
          </w:tcPr>
          <w:p w14:paraId="5B0BA2F3" w14:textId="69534C53" w:rsidR="00B279BE" w:rsidRPr="00D62A5E" w:rsidRDefault="000125CD" w:rsidP="00C00551">
            <w:pPr>
              <w:pStyle w:val="Paragraphedeliste"/>
              <w:numPr>
                <w:ilvl w:val="0"/>
                <w:numId w:val="25"/>
              </w:numPr>
              <w:jc w:val="both"/>
              <w:rPr>
                <w:rFonts w:asciiTheme="minorHAnsi" w:hAnsiTheme="minorHAnsi" w:cstheme="minorHAnsi"/>
                <w:sz w:val="20"/>
                <w:lang w:val="fr-BE"/>
              </w:rPr>
            </w:pPr>
            <w:r w:rsidRPr="00194ED8">
              <w:rPr>
                <w:rFonts w:asciiTheme="minorHAnsi" w:hAnsiTheme="minorHAnsi" w:cstheme="minorHAnsi"/>
                <w:sz w:val="20"/>
                <w:lang w:val="fr-BE"/>
              </w:rPr>
              <w:t xml:space="preserve">Les participants ayant l’âge légal pour donner leur consentement, conformément à la réglementation locale, doivent être disposés et capables de fournir un consentement éclairé. Le représentant légal des participants n’ayant pas l’âge requis doit être disposé et capable de fournir un consentement éclairé ; si applicable, les participants mineurs doivent également donner leur assentiment pour le traitement par </w:t>
            </w:r>
            <w:proofErr w:type="spellStart"/>
            <w:r w:rsidRPr="00194ED8">
              <w:rPr>
                <w:rFonts w:asciiTheme="minorHAnsi" w:hAnsiTheme="minorHAnsi" w:cstheme="minorHAnsi"/>
                <w:sz w:val="20"/>
                <w:lang w:val="fr-BE"/>
              </w:rPr>
              <w:t>pegcetacoplan</w:t>
            </w:r>
            <w:proofErr w:type="spellEnd"/>
            <w:r w:rsidRPr="00194ED8">
              <w:rPr>
                <w:rFonts w:asciiTheme="minorHAnsi" w:hAnsiTheme="minorHAnsi" w:cstheme="minorHAnsi"/>
                <w:sz w:val="20"/>
                <w:lang w:val="fr-BE"/>
              </w:rPr>
              <w:t xml:space="preserve"> dans le cadre de cette étude.</w:t>
            </w:r>
          </w:p>
        </w:tc>
      </w:tr>
      <w:tr w:rsidR="00B279BE" w:rsidRPr="00B3247A" w14:paraId="293D06E9" w14:textId="77777777" w:rsidTr="00B279BE">
        <w:trPr>
          <w:cantSplit/>
          <w:trHeight w:val="110"/>
        </w:trPr>
        <w:tc>
          <w:tcPr>
            <w:tcW w:w="9889" w:type="dxa"/>
          </w:tcPr>
          <w:p w14:paraId="3FD353A7" w14:textId="3BA401DE" w:rsidR="00B279BE" w:rsidRPr="00C00551" w:rsidRDefault="004B5741" w:rsidP="00D62A5E">
            <w:pPr>
              <w:pStyle w:val="Paragraphedeliste"/>
              <w:numPr>
                <w:ilvl w:val="0"/>
                <w:numId w:val="25"/>
              </w:numPr>
              <w:jc w:val="both"/>
              <w:rPr>
                <w:rFonts w:asciiTheme="minorHAnsi" w:hAnsiTheme="minorHAnsi" w:cstheme="minorHAnsi"/>
                <w:sz w:val="20"/>
                <w:lang w:val="fr-BE"/>
              </w:rPr>
            </w:pPr>
            <w:r w:rsidRPr="00194ED8">
              <w:rPr>
                <w:rFonts w:asciiTheme="minorHAnsi" w:hAnsiTheme="minorHAnsi" w:cstheme="minorHAnsi"/>
                <w:sz w:val="20"/>
                <w:lang w:val="fr-BE"/>
              </w:rPr>
              <w:lastRenderedPageBreak/>
              <w:t>Avoir reçu les vaccins contre </w:t>
            </w:r>
            <w:r w:rsidRPr="00194ED8">
              <w:rPr>
                <w:rFonts w:asciiTheme="minorHAnsi" w:hAnsiTheme="minorHAnsi" w:cstheme="minorHAnsi"/>
                <w:i/>
                <w:iCs/>
                <w:sz w:val="20"/>
                <w:lang w:val="fr-BE"/>
              </w:rPr>
              <w:t xml:space="preserve">Streptococcus </w:t>
            </w:r>
            <w:proofErr w:type="spellStart"/>
            <w:r w:rsidRPr="00194ED8">
              <w:rPr>
                <w:rFonts w:asciiTheme="minorHAnsi" w:hAnsiTheme="minorHAnsi" w:cstheme="minorHAnsi"/>
                <w:i/>
                <w:iCs/>
                <w:sz w:val="20"/>
                <w:lang w:val="fr-BE"/>
              </w:rPr>
              <w:t>pneumoniae</w:t>
            </w:r>
            <w:proofErr w:type="spellEnd"/>
            <w:r w:rsidRPr="00194ED8">
              <w:rPr>
                <w:rFonts w:asciiTheme="minorHAnsi" w:hAnsiTheme="minorHAnsi" w:cstheme="minorHAnsi"/>
                <w:sz w:val="20"/>
                <w:lang w:val="fr-BE"/>
              </w:rPr>
              <w:t>, </w:t>
            </w:r>
            <w:r w:rsidRPr="00194ED8">
              <w:rPr>
                <w:rFonts w:asciiTheme="minorHAnsi" w:hAnsiTheme="minorHAnsi" w:cstheme="minorHAnsi"/>
                <w:i/>
                <w:iCs/>
                <w:sz w:val="20"/>
                <w:lang w:val="fr-BE"/>
              </w:rPr>
              <w:t>Neisseria meningitidis</w:t>
            </w:r>
            <w:r w:rsidRPr="00194ED8">
              <w:rPr>
                <w:rFonts w:asciiTheme="minorHAnsi" w:hAnsiTheme="minorHAnsi" w:cstheme="minorHAnsi"/>
                <w:sz w:val="20"/>
                <w:lang w:val="fr-BE"/>
              </w:rPr>
              <w:t> (types A, C, W, Y et B) et </w:t>
            </w:r>
            <w:r w:rsidRPr="00194ED8">
              <w:rPr>
                <w:rFonts w:asciiTheme="minorHAnsi" w:hAnsiTheme="minorHAnsi" w:cstheme="minorHAnsi"/>
                <w:i/>
                <w:iCs/>
                <w:sz w:val="20"/>
                <w:lang w:val="fr-BE"/>
              </w:rPr>
              <w:t>Haemophilus influenzae</w:t>
            </w:r>
            <w:r w:rsidRPr="00194ED8">
              <w:rPr>
                <w:rFonts w:asciiTheme="minorHAnsi" w:hAnsiTheme="minorHAnsi" w:cstheme="minorHAnsi"/>
                <w:sz w:val="20"/>
                <w:lang w:val="fr-BE"/>
              </w:rPr>
              <w:t xml:space="preserve"> (type B) selon les recommandations du CSS-HGR pour les adultes ou enfants présentant des déficits du complément et/ou des affections </w:t>
            </w:r>
            <w:proofErr w:type="spellStart"/>
            <w:r w:rsidRPr="00194ED8">
              <w:rPr>
                <w:rFonts w:asciiTheme="minorHAnsi" w:hAnsiTheme="minorHAnsi" w:cstheme="minorHAnsi"/>
                <w:sz w:val="20"/>
                <w:lang w:val="fr-BE"/>
              </w:rPr>
              <w:t>immunodéprimantes</w:t>
            </w:r>
            <w:proofErr w:type="spellEnd"/>
            <w:r w:rsidRPr="00194ED8">
              <w:rPr>
                <w:rFonts w:asciiTheme="minorHAnsi" w:hAnsiTheme="minorHAnsi" w:cstheme="minorHAnsi"/>
                <w:sz w:val="20"/>
                <w:lang w:val="fr-BE"/>
              </w:rPr>
              <w:t xml:space="preserve">. Tous les patients doivent être vaccinés contre ces bactéries au moins 2 semaines avant l’administration du </w:t>
            </w:r>
            <w:proofErr w:type="spellStart"/>
            <w:r w:rsidRPr="00194ED8">
              <w:rPr>
                <w:rFonts w:asciiTheme="minorHAnsi" w:hAnsiTheme="minorHAnsi" w:cstheme="minorHAnsi"/>
                <w:sz w:val="20"/>
                <w:lang w:val="fr-BE"/>
              </w:rPr>
              <w:t>pegcetacoplan</w:t>
            </w:r>
            <w:proofErr w:type="spellEnd"/>
            <w:r w:rsidRPr="00194ED8">
              <w:rPr>
                <w:rFonts w:asciiTheme="minorHAnsi" w:hAnsiTheme="minorHAnsi" w:cstheme="minorHAnsi"/>
                <w:sz w:val="20"/>
                <w:lang w:val="fr-BE"/>
              </w:rPr>
              <w:t xml:space="preserve">, sauf si le risque de retarder le traitement est supérieur au risque d’infection. Si l’administration du </w:t>
            </w:r>
            <w:proofErr w:type="spellStart"/>
            <w:r w:rsidRPr="00194ED8">
              <w:rPr>
                <w:rFonts w:asciiTheme="minorHAnsi" w:hAnsiTheme="minorHAnsi" w:cstheme="minorHAnsi"/>
                <w:sz w:val="20"/>
                <w:lang w:val="fr-BE"/>
              </w:rPr>
              <w:t>pegcetacoplan</w:t>
            </w:r>
            <w:proofErr w:type="spellEnd"/>
            <w:r w:rsidRPr="00194ED8">
              <w:rPr>
                <w:rFonts w:asciiTheme="minorHAnsi" w:hAnsiTheme="minorHAnsi" w:cstheme="minorHAnsi"/>
                <w:sz w:val="20"/>
                <w:lang w:val="fr-BE"/>
              </w:rPr>
              <w:t xml:space="preserve"> doit commencer moins de 2 semaines après la vaccination, un traitement antibiotique prophylactique doit être instauré et poursuivi jusqu’à 2 semaines après la vaccination.</w:t>
            </w:r>
          </w:p>
        </w:tc>
      </w:tr>
      <w:tr w:rsidR="004B5741" w:rsidRPr="00B3247A" w14:paraId="19DD52CE" w14:textId="77777777" w:rsidTr="00B279BE">
        <w:trPr>
          <w:cantSplit/>
          <w:trHeight w:val="110"/>
        </w:trPr>
        <w:tc>
          <w:tcPr>
            <w:tcW w:w="9889" w:type="dxa"/>
          </w:tcPr>
          <w:p w14:paraId="31300284" w14:textId="58779A29" w:rsidR="004B5741" w:rsidRPr="00C00551" w:rsidRDefault="004B5741" w:rsidP="00C00551">
            <w:pPr>
              <w:pStyle w:val="Paragraphedeliste"/>
              <w:numPr>
                <w:ilvl w:val="0"/>
                <w:numId w:val="25"/>
              </w:numPr>
              <w:jc w:val="both"/>
              <w:rPr>
                <w:rFonts w:asciiTheme="minorHAnsi" w:hAnsiTheme="minorHAnsi" w:cstheme="minorHAnsi"/>
                <w:sz w:val="20"/>
                <w:lang w:val="fr-BE"/>
              </w:rPr>
            </w:pPr>
            <w:r w:rsidRPr="00194ED8">
              <w:rPr>
                <w:rFonts w:asciiTheme="minorHAnsi" w:hAnsiTheme="minorHAnsi" w:cstheme="minorHAnsi"/>
                <w:sz w:val="20"/>
                <w:lang w:val="fr-BE"/>
              </w:rPr>
              <w:t xml:space="preserve">Les femmes en âge de procréer doivent avoir un test de grossesse négatif lors de l’inclusion dans ce programme et accepter d’utiliser des méthodes contraceptives appropriées pendant toute la durée du programme et jusqu’à au moins 8 semaines après la dernière administration de </w:t>
            </w:r>
            <w:proofErr w:type="spellStart"/>
            <w:r w:rsidRPr="00194ED8">
              <w:rPr>
                <w:rFonts w:asciiTheme="minorHAnsi" w:hAnsiTheme="minorHAnsi" w:cstheme="minorHAnsi"/>
                <w:sz w:val="20"/>
                <w:lang w:val="fr-BE"/>
              </w:rPr>
              <w:t>pegcetacoplan</w:t>
            </w:r>
            <w:proofErr w:type="spellEnd"/>
            <w:r w:rsidRPr="00194ED8">
              <w:rPr>
                <w:rFonts w:asciiTheme="minorHAnsi" w:hAnsiTheme="minorHAnsi" w:cstheme="minorHAnsi"/>
                <w:sz w:val="20"/>
                <w:lang w:val="fr-BE"/>
              </w:rPr>
              <w:t>.</w:t>
            </w:r>
          </w:p>
        </w:tc>
      </w:tr>
      <w:tr w:rsidR="004B5741" w:rsidRPr="00B3247A" w14:paraId="3225D052" w14:textId="77777777" w:rsidTr="00B279BE">
        <w:trPr>
          <w:cantSplit/>
          <w:trHeight w:val="110"/>
        </w:trPr>
        <w:tc>
          <w:tcPr>
            <w:tcW w:w="9889" w:type="dxa"/>
          </w:tcPr>
          <w:p w14:paraId="04A1116A" w14:textId="1DE862D7" w:rsidR="004B5741" w:rsidRPr="00C00551" w:rsidRDefault="004B5741" w:rsidP="00D62A5E">
            <w:pPr>
              <w:pStyle w:val="Paragraphedeliste"/>
              <w:numPr>
                <w:ilvl w:val="0"/>
                <w:numId w:val="25"/>
              </w:numPr>
              <w:jc w:val="both"/>
              <w:rPr>
                <w:rFonts w:asciiTheme="minorHAnsi" w:hAnsiTheme="minorHAnsi" w:cstheme="minorHAnsi"/>
                <w:color w:val="000000"/>
                <w:sz w:val="20"/>
                <w:lang w:val="fr-BE"/>
              </w:rPr>
            </w:pPr>
            <w:r w:rsidRPr="00194ED8">
              <w:rPr>
                <w:rFonts w:asciiTheme="minorHAnsi" w:hAnsiTheme="minorHAnsi" w:cstheme="minorHAnsi"/>
                <w:sz w:val="20"/>
                <w:lang w:val="fr-BE"/>
              </w:rPr>
              <w:t>Les hommes doivent accepter d’utiliser des méthodes contraceptives appropriées et de s’abstenir de tout don de sperme pendant toute la durée du programme.</w:t>
            </w:r>
          </w:p>
        </w:tc>
      </w:tr>
    </w:tbl>
    <w:p w14:paraId="3B7F55D4" w14:textId="77777777" w:rsidR="00970F21" w:rsidRPr="004B5741" w:rsidRDefault="00970F21" w:rsidP="004B5741">
      <w:pPr>
        <w:pStyle w:val="Sansinterligne"/>
        <w:rPr>
          <w:lang w:val="fr-BE"/>
        </w:rPr>
      </w:pPr>
    </w:p>
    <w:tbl>
      <w:tblPr>
        <w:tblStyle w:val="Grilledutableau"/>
        <w:tblW w:w="0" w:type="auto"/>
        <w:tblLayout w:type="fixed"/>
        <w:tblLook w:val="0000" w:firstRow="0" w:lastRow="0" w:firstColumn="0" w:lastColumn="0" w:noHBand="0" w:noVBand="0"/>
      </w:tblPr>
      <w:tblGrid>
        <w:gridCol w:w="9889"/>
      </w:tblGrid>
      <w:tr w:rsidR="00B279BE" w:rsidRPr="00B432E5" w14:paraId="3589492E" w14:textId="77777777" w:rsidTr="00B432E5">
        <w:trPr>
          <w:trHeight w:val="110"/>
        </w:trPr>
        <w:tc>
          <w:tcPr>
            <w:tcW w:w="9889" w:type="dxa"/>
            <w:shd w:val="clear" w:color="auto" w:fill="F2DBDB" w:themeFill="accent2" w:themeFillTint="33"/>
          </w:tcPr>
          <w:p w14:paraId="056602E2" w14:textId="77777777" w:rsidR="00DB6125" w:rsidRPr="00B432E5" w:rsidRDefault="005278F8" w:rsidP="00B432E5">
            <w:pPr>
              <w:pStyle w:val="Sansinterligne"/>
              <w:rPr>
                <w:rFonts w:cstheme="minorHAnsi"/>
              </w:rPr>
            </w:pPr>
            <w:proofErr w:type="spellStart"/>
            <w:r w:rsidRPr="00B432E5">
              <w:rPr>
                <w:rFonts w:cstheme="minorHAnsi"/>
              </w:rPr>
              <w:t>Critères</w:t>
            </w:r>
            <w:proofErr w:type="spellEnd"/>
            <w:r w:rsidRPr="00B432E5">
              <w:rPr>
                <w:rFonts w:cstheme="minorHAnsi"/>
              </w:rPr>
              <w:t xml:space="preserve"> </w:t>
            </w:r>
            <w:proofErr w:type="spellStart"/>
            <w:r w:rsidRPr="00B432E5">
              <w:rPr>
                <w:rFonts w:cstheme="minorHAnsi"/>
              </w:rPr>
              <w:t>d’exclusion</w:t>
            </w:r>
            <w:proofErr w:type="spellEnd"/>
          </w:p>
        </w:tc>
      </w:tr>
      <w:tr w:rsidR="00DB4D7C" w:rsidRPr="00B3247A" w14:paraId="3A0BEB94" w14:textId="77777777" w:rsidTr="00B432E5">
        <w:trPr>
          <w:trHeight w:val="110"/>
        </w:trPr>
        <w:tc>
          <w:tcPr>
            <w:tcW w:w="9889" w:type="dxa"/>
            <w:shd w:val="clear" w:color="auto" w:fill="auto"/>
          </w:tcPr>
          <w:p w14:paraId="6EC94293" w14:textId="2FD76D4F" w:rsidR="00DB4D7C" w:rsidRPr="00B432E5" w:rsidRDefault="00B432E5" w:rsidP="00B432E5">
            <w:pPr>
              <w:numPr>
                <w:ilvl w:val="0"/>
                <w:numId w:val="27"/>
              </w:numPr>
              <w:shd w:val="clear" w:color="auto" w:fill="FAFAFA"/>
              <w:rPr>
                <w:rFonts w:eastAsia="Times New Roman" w:cstheme="minorHAnsi"/>
                <w:color w:val="424242"/>
                <w:lang w:val="fr-BE" w:eastAsia="fr-BE"/>
              </w:rPr>
            </w:pPr>
            <w:r w:rsidRPr="00B432E5">
              <w:rPr>
                <w:rFonts w:eastAsia="Times New Roman" w:cstheme="minorHAnsi"/>
                <w:color w:val="424242"/>
                <w:lang w:val="fr-BE" w:eastAsia="fr-BE"/>
              </w:rPr>
              <w:t xml:space="preserve">Patients qui se sont retirés ou ont interrompu leur participation à une étude clinique avec le </w:t>
            </w:r>
            <w:proofErr w:type="spellStart"/>
            <w:r w:rsidRPr="00B432E5">
              <w:rPr>
                <w:rFonts w:eastAsia="Times New Roman" w:cstheme="minorHAnsi"/>
                <w:color w:val="424242"/>
                <w:lang w:val="fr-BE" w:eastAsia="fr-BE"/>
              </w:rPr>
              <w:t>pegcetacoplan</w:t>
            </w:r>
            <w:proofErr w:type="spellEnd"/>
            <w:r w:rsidRPr="00B432E5">
              <w:rPr>
                <w:rFonts w:eastAsia="Times New Roman" w:cstheme="minorHAnsi"/>
                <w:color w:val="424242"/>
                <w:lang w:val="fr-BE" w:eastAsia="fr-BE"/>
              </w:rPr>
              <w:t>.</w:t>
            </w:r>
          </w:p>
        </w:tc>
      </w:tr>
      <w:tr w:rsidR="00DB4D7C" w:rsidRPr="00B3247A" w14:paraId="5B3B8296" w14:textId="77777777" w:rsidTr="00B432E5">
        <w:trPr>
          <w:trHeight w:val="110"/>
        </w:trPr>
        <w:tc>
          <w:tcPr>
            <w:tcW w:w="9889" w:type="dxa"/>
            <w:shd w:val="clear" w:color="auto" w:fill="auto"/>
          </w:tcPr>
          <w:p w14:paraId="76594F13" w14:textId="58805CD0" w:rsidR="00DB4D7C" w:rsidRPr="00B432E5" w:rsidRDefault="00B432E5" w:rsidP="00B432E5">
            <w:pPr>
              <w:numPr>
                <w:ilvl w:val="0"/>
                <w:numId w:val="27"/>
              </w:numPr>
              <w:shd w:val="clear" w:color="auto" w:fill="FAFAFA"/>
              <w:rPr>
                <w:rFonts w:eastAsia="Times New Roman" w:cstheme="minorHAnsi"/>
                <w:color w:val="424242"/>
                <w:lang w:val="fr-BE" w:eastAsia="fr-BE"/>
              </w:rPr>
            </w:pPr>
            <w:r w:rsidRPr="00B432E5">
              <w:rPr>
                <w:rFonts w:eastAsia="Times New Roman" w:cstheme="minorHAnsi"/>
                <w:color w:val="424242"/>
                <w:lang w:val="fr-BE" w:eastAsia="fr-BE"/>
              </w:rPr>
              <w:t>C3G secondaire à une autre affection (par exemple : infection récente, malignité, gammapathie monoclonale, maladie auto-immune systémique telle que le lupus érythémateux systémique, rejet chronique médié par les anticorps, ou un médicament), selon l’avis de l’investigateur.</w:t>
            </w:r>
          </w:p>
        </w:tc>
      </w:tr>
      <w:tr w:rsidR="00DB4D7C" w:rsidRPr="00B3247A" w14:paraId="483BF4F5" w14:textId="77777777" w:rsidTr="00B432E5">
        <w:trPr>
          <w:trHeight w:val="110"/>
        </w:trPr>
        <w:tc>
          <w:tcPr>
            <w:tcW w:w="9889" w:type="dxa"/>
            <w:shd w:val="clear" w:color="auto" w:fill="auto"/>
          </w:tcPr>
          <w:p w14:paraId="150DA9E8" w14:textId="21843FCD" w:rsidR="00DB4D7C" w:rsidRPr="00B432E5" w:rsidRDefault="00B432E5" w:rsidP="00B432E5">
            <w:pPr>
              <w:numPr>
                <w:ilvl w:val="0"/>
                <w:numId w:val="27"/>
              </w:numPr>
              <w:shd w:val="clear" w:color="auto" w:fill="FAFAFA"/>
              <w:rPr>
                <w:rFonts w:eastAsia="Times New Roman" w:cstheme="minorHAnsi"/>
                <w:color w:val="424242"/>
                <w:lang w:val="fr-BE" w:eastAsia="fr-BE"/>
              </w:rPr>
            </w:pPr>
            <w:r w:rsidRPr="00B432E5">
              <w:rPr>
                <w:rFonts w:eastAsia="Times New Roman" w:cstheme="minorHAnsi"/>
                <w:color w:val="424242"/>
                <w:lang w:val="fr-BE" w:eastAsia="fr-BE"/>
              </w:rPr>
              <w:t xml:space="preserve">Hypersensibilité au </w:t>
            </w:r>
            <w:proofErr w:type="spellStart"/>
            <w:r w:rsidRPr="00B432E5">
              <w:rPr>
                <w:rFonts w:eastAsia="Times New Roman" w:cstheme="minorHAnsi"/>
                <w:color w:val="424242"/>
                <w:lang w:val="fr-BE" w:eastAsia="fr-BE"/>
              </w:rPr>
              <w:t>pegcetacoplan</w:t>
            </w:r>
            <w:proofErr w:type="spellEnd"/>
            <w:r w:rsidRPr="00B432E5">
              <w:rPr>
                <w:rFonts w:eastAsia="Times New Roman" w:cstheme="minorHAnsi"/>
                <w:color w:val="424242"/>
                <w:lang w:val="fr-BE" w:eastAsia="fr-BE"/>
              </w:rPr>
              <w:t xml:space="preserve"> ou à l’un de ses excipients.</w:t>
            </w:r>
          </w:p>
        </w:tc>
      </w:tr>
      <w:tr w:rsidR="00DB4D7C" w:rsidRPr="00B3247A" w14:paraId="6065B5E0" w14:textId="77777777" w:rsidTr="00B432E5">
        <w:trPr>
          <w:trHeight w:val="110"/>
        </w:trPr>
        <w:tc>
          <w:tcPr>
            <w:tcW w:w="9889" w:type="dxa"/>
            <w:shd w:val="clear" w:color="auto" w:fill="auto"/>
          </w:tcPr>
          <w:p w14:paraId="3F314660" w14:textId="3F524F65" w:rsidR="00DB4D7C" w:rsidRPr="00B432E5" w:rsidRDefault="00B432E5" w:rsidP="00B432E5">
            <w:pPr>
              <w:numPr>
                <w:ilvl w:val="0"/>
                <w:numId w:val="27"/>
              </w:numPr>
              <w:shd w:val="clear" w:color="auto" w:fill="FAFAFA"/>
              <w:rPr>
                <w:rFonts w:eastAsia="Times New Roman" w:cstheme="minorHAnsi"/>
                <w:color w:val="424242"/>
                <w:lang w:val="fr-BE" w:eastAsia="fr-BE"/>
              </w:rPr>
            </w:pPr>
            <w:r w:rsidRPr="00B432E5">
              <w:rPr>
                <w:rFonts w:eastAsia="Times New Roman" w:cstheme="minorHAnsi"/>
                <w:color w:val="424242"/>
                <w:lang w:val="fr-BE" w:eastAsia="fr-BE"/>
              </w:rPr>
              <w:t>Patients atteints d’intolérance héréditaire au fructose.</w:t>
            </w:r>
          </w:p>
        </w:tc>
      </w:tr>
      <w:tr w:rsidR="00DB4D7C" w:rsidRPr="00B3247A" w14:paraId="35355344" w14:textId="77777777" w:rsidTr="00B432E5">
        <w:trPr>
          <w:trHeight w:val="110"/>
        </w:trPr>
        <w:tc>
          <w:tcPr>
            <w:tcW w:w="9889" w:type="dxa"/>
            <w:shd w:val="clear" w:color="auto" w:fill="auto"/>
          </w:tcPr>
          <w:p w14:paraId="38FF4CE2" w14:textId="7D712DC9" w:rsidR="00DB4D7C" w:rsidRPr="00B432E5" w:rsidRDefault="00B432E5" w:rsidP="00B432E5">
            <w:pPr>
              <w:numPr>
                <w:ilvl w:val="0"/>
                <w:numId w:val="27"/>
              </w:numPr>
              <w:shd w:val="clear" w:color="auto" w:fill="FAFAFA"/>
              <w:rPr>
                <w:rFonts w:eastAsia="Times New Roman" w:cstheme="minorHAnsi"/>
                <w:color w:val="424242"/>
                <w:lang w:val="fr-BE" w:eastAsia="fr-BE"/>
              </w:rPr>
            </w:pPr>
            <w:r w:rsidRPr="00B432E5">
              <w:rPr>
                <w:rFonts w:eastAsia="Times New Roman" w:cstheme="minorHAnsi"/>
                <w:color w:val="424242"/>
                <w:lang w:val="fr-BE" w:eastAsia="fr-BE"/>
              </w:rPr>
              <w:t xml:space="preserve">Antécédents ou présence de comorbidité qui, selon le médecin traitant, pourrait représenter un risque trop élevé lors de l’administration du </w:t>
            </w:r>
            <w:proofErr w:type="spellStart"/>
            <w:r w:rsidRPr="00B432E5">
              <w:rPr>
                <w:rFonts w:eastAsia="Times New Roman" w:cstheme="minorHAnsi"/>
                <w:color w:val="424242"/>
                <w:lang w:val="fr-BE" w:eastAsia="fr-BE"/>
              </w:rPr>
              <w:t>pegcetacoplan</w:t>
            </w:r>
            <w:proofErr w:type="spellEnd"/>
            <w:r w:rsidRPr="00B432E5">
              <w:rPr>
                <w:rFonts w:eastAsia="Times New Roman" w:cstheme="minorHAnsi"/>
                <w:color w:val="424242"/>
                <w:lang w:val="fr-BE" w:eastAsia="fr-BE"/>
              </w:rPr>
              <w:t>.</w:t>
            </w:r>
          </w:p>
        </w:tc>
      </w:tr>
      <w:tr w:rsidR="00DB4D7C" w:rsidRPr="00B3247A" w14:paraId="7101A914" w14:textId="77777777" w:rsidTr="00B432E5">
        <w:trPr>
          <w:trHeight w:val="110"/>
        </w:trPr>
        <w:tc>
          <w:tcPr>
            <w:tcW w:w="9889" w:type="dxa"/>
            <w:shd w:val="clear" w:color="auto" w:fill="auto"/>
          </w:tcPr>
          <w:p w14:paraId="59C83763" w14:textId="2948028E" w:rsidR="00DB4D7C" w:rsidRPr="00B432E5" w:rsidRDefault="00B432E5" w:rsidP="00B432E5">
            <w:pPr>
              <w:numPr>
                <w:ilvl w:val="0"/>
                <w:numId w:val="27"/>
              </w:numPr>
              <w:shd w:val="clear" w:color="auto" w:fill="FAFAFA"/>
              <w:rPr>
                <w:rFonts w:eastAsia="Times New Roman" w:cstheme="minorHAnsi"/>
                <w:color w:val="424242"/>
                <w:lang w:val="fr-BE" w:eastAsia="fr-BE"/>
              </w:rPr>
            </w:pPr>
            <w:r w:rsidRPr="00B432E5">
              <w:rPr>
                <w:rFonts w:eastAsia="Times New Roman" w:cstheme="minorHAnsi"/>
                <w:color w:val="424242"/>
                <w:lang w:val="fr-BE" w:eastAsia="fr-BE"/>
              </w:rPr>
              <w:t>Antécédents connus d’abus d’alcool ou de drogues au cours de l’année écoulée.</w:t>
            </w:r>
          </w:p>
        </w:tc>
      </w:tr>
      <w:tr w:rsidR="00B432E5" w:rsidRPr="00B432E5" w14:paraId="6F86C87A" w14:textId="77777777" w:rsidTr="00B432E5">
        <w:trPr>
          <w:trHeight w:val="110"/>
        </w:trPr>
        <w:tc>
          <w:tcPr>
            <w:tcW w:w="9889" w:type="dxa"/>
            <w:shd w:val="clear" w:color="auto" w:fill="auto"/>
          </w:tcPr>
          <w:p w14:paraId="237F8E67" w14:textId="55EDD92F" w:rsidR="00B432E5" w:rsidRPr="00B432E5" w:rsidRDefault="00B432E5" w:rsidP="00B432E5">
            <w:pPr>
              <w:numPr>
                <w:ilvl w:val="0"/>
                <w:numId w:val="27"/>
              </w:numPr>
              <w:shd w:val="clear" w:color="auto" w:fill="FAFAFA"/>
              <w:rPr>
                <w:rFonts w:eastAsia="Times New Roman" w:cstheme="minorHAnsi"/>
                <w:color w:val="424242"/>
                <w:lang w:val="fr-BE" w:eastAsia="fr-BE"/>
              </w:rPr>
            </w:pPr>
            <w:r w:rsidRPr="00B432E5">
              <w:rPr>
                <w:rFonts w:eastAsia="Times New Roman" w:cstheme="minorHAnsi"/>
                <w:color w:val="424242"/>
                <w:lang w:val="fr-BE" w:eastAsia="fr-BE"/>
              </w:rPr>
              <w:t>Femmes enceintes ou allaitantes.</w:t>
            </w:r>
          </w:p>
        </w:tc>
      </w:tr>
      <w:tr w:rsidR="00B432E5" w:rsidRPr="00B3247A" w14:paraId="1139BC12" w14:textId="77777777" w:rsidTr="00B432E5">
        <w:trPr>
          <w:trHeight w:val="110"/>
        </w:trPr>
        <w:tc>
          <w:tcPr>
            <w:tcW w:w="9889" w:type="dxa"/>
            <w:shd w:val="clear" w:color="auto" w:fill="auto"/>
          </w:tcPr>
          <w:p w14:paraId="757128DE" w14:textId="02F63964" w:rsidR="00B432E5" w:rsidRPr="00B432E5" w:rsidRDefault="00B432E5" w:rsidP="00B432E5">
            <w:pPr>
              <w:numPr>
                <w:ilvl w:val="0"/>
                <w:numId w:val="27"/>
              </w:numPr>
              <w:shd w:val="clear" w:color="auto" w:fill="FAFAFA"/>
              <w:rPr>
                <w:rFonts w:eastAsia="Times New Roman" w:cstheme="minorHAnsi"/>
                <w:color w:val="424242"/>
                <w:lang w:val="fr-BE" w:eastAsia="fr-BE"/>
              </w:rPr>
            </w:pPr>
            <w:r w:rsidRPr="00B432E5">
              <w:rPr>
                <w:rFonts w:eastAsia="Times New Roman" w:cstheme="minorHAnsi"/>
                <w:color w:val="424242"/>
                <w:lang w:val="fr-BE" w:eastAsia="fr-BE"/>
              </w:rPr>
              <w:t>Infection grave non résolue causée par des bactéries encapsulées, notamment </w:t>
            </w:r>
            <w:r w:rsidRPr="00B432E5">
              <w:rPr>
                <w:rFonts w:eastAsia="Times New Roman" w:cstheme="minorHAnsi"/>
                <w:i/>
                <w:iCs/>
                <w:color w:val="424242"/>
                <w:lang w:val="fr-BE" w:eastAsia="fr-BE"/>
              </w:rPr>
              <w:t xml:space="preserve">Streptococcus </w:t>
            </w:r>
            <w:proofErr w:type="spellStart"/>
            <w:r w:rsidRPr="00B432E5">
              <w:rPr>
                <w:rFonts w:eastAsia="Times New Roman" w:cstheme="minorHAnsi"/>
                <w:i/>
                <w:iCs/>
                <w:color w:val="424242"/>
                <w:lang w:val="fr-BE" w:eastAsia="fr-BE"/>
              </w:rPr>
              <w:t>pneumoniae</w:t>
            </w:r>
            <w:proofErr w:type="spellEnd"/>
            <w:r w:rsidRPr="00B432E5">
              <w:rPr>
                <w:rFonts w:eastAsia="Times New Roman" w:cstheme="minorHAnsi"/>
                <w:color w:val="424242"/>
                <w:lang w:val="fr-BE" w:eastAsia="fr-BE"/>
              </w:rPr>
              <w:t>, </w:t>
            </w:r>
            <w:r w:rsidRPr="00B432E5">
              <w:rPr>
                <w:rFonts w:eastAsia="Times New Roman" w:cstheme="minorHAnsi"/>
                <w:i/>
                <w:iCs/>
                <w:color w:val="424242"/>
                <w:lang w:val="fr-BE" w:eastAsia="fr-BE"/>
              </w:rPr>
              <w:t>Neisseria meningitidis</w:t>
            </w:r>
            <w:r w:rsidRPr="00B432E5">
              <w:rPr>
                <w:rFonts w:eastAsia="Times New Roman" w:cstheme="minorHAnsi"/>
                <w:color w:val="424242"/>
                <w:lang w:val="fr-BE" w:eastAsia="fr-BE"/>
              </w:rPr>
              <w:t> et </w:t>
            </w:r>
            <w:r w:rsidRPr="00B432E5">
              <w:rPr>
                <w:rFonts w:eastAsia="Times New Roman" w:cstheme="minorHAnsi"/>
                <w:i/>
                <w:iCs/>
                <w:color w:val="424242"/>
                <w:lang w:val="fr-BE" w:eastAsia="fr-BE"/>
              </w:rPr>
              <w:t>Haemophilus influenzae</w:t>
            </w:r>
            <w:r w:rsidRPr="00B432E5">
              <w:rPr>
                <w:rFonts w:eastAsia="Times New Roman" w:cstheme="minorHAnsi"/>
                <w:color w:val="424242"/>
                <w:lang w:val="fr-BE" w:eastAsia="fr-BE"/>
              </w:rPr>
              <w:t>.</w:t>
            </w:r>
          </w:p>
        </w:tc>
      </w:tr>
      <w:tr w:rsidR="00DB4D7C" w:rsidRPr="00B3247A" w14:paraId="589C3B34" w14:textId="77777777" w:rsidTr="00B432E5">
        <w:trPr>
          <w:trHeight w:val="110"/>
        </w:trPr>
        <w:tc>
          <w:tcPr>
            <w:tcW w:w="9889" w:type="dxa"/>
            <w:shd w:val="clear" w:color="auto" w:fill="auto"/>
          </w:tcPr>
          <w:p w14:paraId="67C0557B" w14:textId="520B201C" w:rsidR="00DB4D7C" w:rsidRPr="00B432E5" w:rsidRDefault="00B432E5" w:rsidP="00B432E5">
            <w:pPr>
              <w:numPr>
                <w:ilvl w:val="0"/>
                <w:numId w:val="27"/>
              </w:numPr>
              <w:shd w:val="clear" w:color="auto" w:fill="FAFAFA"/>
              <w:rPr>
                <w:rFonts w:eastAsia="Times New Roman" w:cstheme="minorHAnsi"/>
                <w:color w:val="424242"/>
                <w:lang w:val="fr-BE" w:eastAsia="fr-BE"/>
              </w:rPr>
            </w:pPr>
            <w:r w:rsidRPr="00B432E5">
              <w:rPr>
                <w:rFonts w:eastAsia="Times New Roman" w:cstheme="minorHAnsi"/>
                <w:color w:val="424242"/>
                <w:lang w:val="fr-BE" w:eastAsia="fr-BE"/>
              </w:rPr>
              <w:t>Le patient présente un nombre absolu de neutrophiles inférieur à 1000 cellules/mm³.</w:t>
            </w:r>
          </w:p>
        </w:tc>
      </w:tr>
      <w:tr w:rsidR="00C7322B" w:rsidRPr="00B3247A" w14:paraId="74FCB347" w14:textId="77777777" w:rsidTr="00B432E5">
        <w:trPr>
          <w:trHeight w:val="110"/>
        </w:trPr>
        <w:tc>
          <w:tcPr>
            <w:tcW w:w="9889" w:type="dxa"/>
            <w:shd w:val="clear" w:color="auto" w:fill="auto"/>
          </w:tcPr>
          <w:p w14:paraId="7C982CD4" w14:textId="752D332E" w:rsidR="00C7322B" w:rsidRPr="00B432E5" w:rsidRDefault="00B432E5" w:rsidP="00B432E5">
            <w:pPr>
              <w:pStyle w:val="Sansinterligne"/>
              <w:numPr>
                <w:ilvl w:val="0"/>
                <w:numId w:val="27"/>
              </w:numPr>
              <w:ind w:right="567"/>
              <w:jc w:val="both"/>
              <w:rPr>
                <w:rFonts w:cstheme="minorHAnsi"/>
                <w:lang w:val="fr-BE"/>
              </w:rPr>
            </w:pPr>
            <w:r w:rsidRPr="00B432E5">
              <w:rPr>
                <w:rFonts w:eastAsia="Times New Roman" w:cstheme="minorHAnsi"/>
                <w:color w:val="424242"/>
                <w:lang w:val="fr-BE" w:eastAsia="fr-BE"/>
              </w:rPr>
              <w:t xml:space="preserve">Participation en cours ou antérieure à une étude sur un médicament dans un délai correspondant à 5 demi-vies terminales du médicament étudié précédent ou 30 jours (selon la période la plus longue), avant la première administration de </w:t>
            </w:r>
            <w:proofErr w:type="spellStart"/>
            <w:r w:rsidRPr="00B432E5">
              <w:rPr>
                <w:rFonts w:eastAsia="Times New Roman" w:cstheme="minorHAnsi"/>
                <w:color w:val="424242"/>
                <w:lang w:val="fr-BE" w:eastAsia="fr-BE"/>
              </w:rPr>
              <w:t>pegcetacoplan</w:t>
            </w:r>
            <w:proofErr w:type="spellEnd"/>
            <w:r w:rsidRPr="00B432E5">
              <w:rPr>
                <w:rFonts w:eastAsia="Times New Roman" w:cstheme="minorHAnsi"/>
                <w:color w:val="424242"/>
                <w:lang w:val="fr-BE" w:eastAsia="fr-BE"/>
              </w:rPr>
              <w:t>.</w:t>
            </w:r>
          </w:p>
        </w:tc>
      </w:tr>
    </w:tbl>
    <w:p w14:paraId="1D76AB26" w14:textId="77777777" w:rsidR="00B279BE" w:rsidRDefault="00B279BE" w:rsidP="00B279BE">
      <w:pPr>
        <w:pStyle w:val="Sansinterligne"/>
        <w:rPr>
          <w:lang w:val="fr-BE"/>
        </w:rPr>
      </w:pPr>
    </w:p>
    <w:p w14:paraId="51448A4E" w14:textId="3D77DC9C" w:rsidR="00CE3E84" w:rsidRPr="003C020F" w:rsidRDefault="00CE3E84" w:rsidP="00B279BE">
      <w:pPr>
        <w:pStyle w:val="Sansinterligne"/>
        <w:rPr>
          <w:lang w:val="fr-BE"/>
        </w:rPr>
      </w:pPr>
      <w:r w:rsidRPr="003C020F">
        <w:rPr>
          <w:lang w:val="fr-BE"/>
        </w:rPr>
        <w:t>En plus des critères mentionnés ci-haut retenus dans le cadre du MNP, les conditions supplémentaires suivantes doivent être remplies :</w:t>
      </w:r>
    </w:p>
    <w:p w14:paraId="6C908A1F" w14:textId="77777777" w:rsidR="00762F6E" w:rsidRPr="003C020F" w:rsidRDefault="00762F6E" w:rsidP="00356562">
      <w:pPr>
        <w:pStyle w:val="Sansinterligne"/>
        <w:rPr>
          <w:lang w:val="fr-BE"/>
        </w:rPr>
      </w:pPr>
    </w:p>
    <w:p w14:paraId="5D05B238" w14:textId="77777777" w:rsidR="00591A75" w:rsidRPr="003C020F" w:rsidRDefault="00591A75" w:rsidP="00CE3E84">
      <w:pPr>
        <w:pStyle w:val="Sansinterligne"/>
        <w:rPr>
          <w:b/>
          <w:bCs/>
          <w:u w:val="single"/>
          <w:lang w:val="fr-BE"/>
        </w:rPr>
      </w:pPr>
      <w:r w:rsidRPr="003C020F">
        <w:rPr>
          <w:b/>
          <w:bCs/>
          <w:u w:val="single"/>
          <w:lang w:val="fr-BE"/>
        </w:rPr>
        <w:t>Critères d’inclusion</w:t>
      </w:r>
    </w:p>
    <w:p w14:paraId="3E92ECDE" w14:textId="7B9FE429" w:rsidR="00591A75" w:rsidRPr="003C020F" w:rsidRDefault="007F2950" w:rsidP="00591A75">
      <w:pPr>
        <w:pStyle w:val="Sansinterligne"/>
        <w:numPr>
          <w:ilvl w:val="0"/>
          <w:numId w:val="49"/>
        </w:numPr>
        <w:rPr>
          <w:lang w:val="fr-BE"/>
        </w:rPr>
      </w:pPr>
      <w:r w:rsidRPr="003C020F">
        <w:rPr>
          <w:b/>
          <w:bCs/>
          <w:u w:val="single"/>
          <w:lang w:val="fr-BE"/>
        </w:rPr>
        <w:t>*</w:t>
      </w:r>
      <w:r w:rsidR="00591A75" w:rsidRPr="003C020F">
        <w:rPr>
          <w:b/>
          <w:bCs/>
          <w:u w:val="single"/>
          <w:lang w:val="fr-BE"/>
        </w:rPr>
        <w:t>Diagnostic confirmé de C3G</w:t>
      </w:r>
      <w:r w:rsidR="00591A75" w:rsidRPr="003C020F">
        <w:rPr>
          <w:lang w:val="fr-BE"/>
        </w:rPr>
        <w:t xml:space="preserve"> sur une biopsie rénale du rein natif et/ou du rein greffé en cas de récidive, réalisée dans les 12 mois précédant la décision de débuter le traitement avec la spécialité à base d’</w:t>
      </w:r>
      <w:proofErr w:type="spellStart"/>
      <w:r w:rsidR="00591A75" w:rsidRPr="003C020F">
        <w:rPr>
          <w:lang w:val="fr-BE"/>
        </w:rPr>
        <w:t>iptacopan</w:t>
      </w:r>
      <w:proofErr w:type="spellEnd"/>
      <w:r w:rsidR="00591A75" w:rsidRPr="003C020F">
        <w:rPr>
          <w:lang w:val="fr-BE"/>
        </w:rPr>
        <w:t xml:space="preserve"> et/ou de </w:t>
      </w:r>
      <w:proofErr w:type="spellStart"/>
      <w:r w:rsidR="00591A75" w:rsidRPr="003C020F">
        <w:rPr>
          <w:lang w:val="fr-BE"/>
        </w:rPr>
        <w:t>pegcetacoplan</w:t>
      </w:r>
      <w:proofErr w:type="spellEnd"/>
      <w:r w:rsidR="00591A75" w:rsidRPr="003C020F">
        <w:rPr>
          <w:lang w:val="fr-BE"/>
        </w:rPr>
        <w:t>.</w:t>
      </w:r>
    </w:p>
    <w:p w14:paraId="2595CCA1" w14:textId="77777777" w:rsidR="00591A75" w:rsidRPr="003C020F" w:rsidRDefault="00591A75" w:rsidP="00591A75">
      <w:pPr>
        <w:pStyle w:val="Sansinterligne"/>
        <w:numPr>
          <w:ilvl w:val="0"/>
          <w:numId w:val="49"/>
        </w:numPr>
        <w:rPr>
          <w:lang w:val="fr-BE"/>
        </w:rPr>
      </w:pPr>
      <w:r w:rsidRPr="003C020F">
        <w:rPr>
          <w:lang w:val="fr-BE"/>
        </w:rPr>
        <w:t>Traitement par une dose maximale tolérée d’un inhibiteur de l’enzyme de conversion de l’angiotensine (IEC) ou d’un antagoniste des récepteurs de l’angiotensine II (ARA II) pendant une période minimale de 3 mois.</w:t>
      </w:r>
    </w:p>
    <w:p w14:paraId="7ED7F701" w14:textId="77777777" w:rsidR="00591A75" w:rsidRPr="003C020F" w:rsidRDefault="00591A75" w:rsidP="00591A75">
      <w:pPr>
        <w:pStyle w:val="Sansinterligne"/>
        <w:numPr>
          <w:ilvl w:val="0"/>
          <w:numId w:val="49"/>
        </w:numPr>
        <w:rPr>
          <w:lang w:val="fr-BE"/>
        </w:rPr>
      </w:pPr>
      <w:r w:rsidRPr="003C020F">
        <w:rPr>
          <w:lang w:val="fr-BE"/>
        </w:rPr>
        <w:t>Concentration réduite de C3 &lt; 77 mg/dl.</w:t>
      </w:r>
    </w:p>
    <w:p w14:paraId="3E2BDC3F" w14:textId="04B500B9" w:rsidR="00591A75" w:rsidRPr="003C020F" w:rsidRDefault="00591A75" w:rsidP="00591A75">
      <w:pPr>
        <w:pStyle w:val="Sansinterligne"/>
        <w:rPr>
          <w:lang w:val="fr-BE"/>
        </w:rPr>
      </w:pPr>
    </w:p>
    <w:p w14:paraId="33AD3288" w14:textId="77777777" w:rsidR="00591A75" w:rsidRPr="003C020F" w:rsidRDefault="00591A75" w:rsidP="00CE3E84">
      <w:pPr>
        <w:pStyle w:val="Sansinterligne"/>
        <w:rPr>
          <w:b/>
          <w:bCs/>
          <w:u w:val="single"/>
          <w:lang w:val="fr-BE"/>
        </w:rPr>
      </w:pPr>
      <w:r w:rsidRPr="003C020F">
        <w:rPr>
          <w:b/>
          <w:bCs/>
          <w:u w:val="single"/>
          <w:lang w:val="fr-BE"/>
        </w:rPr>
        <w:t>Critères d’exclusion</w:t>
      </w:r>
    </w:p>
    <w:p w14:paraId="1678567D" w14:textId="77777777" w:rsidR="00591A75" w:rsidRPr="003C020F" w:rsidRDefault="00591A75" w:rsidP="00591A75">
      <w:pPr>
        <w:pStyle w:val="Sansinterligne"/>
        <w:numPr>
          <w:ilvl w:val="0"/>
          <w:numId w:val="50"/>
        </w:numPr>
        <w:rPr>
          <w:lang w:val="fr-BE"/>
        </w:rPr>
      </w:pPr>
      <w:r w:rsidRPr="003C020F">
        <w:rPr>
          <w:lang w:val="fr-BE"/>
        </w:rPr>
        <w:t>Aucun traitement antérieur avec des spécialités remboursables pour le traitement du C3G, sauf en cas d’intolérance documentée et/ou de contre-indication et/ou d’échec d’un traitement précédent.</w:t>
      </w:r>
    </w:p>
    <w:p w14:paraId="000FC5BF" w14:textId="77777777" w:rsidR="00356562" w:rsidRPr="00371BD9" w:rsidRDefault="00762F6E" w:rsidP="00C7322B">
      <w:pPr>
        <w:pStyle w:val="Titre2"/>
        <w:numPr>
          <w:ilvl w:val="0"/>
          <w:numId w:val="0"/>
        </w:numPr>
        <w:ind w:left="720" w:hanging="720"/>
      </w:pPr>
      <w:r w:rsidRPr="00371BD9">
        <w:t>SPECIALISATI</w:t>
      </w:r>
      <w:r w:rsidR="00371BD9" w:rsidRPr="00371BD9">
        <w:t>ON</w:t>
      </w:r>
      <w:r w:rsidRPr="00371BD9">
        <w:t xml:space="preserve"> </w:t>
      </w:r>
      <w:r w:rsidR="00371BD9" w:rsidRPr="00371BD9">
        <w:t>DU PRESCRIPTEUR</w:t>
      </w:r>
    </w:p>
    <w:p w14:paraId="579295A9" w14:textId="77777777" w:rsidR="00CE3E84" w:rsidRDefault="00CE3E84" w:rsidP="00E5583D">
      <w:pPr>
        <w:pStyle w:val="Sansinterligne"/>
        <w:spacing w:line="276" w:lineRule="auto"/>
        <w:ind w:left="567" w:right="567"/>
        <w:jc w:val="both"/>
        <w:rPr>
          <w:lang w:val="fr-BE"/>
        </w:rPr>
      </w:pPr>
    </w:p>
    <w:p w14:paraId="598AF20C" w14:textId="6ED798BC" w:rsidR="00983F0F" w:rsidRDefault="00CE3E84" w:rsidP="004E012A">
      <w:pPr>
        <w:pStyle w:val="Sansinterligne"/>
        <w:ind w:left="567" w:right="567"/>
        <w:jc w:val="both"/>
        <w:rPr>
          <w:lang w:val="fr-BE"/>
        </w:rPr>
      </w:pPr>
      <w:r w:rsidRPr="00CE3E84">
        <w:rPr>
          <w:lang w:val="fr-BE"/>
        </w:rPr>
        <w:t>Médecin spécialiste en médecine interne, titulaire du titre professionnel particulier en néphrologie.</w:t>
      </w:r>
    </w:p>
    <w:p w14:paraId="2BB486F2" w14:textId="77777777" w:rsidR="00CE3E84" w:rsidRDefault="00CE3E84" w:rsidP="004E012A">
      <w:pPr>
        <w:pStyle w:val="Sansinterligne"/>
        <w:ind w:left="567" w:right="567"/>
        <w:jc w:val="both"/>
        <w:rPr>
          <w:lang w:val="fr-BE"/>
        </w:rPr>
      </w:pPr>
    </w:p>
    <w:p w14:paraId="5118DFD7" w14:textId="77777777" w:rsidR="00553C77" w:rsidRPr="00CE3E84" w:rsidRDefault="00553C77" w:rsidP="004E012A">
      <w:pPr>
        <w:pStyle w:val="Sansinterligne"/>
        <w:ind w:left="567" w:right="567"/>
        <w:jc w:val="both"/>
        <w:rPr>
          <w:lang w:val="fr-BE"/>
        </w:rPr>
      </w:pPr>
    </w:p>
    <w:p w14:paraId="42749691" w14:textId="77777777" w:rsidR="00DA699E" w:rsidRPr="00DE148E" w:rsidRDefault="00371BD9" w:rsidP="00C7322B">
      <w:pPr>
        <w:pStyle w:val="Titre2"/>
        <w:numPr>
          <w:ilvl w:val="0"/>
          <w:numId w:val="0"/>
        </w:numPr>
        <w:ind w:left="720" w:hanging="720"/>
        <w:rPr>
          <w:lang w:val="nl-BE"/>
        </w:rPr>
      </w:pPr>
      <w:r>
        <w:rPr>
          <w:lang w:val="nl-BE"/>
        </w:rPr>
        <w:lastRenderedPageBreak/>
        <w:t>MONTANT DE L’INTERVENTION</w:t>
      </w:r>
    </w:p>
    <w:p w14:paraId="0DC11B36" w14:textId="77777777" w:rsidR="00F13569" w:rsidRDefault="00F13569" w:rsidP="00F13569">
      <w:pPr>
        <w:pStyle w:val="Sansinterligne"/>
      </w:pPr>
    </w:p>
    <w:tbl>
      <w:tblPr>
        <w:tblStyle w:val="Grilledutableau"/>
        <w:tblW w:w="9889" w:type="dxa"/>
        <w:tblLook w:val="04A0" w:firstRow="1" w:lastRow="0" w:firstColumn="1" w:lastColumn="0" w:noHBand="0" w:noVBand="1"/>
      </w:tblPr>
      <w:tblGrid>
        <w:gridCol w:w="5070"/>
        <w:gridCol w:w="4819"/>
      </w:tblGrid>
      <w:tr w:rsidR="00C055B7" w:rsidRPr="00356562" w14:paraId="2CB56435" w14:textId="77777777" w:rsidTr="00E9229F">
        <w:tc>
          <w:tcPr>
            <w:tcW w:w="5070" w:type="dxa"/>
            <w:shd w:val="clear" w:color="auto" w:fill="C6D9F1" w:themeFill="text2" w:themeFillTint="33"/>
          </w:tcPr>
          <w:p w14:paraId="658717BC" w14:textId="3E6A8304" w:rsidR="00C055B7" w:rsidRPr="003C020F" w:rsidRDefault="00C055B7" w:rsidP="00B54D46">
            <w:pPr>
              <w:jc w:val="both"/>
              <w:rPr>
                <w:b/>
                <w:i/>
                <w:lang w:val="fr-BE"/>
              </w:rPr>
            </w:pPr>
            <w:proofErr w:type="spellStart"/>
            <w:r w:rsidRPr="003C020F">
              <w:rPr>
                <w:rStyle w:val="Titredulivre"/>
                <w:smallCaps w:val="0"/>
                <w:sz w:val="20"/>
                <w:szCs w:val="20"/>
                <w:lang w:val="fr-BE"/>
              </w:rPr>
              <w:t>Aspaveli</w:t>
            </w:r>
            <w:proofErr w:type="spellEnd"/>
            <w:r w:rsidRPr="003C020F">
              <w:rPr>
                <w:rStyle w:val="Titredulivre"/>
                <w:smallCaps w:val="0"/>
                <w:sz w:val="20"/>
                <w:szCs w:val="20"/>
                <w:lang w:val="fr-BE"/>
              </w:rPr>
              <w:t xml:space="preserve"> </w:t>
            </w:r>
            <w:r w:rsidRPr="003C020F">
              <w:rPr>
                <w:rStyle w:val="Titredulivre"/>
                <w:sz w:val="20"/>
                <w:szCs w:val="20"/>
                <w:lang w:val="fr-BE"/>
              </w:rPr>
              <w:t>(</w:t>
            </w:r>
            <w:proofErr w:type="spellStart"/>
            <w:r w:rsidRPr="003C020F">
              <w:rPr>
                <w:rStyle w:val="Titredulivre"/>
                <w:sz w:val="20"/>
                <w:szCs w:val="20"/>
                <w:lang w:val="fr-BE"/>
              </w:rPr>
              <w:t>pegcetacoplan</w:t>
            </w:r>
            <w:proofErr w:type="spellEnd"/>
            <w:r w:rsidRPr="003C020F">
              <w:rPr>
                <w:rStyle w:val="Titredulivre"/>
                <w:sz w:val="20"/>
                <w:szCs w:val="20"/>
                <w:lang w:val="fr-BE"/>
              </w:rPr>
              <w:t>)</w:t>
            </w:r>
            <w:r w:rsidR="00B54D46">
              <w:rPr>
                <w:rStyle w:val="Titredulivre"/>
                <w:sz w:val="20"/>
                <w:szCs w:val="20"/>
                <w:lang w:val="fr-BE"/>
              </w:rPr>
              <w:t xml:space="preserve">, </w:t>
            </w:r>
            <w:r w:rsidRPr="003C020F">
              <w:rPr>
                <w:rStyle w:val="Titredulivre"/>
                <w:sz w:val="20"/>
                <w:szCs w:val="20"/>
                <w:lang w:val="fr-BE"/>
              </w:rPr>
              <w:t xml:space="preserve">1080mg solution pour perfusion </w:t>
            </w:r>
            <w:r w:rsidR="00B54D46">
              <w:rPr>
                <w:rStyle w:val="Titredulivre"/>
                <w:sz w:val="20"/>
                <w:szCs w:val="20"/>
                <w:lang w:val="fr-BE"/>
              </w:rPr>
              <w:t xml:space="preserve"> </w:t>
            </w:r>
            <w:r w:rsidR="00B54D46" w:rsidRPr="00B54D46">
              <w:rPr>
                <w:rStyle w:val="Titredulivre"/>
                <w:sz w:val="20"/>
                <w:szCs w:val="20"/>
                <w:lang w:val="fr-BE"/>
              </w:rPr>
              <w:t>Conditionnement : 1 flacon injectable (uniquement en milieu hospitalier)</w:t>
            </w:r>
          </w:p>
        </w:tc>
        <w:tc>
          <w:tcPr>
            <w:tcW w:w="4819" w:type="dxa"/>
            <w:shd w:val="clear" w:color="auto" w:fill="C6D9F1" w:themeFill="text2" w:themeFillTint="33"/>
          </w:tcPr>
          <w:p w14:paraId="0AA66676" w14:textId="665A2D43" w:rsidR="00C055B7" w:rsidRPr="00A77546" w:rsidRDefault="00B54D46" w:rsidP="00E9229F">
            <w:pPr>
              <w:keepNext/>
              <w:jc w:val="center"/>
              <w:rPr>
                <w:b/>
                <w:spacing w:val="28"/>
                <w:lang w:val="fr-BE"/>
              </w:rPr>
            </w:pPr>
            <w:r w:rsidRPr="00B54D46">
              <w:rPr>
                <w:b/>
                <w:spacing w:val="28"/>
                <w:lang w:val="fr-BE"/>
              </w:rPr>
              <w:t>Montant de l’intervention (EURO)</w:t>
            </w:r>
          </w:p>
        </w:tc>
      </w:tr>
      <w:tr w:rsidR="00C055B7" w:rsidRPr="00A77546" w14:paraId="0F68E7D2" w14:textId="77777777" w:rsidTr="00E9229F">
        <w:tc>
          <w:tcPr>
            <w:tcW w:w="5070" w:type="dxa"/>
          </w:tcPr>
          <w:p w14:paraId="65E024C3" w14:textId="739A8DA0" w:rsidR="00C055B7" w:rsidRPr="00C055B7" w:rsidRDefault="00C055B7" w:rsidP="00C055B7">
            <w:pPr>
              <w:keepNext/>
              <w:jc w:val="both"/>
              <w:rPr>
                <w:lang w:val="fr-BE"/>
              </w:rPr>
            </w:pPr>
            <w:r w:rsidRPr="00C055B7">
              <w:rPr>
                <w:lang w:val="fr-BE"/>
              </w:rPr>
              <w:t xml:space="preserve">Intervention unique pour le CUP de cohorte mixte </w:t>
            </w:r>
          </w:p>
        </w:tc>
        <w:tc>
          <w:tcPr>
            <w:tcW w:w="4819" w:type="dxa"/>
          </w:tcPr>
          <w:p w14:paraId="62EF3FA1" w14:textId="77777777" w:rsidR="00C055B7" w:rsidRPr="00495856" w:rsidRDefault="00C055B7" w:rsidP="00C055B7">
            <w:pPr>
              <w:keepNext/>
              <w:jc w:val="center"/>
            </w:pPr>
            <w:r w:rsidRPr="00495856">
              <w:t>20.</w:t>
            </w:r>
            <w:r>
              <w:t>000</w:t>
            </w:r>
            <w:r w:rsidRPr="00495856">
              <w:t xml:space="preserve"> </w:t>
            </w:r>
            <w:r w:rsidRPr="00495856">
              <w:rPr>
                <w:rFonts w:ascii="Calibri" w:hAnsi="Calibri" w:cs="Calibri"/>
              </w:rPr>
              <w:t>€</w:t>
            </w:r>
          </w:p>
        </w:tc>
      </w:tr>
      <w:tr w:rsidR="00C055B7" w:rsidRPr="00A77546" w14:paraId="3A1B0AA1" w14:textId="77777777" w:rsidTr="00E9229F">
        <w:tc>
          <w:tcPr>
            <w:tcW w:w="5070" w:type="dxa"/>
          </w:tcPr>
          <w:p w14:paraId="46921F15" w14:textId="01D1A069" w:rsidR="00C055B7" w:rsidRPr="00C055B7" w:rsidRDefault="00C055B7" w:rsidP="00C055B7">
            <w:pPr>
              <w:keepNext/>
              <w:jc w:val="both"/>
              <w:rPr>
                <w:lang w:val="fr-BE"/>
              </w:rPr>
            </w:pPr>
            <w:r w:rsidRPr="00C055B7">
              <w:rPr>
                <w:lang w:val="fr-BE"/>
              </w:rPr>
              <w:t>Intervention par patient par période de 12 mois de traitement (à diminuer au prorata)</w:t>
            </w:r>
          </w:p>
        </w:tc>
        <w:tc>
          <w:tcPr>
            <w:tcW w:w="4819" w:type="dxa"/>
          </w:tcPr>
          <w:p w14:paraId="6EBF4084" w14:textId="77777777" w:rsidR="00C055B7" w:rsidRPr="00495856" w:rsidRDefault="00C055B7" w:rsidP="00C055B7">
            <w:pPr>
              <w:keepNext/>
              <w:jc w:val="center"/>
            </w:pPr>
            <w:r>
              <w:t>2.500</w:t>
            </w:r>
            <w:r w:rsidRPr="00495856">
              <w:t xml:space="preserve"> </w:t>
            </w:r>
            <w:r w:rsidRPr="00495856">
              <w:rPr>
                <w:rFonts w:ascii="Calibri" w:hAnsi="Calibri" w:cs="Calibri"/>
              </w:rPr>
              <w:t>€</w:t>
            </w:r>
          </w:p>
        </w:tc>
      </w:tr>
    </w:tbl>
    <w:p w14:paraId="75EDC8F4" w14:textId="77777777" w:rsidR="00C055B7" w:rsidRDefault="00C055B7" w:rsidP="00F13569">
      <w:pPr>
        <w:pStyle w:val="Sansinterligne"/>
      </w:pPr>
    </w:p>
    <w:sectPr w:rsidR="00C055B7" w:rsidSect="009015A3">
      <w:headerReference w:type="default" r:id="rId8"/>
      <w:footerReference w:type="default" r:id="rId9"/>
      <w:pgSz w:w="12240" w:h="15840"/>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A7730" w14:textId="77777777" w:rsidR="000806D3" w:rsidRDefault="000806D3">
      <w:pPr>
        <w:spacing w:line="240" w:lineRule="auto"/>
      </w:pPr>
      <w:r>
        <w:separator/>
      </w:r>
    </w:p>
  </w:endnote>
  <w:endnote w:type="continuationSeparator" w:id="0">
    <w:p w14:paraId="7E95E588" w14:textId="77777777" w:rsidR="000806D3" w:rsidRDefault="00080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161528"/>
      <w:docPartObj>
        <w:docPartGallery w:val="Page Numbers (Bottom of Page)"/>
        <w:docPartUnique/>
      </w:docPartObj>
    </w:sdtPr>
    <w:sdtEndPr/>
    <w:sdtContent>
      <w:p w14:paraId="03550488" w14:textId="77777777" w:rsidR="000806D3" w:rsidRDefault="000806D3">
        <w:pPr>
          <w:pStyle w:val="Pieddepage"/>
        </w:pPr>
      </w:p>
      <w:tbl>
        <w:tblPr>
          <w:tblW w:w="5000" w:type="pct"/>
          <w:tblCellMar>
            <w:top w:w="72" w:type="dxa"/>
            <w:left w:w="115" w:type="dxa"/>
            <w:bottom w:w="72" w:type="dxa"/>
            <w:right w:w="115" w:type="dxa"/>
          </w:tblCellMar>
          <w:tblLook w:val="04A0" w:firstRow="1" w:lastRow="0" w:firstColumn="1" w:lastColumn="0" w:noHBand="0" w:noVBand="1"/>
        </w:tblPr>
        <w:tblGrid>
          <w:gridCol w:w="997"/>
          <w:gridCol w:w="8975"/>
        </w:tblGrid>
        <w:tr w:rsidR="000806D3" w:rsidRPr="00B3247A" w14:paraId="76C09808" w14:textId="77777777" w:rsidTr="009015A3">
          <w:tc>
            <w:tcPr>
              <w:tcW w:w="500" w:type="pct"/>
              <w:tcBorders>
                <w:top w:val="single" w:sz="4" w:space="0" w:color="943634" w:themeColor="accent2" w:themeShade="BF"/>
              </w:tcBorders>
              <w:shd w:val="clear" w:color="auto" w:fill="943634" w:themeFill="accent2" w:themeFillShade="BF"/>
            </w:tcPr>
            <w:p w14:paraId="6F9B91A5" w14:textId="77777777" w:rsidR="000806D3" w:rsidRPr="00F16A8E" w:rsidRDefault="000806D3" w:rsidP="009015A3">
              <w:pPr>
                <w:tabs>
                  <w:tab w:val="center" w:pos="4680"/>
                  <w:tab w:val="right" w:pos="9360"/>
                </w:tabs>
                <w:spacing w:line="240" w:lineRule="auto"/>
                <w:jc w:val="right"/>
                <w:rPr>
                  <w:b/>
                  <w:bCs/>
                  <w:color w:val="FFFFFF" w:themeColor="background1"/>
                </w:rPr>
              </w:pPr>
              <w:r w:rsidRPr="00F16A8E">
                <w:fldChar w:fldCharType="begin"/>
              </w:r>
              <w:r w:rsidRPr="00F16A8E">
                <w:instrText>PAGE   \* MERGEFORMAT</w:instrText>
              </w:r>
              <w:r w:rsidRPr="00F16A8E">
                <w:fldChar w:fldCharType="separate"/>
              </w:r>
              <w:r w:rsidR="00C04771" w:rsidRPr="00C04771">
                <w:rPr>
                  <w:noProof/>
                  <w:color w:val="FFFFFF" w:themeColor="background1"/>
                  <w:lang w:val="nl-NL"/>
                </w:rPr>
                <w:t>2</w:t>
              </w:r>
              <w:r w:rsidRPr="00F16A8E">
                <w:rPr>
                  <w:color w:val="FFFFFF" w:themeColor="background1"/>
                </w:rPr>
                <w:fldChar w:fldCharType="end"/>
              </w:r>
            </w:p>
          </w:tc>
          <w:tc>
            <w:tcPr>
              <w:tcW w:w="4500" w:type="pct"/>
              <w:tcBorders>
                <w:top w:val="single" w:sz="4" w:space="0" w:color="auto"/>
              </w:tcBorders>
            </w:tcPr>
            <w:p w14:paraId="3E2F68A5" w14:textId="66295178" w:rsidR="000806D3" w:rsidRPr="007F20D5" w:rsidRDefault="000806D3" w:rsidP="009015A3">
              <w:pPr>
                <w:pStyle w:val="Pieddepage"/>
                <w:tabs>
                  <w:tab w:val="right" w:pos="10065"/>
                </w:tabs>
                <w:rPr>
                  <w:lang w:val="fr-BE"/>
                </w:rPr>
              </w:pPr>
              <w:r w:rsidRPr="007F20D5">
                <w:rPr>
                  <w:lang w:val="fr-BE"/>
                </w:rPr>
                <w:t>Décision de cohorte “105</w:t>
              </w:r>
              <w:r w:rsidR="00C055B7">
                <w:rPr>
                  <w:lang w:val="fr-BE"/>
                </w:rPr>
                <w:t>9</w:t>
              </w:r>
              <w:r w:rsidRPr="007F20D5">
                <w:rPr>
                  <w:lang w:val="fr-BE"/>
                </w:rPr>
                <w:t>” “</w:t>
              </w:r>
              <w:r w:rsidR="00C055B7">
                <w:rPr>
                  <w:lang w:val="fr-BE"/>
                </w:rPr>
                <w:t>ASPAVELI</w:t>
              </w:r>
              <w:r w:rsidRPr="007F20D5">
                <w:rPr>
                  <w:lang w:val="fr-BE"/>
                </w:rPr>
                <w:t>”</w:t>
              </w:r>
            </w:p>
            <w:p w14:paraId="3BCE5C88" w14:textId="77777777" w:rsidR="000806D3" w:rsidRPr="007F20D5" w:rsidRDefault="00E23E5C" w:rsidP="009015A3">
              <w:pPr>
                <w:pStyle w:val="Pieddepage"/>
                <w:tabs>
                  <w:tab w:val="right" w:pos="10065"/>
                </w:tabs>
                <w:rPr>
                  <w:rFonts w:ascii="Arial" w:hAnsi="Arial"/>
                  <w:color w:val="808080"/>
                  <w:sz w:val="16"/>
                  <w:lang w:val="fr-BE"/>
                </w:rPr>
              </w:pPr>
              <w:sdt>
                <w:sdtPr>
                  <w:rPr>
                    <w:lang w:val="fr-BE"/>
                  </w:rPr>
                  <w:alias w:val="Bedrijf"/>
                  <w:id w:val="2092194638"/>
                  <w:dataBinding w:prefixMappings="xmlns:ns0='http://schemas.openxmlformats.org/officeDocument/2006/extended-properties'" w:xpath="/ns0:Properties[1]/ns0:Company[1]" w:storeItemID="{6668398D-A668-4E3E-A5EB-62B293D839F1}"/>
                  <w:text/>
                </w:sdtPr>
                <w:sdtEndPr/>
                <w:sdtContent>
                  <w:r w:rsidR="000806D3" w:rsidRPr="007F20D5">
                    <w:rPr>
                      <w:lang w:val="fr-BE"/>
                    </w:rPr>
                    <w:t>R.I.Z.I.V. - I.N.A.M.I.</w:t>
                  </w:r>
                </w:sdtContent>
              </w:sdt>
            </w:p>
          </w:tc>
        </w:tr>
      </w:tbl>
      <w:p w14:paraId="559567D0" w14:textId="77777777" w:rsidR="000806D3" w:rsidRDefault="00E23E5C">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E53A" w14:textId="77777777" w:rsidR="000806D3" w:rsidRDefault="000806D3">
      <w:pPr>
        <w:spacing w:line="240" w:lineRule="auto"/>
      </w:pPr>
      <w:r>
        <w:separator/>
      </w:r>
    </w:p>
  </w:footnote>
  <w:footnote w:type="continuationSeparator" w:id="0">
    <w:p w14:paraId="3B5B4F03" w14:textId="77777777" w:rsidR="000806D3" w:rsidRDefault="00080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CF8F" w14:textId="77777777" w:rsidR="000806D3" w:rsidRPr="00C07F11" w:rsidRDefault="000806D3" w:rsidP="00C07F11">
    <w:pPr>
      <w:pStyle w:val="En-tte"/>
      <w:tabs>
        <w:tab w:val="clear" w:pos="4680"/>
        <w:tab w:val="clear" w:pos="9360"/>
        <w:tab w:val="left" w:pos="2955"/>
      </w:tabs>
      <w:rPr>
        <w:color w:val="808080" w:themeColor="background1" w:themeShade="80"/>
        <w:sz w:val="18"/>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2"/>
      <w:lvlJc w:val="left"/>
      <w:rPr>
        <w:b/>
        <w:bCs/>
        <w:i w:val="0"/>
        <w:iCs w:val="0"/>
        <w:smallCaps w:val="0"/>
        <w:strike w:val="0"/>
        <w:color w:val="000000"/>
        <w:spacing w:val="0"/>
        <w:w w:val="100"/>
        <w:position w:val="0"/>
        <w:sz w:val="21"/>
        <w:szCs w:val="21"/>
        <w:u w:val="none"/>
      </w:rPr>
    </w:lvl>
    <w:lvl w:ilvl="2">
      <w:start w:val="1"/>
      <w:numFmt w:val="decimal"/>
      <w:lvlText w:val="%1.%2"/>
      <w:lvlJc w:val="left"/>
      <w:rPr>
        <w:b/>
        <w:bCs/>
        <w:i w:val="0"/>
        <w:iCs w:val="0"/>
        <w:smallCaps w:val="0"/>
        <w:strike w:val="0"/>
        <w:color w:val="000000"/>
        <w:spacing w:val="0"/>
        <w:w w:val="100"/>
        <w:position w:val="0"/>
        <w:sz w:val="21"/>
        <w:szCs w:val="21"/>
        <w:u w:val="none"/>
      </w:rPr>
    </w:lvl>
    <w:lvl w:ilvl="3">
      <w:start w:val="1"/>
      <w:numFmt w:val="decimal"/>
      <w:lvlText w:val="%1.%2"/>
      <w:lvlJc w:val="left"/>
      <w:rPr>
        <w:b/>
        <w:bCs/>
        <w:i w:val="0"/>
        <w:iCs w:val="0"/>
        <w:smallCaps w:val="0"/>
        <w:strike w:val="0"/>
        <w:color w:val="000000"/>
        <w:spacing w:val="0"/>
        <w:w w:val="100"/>
        <w:position w:val="0"/>
        <w:sz w:val="21"/>
        <w:szCs w:val="21"/>
        <w:u w:val="none"/>
      </w:rPr>
    </w:lvl>
    <w:lvl w:ilvl="4">
      <w:start w:val="1"/>
      <w:numFmt w:val="decimal"/>
      <w:lvlText w:val="%1.%2"/>
      <w:lvlJc w:val="left"/>
      <w:rPr>
        <w:b/>
        <w:bCs/>
        <w:i w:val="0"/>
        <w:iCs w:val="0"/>
        <w:smallCaps w:val="0"/>
        <w:strike w:val="0"/>
        <w:color w:val="000000"/>
        <w:spacing w:val="0"/>
        <w:w w:val="100"/>
        <w:position w:val="0"/>
        <w:sz w:val="21"/>
        <w:szCs w:val="21"/>
        <w:u w:val="none"/>
      </w:rPr>
    </w:lvl>
    <w:lvl w:ilvl="5">
      <w:start w:val="1"/>
      <w:numFmt w:val="decimal"/>
      <w:lvlText w:val="%1.%2"/>
      <w:lvlJc w:val="left"/>
      <w:rPr>
        <w:b/>
        <w:bCs/>
        <w:i w:val="0"/>
        <w:iCs w:val="0"/>
        <w:smallCaps w:val="0"/>
        <w:strike w:val="0"/>
        <w:color w:val="000000"/>
        <w:spacing w:val="0"/>
        <w:w w:val="100"/>
        <w:position w:val="0"/>
        <w:sz w:val="21"/>
        <w:szCs w:val="21"/>
        <w:u w:val="none"/>
      </w:rPr>
    </w:lvl>
    <w:lvl w:ilvl="6">
      <w:start w:val="1"/>
      <w:numFmt w:val="decimal"/>
      <w:lvlText w:val="%1.%2"/>
      <w:lvlJc w:val="left"/>
      <w:rPr>
        <w:b/>
        <w:bCs/>
        <w:i w:val="0"/>
        <w:iCs w:val="0"/>
        <w:smallCaps w:val="0"/>
        <w:strike w:val="0"/>
        <w:color w:val="000000"/>
        <w:spacing w:val="0"/>
        <w:w w:val="100"/>
        <w:position w:val="0"/>
        <w:sz w:val="21"/>
        <w:szCs w:val="21"/>
        <w:u w:val="none"/>
      </w:rPr>
    </w:lvl>
    <w:lvl w:ilvl="7">
      <w:start w:val="1"/>
      <w:numFmt w:val="decimal"/>
      <w:lvlText w:val="%1.%2"/>
      <w:lvlJc w:val="left"/>
      <w:rPr>
        <w:b/>
        <w:bCs/>
        <w:i w:val="0"/>
        <w:iCs w:val="0"/>
        <w:smallCaps w:val="0"/>
        <w:strike w:val="0"/>
        <w:color w:val="000000"/>
        <w:spacing w:val="0"/>
        <w:w w:val="100"/>
        <w:position w:val="0"/>
        <w:sz w:val="21"/>
        <w:szCs w:val="21"/>
        <w:u w:val="none"/>
      </w:rPr>
    </w:lvl>
    <w:lvl w:ilvl="8">
      <w:start w:val="1"/>
      <w:numFmt w:val="decimal"/>
      <w:lvlText w:val="%1.%2"/>
      <w:lvlJc w:val="left"/>
      <w:rPr>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490E76"/>
    <w:multiLevelType w:val="hybridMultilevel"/>
    <w:tmpl w:val="3F2AB682"/>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 w15:restartNumberingAfterBreak="0">
    <w:nsid w:val="07F03D3D"/>
    <w:multiLevelType w:val="hybridMultilevel"/>
    <w:tmpl w:val="2FD43D24"/>
    <w:lvl w:ilvl="0" w:tplc="CDF4B9EA">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BD174F3"/>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6349E"/>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A1B1C"/>
    <w:multiLevelType w:val="multilevel"/>
    <w:tmpl w:val="767A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072810"/>
    <w:multiLevelType w:val="multilevel"/>
    <w:tmpl w:val="6E62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AD4563"/>
    <w:multiLevelType w:val="hybridMultilevel"/>
    <w:tmpl w:val="68A4C4BE"/>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9" w15:restartNumberingAfterBreak="0">
    <w:nsid w:val="1ECB0A42"/>
    <w:multiLevelType w:val="hybridMultilevel"/>
    <w:tmpl w:val="6F628FE2"/>
    <w:lvl w:ilvl="0" w:tplc="CDF4B9E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F5A6A20"/>
    <w:multiLevelType w:val="hybridMultilevel"/>
    <w:tmpl w:val="4D2267DC"/>
    <w:lvl w:ilvl="0" w:tplc="0813000F">
      <w:start w:val="1"/>
      <w:numFmt w:val="decimal"/>
      <w:lvlText w:val="%1."/>
      <w:lvlJc w:val="left"/>
      <w:pPr>
        <w:ind w:left="720" w:hanging="360"/>
      </w:pPr>
      <w:rPr>
        <w:rFonts w:hint="default"/>
        <w:sz w:val="18"/>
      </w:rPr>
    </w:lvl>
    <w:lvl w:ilvl="1" w:tplc="08130019">
      <w:start w:val="1"/>
      <w:numFmt w:val="lowerLetter"/>
      <w:lvlText w:val="%2."/>
      <w:lvlJc w:val="left"/>
      <w:pPr>
        <w:ind w:left="1211"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1AB6270"/>
    <w:multiLevelType w:val="hybridMultilevel"/>
    <w:tmpl w:val="3D10DA56"/>
    <w:lvl w:ilvl="0" w:tplc="D604FBF4">
      <w:start w:val="1"/>
      <w:numFmt w:val="decimal"/>
      <w:lvlText w:val="%1."/>
      <w:lvlJc w:val="left"/>
      <w:pPr>
        <w:ind w:left="855" w:hanging="495"/>
      </w:pPr>
      <w:rPr>
        <w:rFonts w:ascii="Calibri" w:hAnsi="Calibr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03372"/>
    <w:multiLevelType w:val="hybridMultilevel"/>
    <w:tmpl w:val="FED2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F2984"/>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B508D"/>
    <w:multiLevelType w:val="multilevel"/>
    <w:tmpl w:val="DB5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39721A"/>
    <w:multiLevelType w:val="hybridMultilevel"/>
    <w:tmpl w:val="5C3E1A04"/>
    <w:lvl w:ilvl="0" w:tplc="CDF4B9EA">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2CA20264"/>
    <w:multiLevelType w:val="hybridMultilevel"/>
    <w:tmpl w:val="E3D888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E622A6B"/>
    <w:multiLevelType w:val="multilevel"/>
    <w:tmpl w:val="0832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C42742"/>
    <w:multiLevelType w:val="singleLevel"/>
    <w:tmpl w:val="A93AB558"/>
    <w:lvl w:ilvl="0">
      <w:start w:val="3"/>
      <w:numFmt w:val="bullet"/>
      <w:lvlText w:val="-"/>
      <w:lvlJc w:val="left"/>
      <w:pPr>
        <w:tabs>
          <w:tab w:val="num" w:pos="1140"/>
        </w:tabs>
        <w:ind w:left="1140" w:hanging="570"/>
      </w:pPr>
      <w:rPr>
        <w:rFonts w:ascii="Times New Roman" w:hAnsi="Times New Roman" w:hint="default"/>
      </w:rPr>
    </w:lvl>
  </w:abstractNum>
  <w:abstractNum w:abstractNumId="19" w15:restartNumberingAfterBreak="0">
    <w:nsid w:val="32EC53DB"/>
    <w:multiLevelType w:val="hybridMultilevel"/>
    <w:tmpl w:val="A5A63C62"/>
    <w:lvl w:ilvl="0" w:tplc="CDF4B9EA">
      <w:start w:val="1"/>
      <w:numFmt w:val="bullet"/>
      <w:lvlText w:val=""/>
      <w:lvlJc w:val="left"/>
      <w:pPr>
        <w:ind w:left="720" w:hanging="360"/>
      </w:pPr>
      <w:rPr>
        <w:rFonts w:ascii="Symbol" w:hAnsi="Symbol" w:hint="default"/>
      </w:rPr>
    </w:lvl>
    <w:lvl w:ilvl="1" w:tplc="CDF4B9EA">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6673E59"/>
    <w:multiLevelType w:val="hybridMultilevel"/>
    <w:tmpl w:val="51EEA096"/>
    <w:lvl w:ilvl="0" w:tplc="0FB4C5D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114EC1"/>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44D8F"/>
    <w:multiLevelType w:val="hybridMultilevel"/>
    <w:tmpl w:val="C0DE8CAE"/>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9A69FB"/>
    <w:multiLevelType w:val="hybridMultilevel"/>
    <w:tmpl w:val="0B64679C"/>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4" w15:restartNumberingAfterBreak="0">
    <w:nsid w:val="41DD0DE5"/>
    <w:multiLevelType w:val="hybridMultilevel"/>
    <w:tmpl w:val="699AAED4"/>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5" w15:restartNumberingAfterBreak="0">
    <w:nsid w:val="43FB4676"/>
    <w:multiLevelType w:val="hybridMultilevel"/>
    <w:tmpl w:val="98C676F2"/>
    <w:lvl w:ilvl="0" w:tplc="AA0AB1AE">
      <w:start w:val="1"/>
      <w:numFmt w:val="decimal"/>
      <w:lvlText w:val="%1."/>
      <w:lvlJc w:val="left"/>
      <w:pPr>
        <w:ind w:left="927" w:hanging="360"/>
      </w:pPr>
      <w:rPr>
        <w:rFonts w:hint="default"/>
        <w:u w:val="none"/>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6" w15:restartNumberingAfterBreak="0">
    <w:nsid w:val="477B1051"/>
    <w:multiLevelType w:val="hybridMultilevel"/>
    <w:tmpl w:val="6EAAE558"/>
    <w:lvl w:ilvl="0" w:tplc="0813000F">
      <w:start w:val="1"/>
      <w:numFmt w:val="decimal"/>
      <w:lvlText w:val="%1."/>
      <w:lvlJc w:val="left"/>
      <w:pPr>
        <w:ind w:left="720" w:hanging="360"/>
      </w:pPr>
      <w:rPr>
        <w:rFonts w:hint="default"/>
        <w:sz w:val="18"/>
      </w:rPr>
    </w:lvl>
    <w:lvl w:ilvl="1" w:tplc="EB52676A">
      <w:start w:val="1"/>
      <w:numFmt w:val="lowerLetter"/>
      <w:lvlText w:val="%2."/>
      <w:lvlJc w:val="left"/>
      <w:pPr>
        <w:ind w:left="1211" w:hanging="360"/>
      </w:pPr>
      <w:rPr>
        <w:sz w:val="20"/>
        <w:szCs w:val="20"/>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13E0AED"/>
    <w:multiLevelType w:val="hybridMultilevel"/>
    <w:tmpl w:val="AFDC1F2E"/>
    <w:lvl w:ilvl="0" w:tplc="0813000F">
      <w:start w:val="1"/>
      <w:numFmt w:val="decimal"/>
      <w:lvlText w:val="%1."/>
      <w:lvlJc w:val="left"/>
      <w:pPr>
        <w:ind w:left="720" w:hanging="360"/>
      </w:pPr>
      <w:rPr>
        <w:rFonts w:hint="default"/>
      </w:rPr>
    </w:lvl>
    <w:lvl w:ilvl="1" w:tplc="84CC026E">
      <w:numFmt w:val="bullet"/>
      <w:lvlText w:val="-"/>
      <w:lvlJc w:val="left"/>
      <w:pPr>
        <w:ind w:left="1440" w:hanging="360"/>
      </w:pPr>
      <w:rPr>
        <w:rFonts w:ascii="Calibri" w:eastAsiaTheme="minorEastAsia" w:hAnsi="Calibri" w:cs="Calibr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1E75A48"/>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505F4"/>
    <w:multiLevelType w:val="hybridMultilevel"/>
    <w:tmpl w:val="FE1053E0"/>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0" w15:restartNumberingAfterBreak="0">
    <w:nsid w:val="58CC613A"/>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5147A"/>
    <w:multiLevelType w:val="hybridMultilevel"/>
    <w:tmpl w:val="96C8FF0A"/>
    <w:lvl w:ilvl="0" w:tplc="BA18A65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46180"/>
    <w:multiLevelType w:val="hybridMultilevel"/>
    <w:tmpl w:val="8738F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3FF2"/>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B6348B"/>
    <w:multiLevelType w:val="hybridMultilevel"/>
    <w:tmpl w:val="9848936E"/>
    <w:lvl w:ilvl="0" w:tplc="080C0017">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5" w15:restartNumberingAfterBreak="0">
    <w:nsid w:val="5CC00E40"/>
    <w:multiLevelType w:val="hybridMultilevel"/>
    <w:tmpl w:val="C7D6E3A6"/>
    <w:lvl w:ilvl="0" w:tplc="080C0017">
      <w:start w:val="1"/>
      <w:numFmt w:val="lowerLetter"/>
      <w:lvlText w:val="%1)"/>
      <w:lvlJc w:val="left"/>
      <w:pPr>
        <w:ind w:left="2520" w:hanging="360"/>
      </w:pPr>
      <w:rPr>
        <w:rFonts w:hint="default"/>
      </w:r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abstractNum w:abstractNumId="36" w15:restartNumberingAfterBreak="0">
    <w:nsid w:val="61C46040"/>
    <w:multiLevelType w:val="hybridMultilevel"/>
    <w:tmpl w:val="6094829A"/>
    <w:lvl w:ilvl="0" w:tplc="3E8CD1F2">
      <w:start w:val="1"/>
      <w:numFmt w:val="decimal"/>
      <w:lvlText w:val="%1."/>
      <w:lvlJc w:val="left"/>
      <w:pPr>
        <w:ind w:left="720" w:hanging="360"/>
      </w:pPr>
      <w:rPr>
        <w:sz w:val="18"/>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7" w15:restartNumberingAfterBreak="0">
    <w:nsid w:val="62D0150A"/>
    <w:multiLevelType w:val="hybridMultilevel"/>
    <w:tmpl w:val="2946DD1A"/>
    <w:lvl w:ilvl="0" w:tplc="28DAB76C">
      <w:start w:val="1"/>
      <w:numFmt w:val="decimal"/>
      <w:lvlText w:val="%1."/>
      <w:lvlJc w:val="left"/>
      <w:pPr>
        <w:ind w:left="855" w:hanging="495"/>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542EC"/>
    <w:multiLevelType w:val="hybridMultilevel"/>
    <w:tmpl w:val="7B2E2D68"/>
    <w:lvl w:ilvl="0" w:tplc="022A4800">
      <w:numFmt w:val="bullet"/>
      <w:lvlText w:val="-"/>
      <w:lvlJc w:val="left"/>
      <w:pPr>
        <w:ind w:left="927" w:hanging="360"/>
      </w:pPr>
      <w:rPr>
        <w:rFonts w:ascii="Calibri" w:eastAsiaTheme="minorEastAsia" w:hAnsi="Calibri" w:cs="Calibri"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9" w15:restartNumberingAfterBreak="0">
    <w:nsid w:val="68265880"/>
    <w:multiLevelType w:val="hybridMultilevel"/>
    <w:tmpl w:val="FAC625F0"/>
    <w:lvl w:ilvl="0" w:tplc="CDF4B9EA">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40" w15:restartNumberingAfterBreak="0">
    <w:nsid w:val="72E804AA"/>
    <w:multiLevelType w:val="multilevel"/>
    <w:tmpl w:val="63E01A28"/>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720" w:hanging="720"/>
      </w:pPr>
      <w:rPr>
        <w:rFonts w:hint="default"/>
      </w:rPr>
    </w:lvl>
    <w:lvl w:ilvl="2">
      <w:start w:val="1"/>
      <w:numFmt w:val="decimal"/>
      <w:pStyle w:val="Titre3"/>
      <w:isLgl/>
      <w:lvlText w:val="%1.%2.%3."/>
      <w:lvlJc w:val="left"/>
      <w:pPr>
        <w:ind w:left="720" w:hanging="720"/>
      </w:pPr>
      <w:rPr>
        <w:rFonts w:hint="default"/>
      </w:rPr>
    </w:lvl>
    <w:lvl w:ilvl="3">
      <w:start w:val="1"/>
      <w:numFmt w:val="decimal"/>
      <w:pStyle w:val="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C853FD4"/>
    <w:multiLevelType w:val="hybridMultilevel"/>
    <w:tmpl w:val="4D2267DC"/>
    <w:lvl w:ilvl="0" w:tplc="0813000F">
      <w:start w:val="1"/>
      <w:numFmt w:val="decimal"/>
      <w:lvlText w:val="%1."/>
      <w:lvlJc w:val="left"/>
      <w:pPr>
        <w:ind w:left="720" w:hanging="360"/>
      </w:pPr>
      <w:rPr>
        <w:rFonts w:hint="default"/>
        <w:sz w:val="18"/>
      </w:rPr>
    </w:lvl>
    <w:lvl w:ilvl="1" w:tplc="08130019">
      <w:start w:val="1"/>
      <w:numFmt w:val="lowerLetter"/>
      <w:lvlText w:val="%2."/>
      <w:lvlJc w:val="left"/>
      <w:pPr>
        <w:ind w:left="1211"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95609426">
    <w:abstractNumId w:val="40"/>
  </w:num>
  <w:num w:numId="2" w16cid:durableId="609631751">
    <w:abstractNumId w:val="18"/>
  </w:num>
  <w:num w:numId="3" w16cid:durableId="1966158742">
    <w:abstractNumId w:val="11"/>
  </w:num>
  <w:num w:numId="4" w16cid:durableId="103116369">
    <w:abstractNumId w:val="31"/>
  </w:num>
  <w:num w:numId="5" w16cid:durableId="228884347">
    <w:abstractNumId w:val="12"/>
  </w:num>
  <w:num w:numId="6" w16cid:durableId="1438330172">
    <w:abstractNumId w:val="32"/>
  </w:num>
  <w:num w:numId="7" w16cid:durableId="1159425773">
    <w:abstractNumId w:val="40"/>
  </w:num>
  <w:num w:numId="8" w16cid:durableId="7064445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0752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74605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1456381">
    <w:abstractNumId w:val="38"/>
  </w:num>
  <w:num w:numId="12" w16cid:durableId="1567690134">
    <w:abstractNumId w:val="0"/>
  </w:num>
  <w:num w:numId="13" w16cid:durableId="429618034">
    <w:abstractNumId w:val="1"/>
  </w:num>
  <w:num w:numId="14" w16cid:durableId="183717615">
    <w:abstractNumId w:val="11"/>
  </w:num>
  <w:num w:numId="15" w16cid:durableId="1453020046">
    <w:abstractNumId w:val="28"/>
  </w:num>
  <w:num w:numId="16" w16cid:durableId="638418759">
    <w:abstractNumId w:val="13"/>
  </w:num>
  <w:num w:numId="17" w16cid:durableId="1769082315">
    <w:abstractNumId w:val="4"/>
  </w:num>
  <w:num w:numId="18" w16cid:durableId="2063826512">
    <w:abstractNumId w:val="5"/>
  </w:num>
  <w:num w:numId="19" w16cid:durableId="737552306">
    <w:abstractNumId w:val="33"/>
  </w:num>
  <w:num w:numId="20" w16cid:durableId="1336957827">
    <w:abstractNumId w:val="37"/>
  </w:num>
  <w:num w:numId="21" w16cid:durableId="687684639">
    <w:abstractNumId w:val="21"/>
  </w:num>
  <w:num w:numId="22" w16cid:durableId="1135761358">
    <w:abstractNumId w:val="30"/>
  </w:num>
  <w:num w:numId="23" w16cid:durableId="951671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2143400">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7165985">
    <w:abstractNumId w:val="26"/>
  </w:num>
  <w:num w:numId="26" w16cid:durableId="1577351423">
    <w:abstractNumId w:val="27"/>
  </w:num>
  <w:num w:numId="27" w16cid:durableId="233708066">
    <w:abstractNumId w:val="22"/>
  </w:num>
  <w:num w:numId="28" w16cid:durableId="7218213">
    <w:abstractNumId w:val="2"/>
  </w:num>
  <w:num w:numId="29" w16cid:durableId="1312102651">
    <w:abstractNumId w:val="39"/>
  </w:num>
  <w:num w:numId="30" w16cid:durableId="1890846502">
    <w:abstractNumId w:val="24"/>
  </w:num>
  <w:num w:numId="31" w16cid:durableId="1222212696">
    <w:abstractNumId w:val="23"/>
  </w:num>
  <w:num w:numId="32" w16cid:durableId="172231631">
    <w:abstractNumId w:val="29"/>
  </w:num>
  <w:num w:numId="33" w16cid:durableId="583302299">
    <w:abstractNumId w:val="25"/>
  </w:num>
  <w:num w:numId="34" w16cid:durableId="1636836895">
    <w:abstractNumId w:val="9"/>
  </w:num>
  <w:num w:numId="35" w16cid:durableId="696588797">
    <w:abstractNumId w:val="3"/>
  </w:num>
  <w:num w:numId="36" w16cid:durableId="951863709">
    <w:abstractNumId w:val="19"/>
  </w:num>
  <w:num w:numId="37" w16cid:durableId="1372532804">
    <w:abstractNumId w:val="10"/>
  </w:num>
  <w:num w:numId="38" w16cid:durableId="1697538344">
    <w:abstractNumId w:val="41"/>
  </w:num>
  <w:num w:numId="39" w16cid:durableId="1733429240">
    <w:abstractNumId w:val="15"/>
  </w:num>
  <w:num w:numId="40" w16cid:durableId="1814446955">
    <w:abstractNumId w:val="8"/>
  </w:num>
  <w:num w:numId="41" w16cid:durableId="1088304013">
    <w:abstractNumId w:val="20"/>
  </w:num>
  <w:num w:numId="42" w16cid:durableId="1645962457">
    <w:abstractNumId w:val="16"/>
  </w:num>
  <w:num w:numId="43" w16cid:durableId="13166484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02066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6334181">
    <w:abstractNumId w:val="35"/>
  </w:num>
  <w:num w:numId="46" w16cid:durableId="2099984439">
    <w:abstractNumId w:val="34"/>
  </w:num>
  <w:num w:numId="47" w16cid:durableId="534774716">
    <w:abstractNumId w:val="17"/>
  </w:num>
  <w:num w:numId="48" w16cid:durableId="1075053063">
    <w:abstractNumId w:val="7"/>
  </w:num>
  <w:num w:numId="49" w16cid:durableId="1185829850">
    <w:abstractNumId w:val="14"/>
  </w:num>
  <w:num w:numId="50" w16cid:durableId="1838112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08"/>
    <w:rsid w:val="000125CD"/>
    <w:rsid w:val="000159DC"/>
    <w:rsid w:val="000338B8"/>
    <w:rsid w:val="00044A14"/>
    <w:rsid w:val="00062693"/>
    <w:rsid w:val="000629B2"/>
    <w:rsid w:val="00063E15"/>
    <w:rsid w:val="00065731"/>
    <w:rsid w:val="0007768F"/>
    <w:rsid w:val="000806D3"/>
    <w:rsid w:val="0008254D"/>
    <w:rsid w:val="000835B6"/>
    <w:rsid w:val="0009515F"/>
    <w:rsid w:val="000A0FC5"/>
    <w:rsid w:val="000A11CD"/>
    <w:rsid w:val="000A30BD"/>
    <w:rsid w:val="000A707F"/>
    <w:rsid w:val="000B2400"/>
    <w:rsid w:val="000B2C6F"/>
    <w:rsid w:val="000B3867"/>
    <w:rsid w:val="000E11E7"/>
    <w:rsid w:val="000F492D"/>
    <w:rsid w:val="000F73D3"/>
    <w:rsid w:val="001235B0"/>
    <w:rsid w:val="00130CE0"/>
    <w:rsid w:val="00154C07"/>
    <w:rsid w:val="00157401"/>
    <w:rsid w:val="0016155A"/>
    <w:rsid w:val="00166878"/>
    <w:rsid w:val="001701C8"/>
    <w:rsid w:val="001711EB"/>
    <w:rsid w:val="001917D7"/>
    <w:rsid w:val="00194ED8"/>
    <w:rsid w:val="001964E8"/>
    <w:rsid w:val="00196E33"/>
    <w:rsid w:val="001A0B9A"/>
    <w:rsid w:val="001A7162"/>
    <w:rsid w:val="001D1E45"/>
    <w:rsid w:val="001E69C3"/>
    <w:rsid w:val="002116E3"/>
    <w:rsid w:val="00247747"/>
    <w:rsid w:val="0025335C"/>
    <w:rsid w:val="0025761F"/>
    <w:rsid w:val="00286283"/>
    <w:rsid w:val="002B404C"/>
    <w:rsid w:val="002C343E"/>
    <w:rsid w:val="002C3AB0"/>
    <w:rsid w:val="002D3C8A"/>
    <w:rsid w:val="002D4224"/>
    <w:rsid w:val="002D4698"/>
    <w:rsid w:val="002E1D0C"/>
    <w:rsid w:val="002E2C90"/>
    <w:rsid w:val="002F1B57"/>
    <w:rsid w:val="003001FB"/>
    <w:rsid w:val="003029C7"/>
    <w:rsid w:val="00310EE1"/>
    <w:rsid w:val="003150F6"/>
    <w:rsid w:val="00332D29"/>
    <w:rsid w:val="00342E6F"/>
    <w:rsid w:val="00356562"/>
    <w:rsid w:val="00371BD9"/>
    <w:rsid w:val="00382CB2"/>
    <w:rsid w:val="00383280"/>
    <w:rsid w:val="003A45E5"/>
    <w:rsid w:val="003B17BE"/>
    <w:rsid w:val="003B522F"/>
    <w:rsid w:val="003C020F"/>
    <w:rsid w:val="003E4048"/>
    <w:rsid w:val="00435297"/>
    <w:rsid w:val="00484CF8"/>
    <w:rsid w:val="00495856"/>
    <w:rsid w:val="004B5741"/>
    <w:rsid w:val="004C0F72"/>
    <w:rsid w:val="004D5397"/>
    <w:rsid w:val="004D579D"/>
    <w:rsid w:val="004E012A"/>
    <w:rsid w:val="004E2D95"/>
    <w:rsid w:val="004E4D7B"/>
    <w:rsid w:val="004F4AE7"/>
    <w:rsid w:val="0051242B"/>
    <w:rsid w:val="00513796"/>
    <w:rsid w:val="00526A31"/>
    <w:rsid w:val="00526C19"/>
    <w:rsid w:val="005278F8"/>
    <w:rsid w:val="00545179"/>
    <w:rsid w:val="00546133"/>
    <w:rsid w:val="0055260A"/>
    <w:rsid w:val="00553C77"/>
    <w:rsid w:val="005645D4"/>
    <w:rsid w:val="00576B4B"/>
    <w:rsid w:val="00590185"/>
    <w:rsid w:val="00591A75"/>
    <w:rsid w:val="005A0E60"/>
    <w:rsid w:val="005B31E1"/>
    <w:rsid w:val="005D5FD3"/>
    <w:rsid w:val="005F0771"/>
    <w:rsid w:val="005F3F94"/>
    <w:rsid w:val="00604903"/>
    <w:rsid w:val="006220D9"/>
    <w:rsid w:val="00626273"/>
    <w:rsid w:val="006332E8"/>
    <w:rsid w:val="00643CD7"/>
    <w:rsid w:val="00647EFC"/>
    <w:rsid w:val="00662346"/>
    <w:rsid w:val="00685C61"/>
    <w:rsid w:val="006A51E8"/>
    <w:rsid w:val="006B3E3E"/>
    <w:rsid w:val="006D1B3F"/>
    <w:rsid w:val="006F13EA"/>
    <w:rsid w:val="006F2208"/>
    <w:rsid w:val="006F275B"/>
    <w:rsid w:val="00701740"/>
    <w:rsid w:val="00716EE3"/>
    <w:rsid w:val="00721FF8"/>
    <w:rsid w:val="00762F6E"/>
    <w:rsid w:val="007657E1"/>
    <w:rsid w:val="00785D88"/>
    <w:rsid w:val="0079329C"/>
    <w:rsid w:val="007A40FF"/>
    <w:rsid w:val="007A4169"/>
    <w:rsid w:val="007A433E"/>
    <w:rsid w:val="007B6319"/>
    <w:rsid w:val="007C0283"/>
    <w:rsid w:val="007C1D08"/>
    <w:rsid w:val="007C6797"/>
    <w:rsid w:val="007C7AF4"/>
    <w:rsid w:val="007E1F0C"/>
    <w:rsid w:val="007E5110"/>
    <w:rsid w:val="007F0B03"/>
    <w:rsid w:val="007F20D5"/>
    <w:rsid w:val="007F2950"/>
    <w:rsid w:val="0080397B"/>
    <w:rsid w:val="008621EF"/>
    <w:rsid w:val="008B4DF3"/>
    <w:rsid w:val="008B77F9"/>
    <w:rsid w:val="008E014C"/>
    <w:rsid w:val="008E4811"/>
    <w:rsid w:val="008F68D9"/>
    <w:rsid w:val="008F7317"/>
    <w:rsid w:val="00900365"/>
    <w:rsid w:val="009015A3"/>
    <w:rsid w:val="00903A23"/>
    <w:rsid w:val="00907EF7"/>
    <w:rsid w:val="00913041"/>
    <w:rsid w:val="009349BB"/>
    <w:rsid w:val="00946CF9"/>
    <w:rsid w:val="00956A55"/>
    <w:rsid w:val="009631B8"/>
    <w:rsid w:val="00963CBA"/>
    <w:rsid w:val="00967C11"/>
    <w:rsid w:val="00970F21"/>
    <w:rsid w:val="00983F0F"/>
    <w:rsid w:val="00985D56"/>
    <w:rsid w:val="00992CC2"/>
    <w:rsid w:val="009A0E8E"/>
    <w:rsid w:val="009A4D31"/>
    <w:rsid w:val="009A5122"/>
    <w:rsid w:val="009A524C"/>
    <w:rsid w:val="009B27B5"/>
    <w:rsid w:val="009C6B66"/>
    <w:rsid w:val="009D7351"/>
    <w:rsid w:val="009D768F"/>
    <w:rsid w:val="009E00F7"/>
    <w:rsid w:val="009E6E62"/>
    <w:rsid w:val="009F4943"/>
    <w:rsid w:val="009F52F0"/>
    <w:rsid w:val="00A03F14"/>
    <w:rsid w:val="00A15833"/>
    <w:rsid w:val="00A318CF"/>
    <w:rsid w:val="00A31B1F"/>
    <w:rsid w:val="00A34C81"/>
    <w:rsid w:val="00A466B2"/>
    <w:rsid w:val="00A51CF4"/>
    <w:rsid w:val="00A6017B"/>
    <w:rsid w:val="00A72BB3"/>
    <w:rsid w:val="00A84435"/>
    <w:rsid w:val="00AA21E3"/>
    <w:rsid w:val="00AA2A12"/>
    <w:rsid w:val="00AA3F3C"/>
    <w:rsid w:val="00AA506F"/>
    <w:rsid w:val="00AC280E"/>
    <w:rsid w:val="00AC6E2D"/>
    <w:rsid w:val="00AD652A"/>
    <w:rsid w:val="00AF2E86"/>
    <w:rsid w:val="00B21831"/>
    <w:rsid w:val="00B279BE"/>
    <w:rsid w:val="00B30994"/>
    <w:rsid w:val="00B3247A"/>
    <w:rsid w:val="00B43103"/>
    <w:rsid w:val="00B432E5"/>
    <w:rsid w:val="00B54D46"/>
    <w:rsid w:val="00B66DDE"/>
    <w:rsid w:val="00B66FF6"/>
    <w:rsid w:val="00B76C23"/>
    <w:rsid w:val="00B7737C"/>
    <w:rsid w:val="00B800D4"/>
    <w:rsid w:val="00B9703F"/>
    <w:rsid w:val="00BA5A57"/>
    <w:rsid w:val="00BA6BEE"/>
    <w:rsid w:val="00BB10A4"/>
    <w:rsid w:val="00BD2BA0"/>
    <w:rsid w:val="00C00551"/>
    <w:rsid w:val="00C00C4B"/>
    <w:rsid w:val="00C04771"/>
    <w:rsid w:val="00C055B7"/>
    <w:rsid w:val="00C07F11"/>
    <w:rsid w:val="00C26C80"/>
    <w:rsid w:val="00C52F75"/>
    <w:rsid w:val="00C55965"/>
    <w:rsid w:val="00C7322B"/>
    <w:rsid w:val="00C733B2"/>
    <w:rsid w:val="00C9350D"/>
    <w:rsid w:val="00C93689"/>
    <w:rsid w:val="00CC440C"/>
    <w:rsid w:val="00CC72D3"/>
    <w:rsid w:val="00CD4365"/>
    <w:rsid w:val="00CE3E84"/>
    <w:rsid w:val="00CE4C9E"/>
    <w:rsid w:val="00CF5477"/>
    <w:rsid w:val="00CF6826"/>
    <w:rsid w:val="00D07969"/>
    <w:rsid w:val="00D13724"/>
    <w:rsid w:val="00D44E25"/>
    <w:rsid w:val="00D62A5E"/>
    <w:rsid w:val="00D63C1F"/>
    <w:rsid w:val="00D6580B"/>
    <w:rsid w:val="00D65CDD"/>
    <w:rsid w:val="00D70C89"/>
    <w:rsid w:val="00D921A4"/>
    <w:rsid w:val="00D95D7D"/>
    <w:rsid w:val="00DA699E"/>
    <w:rsid w:val="00DB4D7C"/>
    <w:rsid w:val="00DB6125"/>
    <w:rsid w:val="00DD4323"/>
    <w:rsid w:val="00DD6F44"/>
    <w:rsid w:val="00DE148E"/>
    <w:rsid w:val="00DE68D3"/>
    <w:rsid w:val="00DF2764"/>
    <w:rsid w:val="00DF6BA9"/>
    <w:rsid w:val="00E00673"/>
    <w:rsid w:val="00E1268F"/>
    <w:rsid w:val="00E1560E"/>
    <w:rsid w:val="00E22665"/>
    <w:rsid w:val="00E23E5C"/>
    <w:rsid w:val="00E25468"/>
    <w:rsid w:val="00E3732F"/>
    <w:rsid w:val="00E5583D"/>
    <w:rsid w:val="00E6041F"/>
    <w:rsid w:val="00E609F1"/>
    <w:rsid w:val="00E6688C"/>
    <w:rsid w:val="00E70906"/>
    <w:rsid w:val="00E81EDA"/>
    <w:rsid w:val="00E875AE"/>
    <w:rsid w:val="00E90728"/>
    <w:rsid w:val="00E94E1D"/>
    <w:rsid w:val="00E97B7A"/>
    <w:rsid w:val="00ED4CF3"/>
    <w:rsid w:val="00EE15BE"/>
    <w:rsid w:val="00EE3F69"/>
    <w:rsid w:val="00EF03FB"/>
    <w:rsid w:val="00EF1441"/>
    <w:rsid w:val="00F13569"/>
    <w:rsid w:val="00F26396"/>
    <w:rsid w:val="00F37C48"/>
    <w:rsid w:val="00F459C1"/>
    <w:rsid w:val="00F50950"/>
    <w:rsid w:val="00F52B17"/>
    <w:rsid w:val="00F55C56"/>
    <w:rsid w:val="00F72687"/>
    <w:rsid w:val="00F85994"/>
    <w:rsid w:val="00F8664A"/>
    <w:rsid w:val="00F906B0"/>
    <w:rsid w:val="00F929E9"/>
    <w:rsid w:val="00F95ACB"/>
    <w:rsid w:val="00F97E58"/>
    <w:rsid w:val="00FA0629"/>
    <w:rsid w:val="00FB6241"/>
    <w:rsid w:val="00FC6706"/>
    <w:rsid w:val="00FC6F5F"/>
    <w:rsid w:val="00FC7B5C"/>
    <w:rsid w:val="00FF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5087"/>
  <w15:docId w15:val="{B638F7FA-8716-465A-BD71-F5160BED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tekst"/>
    <w:next w:val="Sansinterligne"/>
    <w:qFormat/>
    <w:rsid w:val="009015A3"/>
    <w:pPr>
      <w:spacing w:after="0"/>
    </w:pPr>
    <w:rPr>
      <w:rFonts w:eastAsiaTheme="minorEastAsia"/>
      <w:sz w:val="20"/>
      <w:szCs w:val="20"/>
      <w:lang w:val="nl-BE"/>
    </w:rPr>
  </w:style>
  <w:style w:type="paragraph" w:styleId="Titre1">
    <w:name w:val="heading 1"/>
    <w:basedOn w:val="Normal"/>
    <w:next w:val="Normal"/>
    <w:link w:val="Titre1Car"/>
    <w:autoRedefine/>
    <w:uiPriority w:val="9"/>
    <w:qFormat/>
    <w:rsid w:val="00484CF8"/>
    <w:pPr>
      <w:keepNext/>
      <w:numPr>
        <w:numId w:val="1"/>
      </w:numPr>
      <w:pBdr>
        <w:top w:val="single" w:sz="24" w:space="0" w:color="8DB3E2" w:themeColor="text2" w:themeTint="66"/>
        <w:left w:val="single" w:sz="24" w:space="0" w:color="8DB3E2" w:themeColor="text2" w:themeTint="66"/>
        <w:bottom w:val="single" w:sz="24" w:space="0" w:color="8DB3E2" w:themeColor="text2" w:themeTint="66"/>
        <w:right w:val="single" w:sz="24" w:space="0" w:color="8DB3E2" w:themeColor="text2" w:themeTint="66"/>
      </w:pBdr>
      <w:shd w:val="clear" w:color="auto" w:fill="8DB3E2" w:themeFill="text2" w:themeFillTint="66"/>
      <w:ind w:left="357" w:hanging="357"/>
      <w:jc w:val="both"/>
      <w:outlineLvl w:val="0"/>
    </w:pPr>
    <w:rPr>
      <w:rFonts w:eastAsiaTheme="minorHAnsi"/>
      <w:b/>
      <w:bCs/>
      <w:caps/>
      <w:color w:val="FFFFFF" w:themeColor="background1"/>
      <w:spacing w:val="40"/>
      <w:sz w:val="24"/>
      <w:szCs w:val="22"/>
    </w:rPr>
  </w:style>
  <w:style w:type="paragraph" w:styleId="Titre2">
    <w:name w:val="heading 2"/>
    <w:basedOn w:val="Normal"/>
    <w:next w:val="Normal"/>
    <w:link w:val="Titre2Car"/>
    <w:autoRedefine/>
    <w:uiPriority w:val="9"/>
    <w:unhideWhenUsed/>
    <w:qFormat/>
    <w:rsid w:val="00484CF8"/>
    <w:pPr>
      <w:keepNext/>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rFonts w:eastAsiaTheme="minorHAnsi"/>
      <w:b/>
      <w:caps/>
      <w:color w:val="365F91" w:themeColor="accent1" w:themeShade="BF"/>
      <w:spacing w:val="15"/>
      <w:szCs w:val="24"/>
      <w:lang w:val="fr-BE"/>
    </w:rPr>
  </w:style>
  <w:style w:type="paragraph" w:styleId="Titre3">
    <w:name w:val="heading 3"/>
    <w:basedOn w:val="Titre2"/>
    <w:next w:val="Normal"/>
    <w:link w:val="Titre3Car"/>
    <w:autoRedefine/>
    <w:uiPriority w:val="9"/>
    <w:unhideWhenUsed/>
    <w:qFormat/>
    <w:rsid w:val="009015A3"/>
    <w:pPr>
      <w:numPr>
        <w:ilvl w:val="2"/>
      </w:numPr>
      <w:pBdr>
        <w:top w:val="single" w:sz="6" w:space="2" w:color="4F81BD" w:themeColor="accent1"/>
        <w:left w:val="single" w:sz="6" w:space="2" w:color="4F81BD" w:themeColor="accent1"/>
      </w:pBdr>
      <w:outlineLvl w:val="2"/>
    </w:pPr>
    <w:rPr>
      <w:caps w:val="0"/>
      <w:color w:val="243F60" w:themeColor="accent1" w:themeShade="7F"/>
    </w:rPr>
  </w:style>
  <w:style w:type="paragraph" w:styleId="Titre4">
    <w:name w:val="heading 4"/>
    <w:basedOn w:val="Titre3"/>
    <w:next w:val="Normal"/>
    <w:link w:val="Titre4Car"/>
    <w:autoRedefine/>
    <w:uiPriority w:val="9"/>
    <w:unhideWhenUsed/>
    <w:qFormat/>
    <w:rsid w:val="009015A3"/>
    <w:pPr>
      <w:numPr>
        <w:ilvl w:val="3"/>
      </w:numPr>
      <w:pBdr>
        <w:top w:val="dotted" w:sz="6" w:space="2" w:color="4F81BD" w:themeColor="accent1"/>
        <w:left w:val="dotted" w:sz="6" w:space="2" w:color="4F81BD" w:themeColor="accent1"/>
      </w:pBdr>
      <w:spacing w:before="240"/>
      <w:ind w:left="1077" w:hanging="1077"/>
      <w:outlineLvl w:val="3"/>
    </w:pPr>
    <w:rPr>
      <w:b w:val="0"/>
      <w:caps/>
      <w:color w:val="365F91" w:themeColor="accent1" w:themeShade="BF"/>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4CF8"/>
    <w:rPr>
      <w:b/>
      <w:bCs/>
      <w:caps/>
      <w:color w:val="FFFFFF" w:themeColor="background1"/>
      <w:spacing w:val="40"/>
      <w:sz w:val="24"/>
      <w:shd w:val="clear" w:color="auto" w:fill="8DB3E2" w:themeFill="text2" w:themeFillTint="66"/>
      <w:lang w:val="nl-BE"/>
    </w:rPr>
  </w:style>
  <w:style w:type="character" w:customStyle="1" w:styleId="Titre2Car">
    <w:name w:val="Titre 2 Car"/>
    <w:basedOn w:val="Policepardfaut"/>
    <w:link w:val="Titre2"/>
    <w:uiPriority w:val="9"/>
    <w:rsid w:val="00484CF8"/>
    <w:rPr>
      <w:b/>
      <w:caps/>
      <w:color w:val="365F91" w:themeColor="accent1" w:themeShade="BF"/>
      <w:spacing w:val="15"/>
      <w:sz w:val="20"/>
      <w:szCs w:val="24"/>
      <w:shd w:val="clear" w:color="auto" w:fill="DBE5F1" w:themeFill="accent1" w:themeFillTint="33"/>
      <w:lang w:val="fr-BE"/>
    </w:rPr>
  </w:style>
  <w:style w:type="character" w:customStyle="1" w:styleId="Titre3Car">
    <w:name w:val="Titre 3 Car"/>
    <w:basedOn w:val="Policepardfaut"/>
    <w:link w:val="Titre3"/>
    <w:uiPriority w:val="9"/>
    <w:rsid w:val="009015A3"/>
    <w:rPr>
      <w:b/>
      <w:color w:val="243F60" w:themeColor="accent1" w:themeShade="7F"/>
      <w:spacing w:val="15"/>
      <w:sz w:val="24"/>
      <w:szCs w:val="24"/>
      <w:shd w:val="clear" w:color="auto" w:fill="DBE5F1" w:themeFill="accent1" w:themeFillTint="33"/>
      <w:lang w:val="fr-BE"/>
    </w:rPr>
  </w:style>
  <w:style w:type="character" w:customStyle="1" w:styleId="Titre4Car">
    <w:name w:val="Titre 4 Car"/>
    <w:basedOn w:val="Policepardfaut"/>
    <w:link w:val="Titre4"/>
    <w:uiPriority w:val="9"/>
    <w:rsid w:val="009015A3"/>
    <w:rPr>
      <w:caps/>
      <w:color w:val="365F91" w:themeColor="accent1" w:themeShade="BF"/>
      <w:spacing w:val="10"/>
      <w:sz w:val="24"/>
      <w:szCs w:val="24"/>
      <w:shd w:val="clear" w:color="auto" w:fill="DBE5F1" w:themeFill="accent1" w:themeFillTint="33"/>
      <w:lang w:val="fr-BE"/>
    </w:rPr>
  </w:style>
  <w:style w:type="character" w:styleId="Titredulivre">
    <w:name w:val="Book Title"/>
    <w:aliases w:val="Titel 2"/>
    <w:basedOn w:val="Accentuationlgre"/>
    <w:uiPriority w:val="33"/>
    <w:qFormat/>
    <w:rsid w:val="009015A3"/>
    <w:rPr>
      <w:rFonts w:ascii="Calibri" w:hAnsi="Calibri"/>
      <w:b/>
      <w:bCs/>
      <w:i w:val="0"/>
      <w:iCs w:val="0"/>
      <w:caps w:val="0"/>
      <w:smallCaps/>
      <w:color w:val="4F81BD" w:themeColor="accent1"/>
      <w:spacing w:val="30"/>
      <w:kern w:val="28"/>
      <w:sz w:val="32"/>
      <w:szCs w:val="52"/>
    </w:rPr>
  </w:style>
  <w:style w:type="paragraph" w:styleId="Titre">
    <w:name w:val="Title"/>
    <w:aliases w:val="Titel 1"/>
    <w:basedOn w:val="Normal"/>
    <w:next w:val="Normal"/>
    <w:link w:val="TitreCar"/>
    <w:autoRedefine/>
    <w:uiPriority w:val="10"/>
    <w:qFormat/>
    <w:rsid w:val="009015A3"/>
    <w:pPr>
      <w:spacing w:before="120"/>
      <w:jc w:val="both"/>
    </w:pPr>
    <w:rPr>
      <w:rFonts w:eastAsiaTheme="minorHAnsi"/>
      <w:caps/>
      <w:color w:val="4F81BD" w:themeColor="accent1"/>
      <w:spacing w:val="20"/>
      <w:kern w:val="28"/>
      <w:sz w:val="32"/>
      <w:szCs w:val="52"/>
    </w:rPr>
  </w:style>
  <w:style w:type="character" w:customStyle="1" w:styleId="TitreCar">
    <w:name w:val="Titre Car"/>
    <w:aliases w:val="Titel 1 Car"/>
    <w:basedOn w:val="Policepardfaut"/>
    <w:link w:val="Titre"/>
    <w:uiPriority w:val="10"/>
    <w:rsid w:val="009015A3"/>
    <w:rPr>
      <w:caps/>
      <w:color w:val="4F81BD" w:themeColor="accent1"/>
      <w:spacing w:val="20"/>
      <w:kern w:val="28"/>
      <w:sz w:val="32"/>
      <w:szCs w:val="52"/>
      <w:lang w:val="nl-BE"/>
    </w:rPr>
  </w:style>
  <w:style w:type="paragraph" w:customStyle="1" w:styleId="Typedocument">
    <w:name w:val="Type document"/>
    <w:basedOn w:val="Titre1"/>
    <w:next w:val="Sansinterligne"/>
    <w:qFormat/>
    <w:rsid w:val="009015A3"/>
    <w:pPr>
      <w:numPr>
        <w:numId w:val="0"/>
      </w:numPr>
    </w:pPr>
    <w:rPr>
      <w:rFonts w:eastAsiaTheme="minorEastAsia"/>
      <w:spacing w:val="20"/>
      <w:sz w:val="22"/>
    </w:rPr>
  </w:style>
  <w:style w:type="paragraph" w:styleId="Sansinterligne">
    <w:name w:val="No Spacing"/>
    <w:uiPriority w:val="1"/>
    <w:qFormat/>
    <w:rsid w:val="009015A3"/>
    <w:pPr>
      <w:spacing w:after="0" w:line="240" w:lineRule="auto"/>
    </w:pPr>
    <w:rPr>
      <w:rFonts w:eastAsiaTheme="minorEastAsia"/>
      <w:sz w:val="20"/>
      <w:szCs w:val="20"/>
      <w:lang w:val="nl-BE"/>
    </w:rPr>
  </w:style>
  <w:style w:type="character" w:styleId="Accentuationlgre">
    <w:name w:val="Subtle Emphasis"/>
    <w:basedOn w:val="Policepardfaut"/>
    <w:uiPriority w:val="19"/>
    <w:qFormat/>
    <w:rsid w:val="009015A3"/>
    <w:rPr>
      <w:i/>
      <w:iCs/>
      <w:color w:val="808080" w:themeColor="text1" w:themeTint="7F"/>
    </w:rPr>
  </w:style>
  <w:style w:type="paragraph" w:styleId="Sous-titre">
    <w:name w:val="Subtitle"/>
    <w:basedOn w:val="Normal"/>
    <w:next w:val="Normal"/>
    <w:link w:val="Sous-titreCar"/>
    <w:uiPriority w:val="11"/>
    <w:qFormat/>
    <w:rsid w:val="009015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015A3"/>
    <w:rPr>
      <w:rFonts w:asciiTheme="majorHAnsi" w:eastAsiaTheme="majorEastAsia" w:hAnsiTheme="majorHAnsi" w:cstheme="majorBidi"/>
      <w:i/>
      <w:iCs/>
      <w:color w:val="4F81BD" w:themeColor="accent1"/>
      <w:spacing w:val="15"/>
      <w:sz w:val="24"/>
      <w:szCs w:val="24"/>
      <w:lang w:val="nl-BE"/>
    </w:rPr>
  </w:style>
  <w:style w:type="paragraph" w:styleId="En-tte">
    <w:name w:val="header"/>
    <w:basedOn w:val="Normal"/>
    <w:link w:val="En-tteCar"/>
    <w:uiPriority w:val="99"/>
    <w:unhideWhenUsed/>
    <w:rsid w:val="009015A3"/>
    <w:pPr>
      <w:tabs>
        <w:tab w:val="center" w:pos="4680"/>
        <w:tab w:val="right" w:pos="9360"/>
      </w:tabs>
      <w:spacing w:line="240" w:lineRule="auto"/>
    </w:pPr>
  </w:style>
  <w:style w:type="character" w:customStyle="1" w:styleId="En-tteCar">
    <w:name w:val="En-tête Car"/>
    <w:basedOn w:val="Policepardfaut"/>
    <w:link w:val="En-tte"/>
    <w:uiPriority w:val="99"/>
    <w:rsid w:val="009015A3"/>
    <w:rPr>
      <w:rFonts w:eastAsiaTheme="minorEastAsia"/>
      <w:sz w:val="20"/>
      <w:szCs w:val="20"/>
      <w:lang w:val="nl-BE"/>
    </w:rPr>
  </w:style>
  <w:style w:type="paragraph" w:styleId="Pieddepage">
    <w:name w:val="footer"/>
    <w:basedOn w:val="Normal"/>
    <w:link w:val="PieddepageCar"/>
    <w:unhideWhenUsed/>
    <w:rsid w:val="009015A3"/>
    <w:pPr>
      <w:tabs>
        <w:tab w:val="center" w:pos="4680"/>
        <w:tab w:val="right" w:pos="9360"/>
      </w:tabs>
      <w:spacing w:line="240" w:lineRule="auto"/>
    </w:pPr>
  </w:style>
  <w:style w:type="character" w:customStyle="1" w:styleId="PieddepageCar">
    <w:name w:val="Pied de page Car"/>
    <w:basedOn w:val="Policepardfaut"/>
    <w:link w:val="Pieddepage"/>
    <w:rsid w:val="009015A3"/>
    <w:rPr>
      <w:rFonts w:eastAsiaTheme="minorEastAsia"/>
      <w:sz w:val="20"/>
      <w:szCs w:val="20"/>
      <w:lang w:val="nl-BE"/>
    </w:rPr>
  </w:style>
  <w:style w:type="table" w:styleId="Grilledutableau">
    <w:name w:val="Table Grid"/>
    <w:basedOn w:val="TableauNormal"/>
    <w:uiPriority w:val="59"/>
    <w:rsid w:val="009015A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015A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15A3"/>
    <w:rPr>
      <w:rFonts w:ascii="Tahoma" w:eastAsiaTheme="minorEastAsia" w:hAnsi="Tahoma" w:cs="Tahoma"/>
      <w:sz w:val="16"/>
      <w:szCs w:val="16"/>
      <w:lang w:val="nl-BE"/>
    </w:rPr>
  </w:style>
  <w:style w:type="paragraph" w:styleId="Paragraphedeliste">
    <w:name w:val="List Paragraph"/>
    <w:basedOn w:val="Normal"/>
    <w:link w:val="ParagraphedelisteCar"/>
    <w:uiPriority w:val="34"/>
    <w:qFormat/>
    <w:rsid w:val="00D6580B"/>
    <w:pPr>
      <w:spacing w:line="240" w:lineRule="auto"/>
      <w:ind w:left="720"/>
      <w:contextualSpacing/>
    </w:pPr>
    <w:rPr>
      <w:rFonts w:ascii="Times New Roman" w:eastAsia="Times New Roman" w:hAnsi="Times New Roman" w:cs="Times New Roman"/>
      <w:sz w:val="24"/>
      <w:lang w:eastAsia="fr-FR"/>
    </w:rPr>
  </w:style>
  <w:style w:type="character" w:customStyle="1" w:styleId="ParagraphedelisteCar">
    <w:name w:val="Paragraphe de liste Car"/>
    <w:basedOn w:val="Policepardfaut"/>
    <w:link w:val="Paragraphedeliste"/>
    <w:uiPriority w:val="34"/>
    <w:rsid w:val="00D6580B"/>
    <w:rPr>
      <w:rFonts w:ascii="Times New Roman" w:eastAsia="Times New Roman" w:hAnsi="Times New Roman" w:cs="Times New Roman"/>
      <w:sz w:val="24"/>
      <w:szCs w:val="20"/>
      <w:lang w:val="nl-BE" w:eastAsia="fr-FR"/>
    </w:rPr>
  </w:style>
  <w:style w:type="paragraph" w:styleId="Notedebasdepage">
    <w:name w:val="footnote text"/>
    <w:basedOn w:val="Normal"/>
    <w:link w:val="NotedebasdepageCar"/>
    <w:uiPriority w:val="99"/>
    <w:semiHidden/>
    <w:unhideWhenUsed/>
    <w:rsid w:val="008E4811"/>
    <w:pPr>
      <w:spacing w:line="240" w:lineRule="auto"/>
    </w:pPr>
  </w:style>
  <w:style w:type="character" w:customStyle="1" w:styleId="NotedebasdepageCar">
    <w:name w:val="Note de bas de page Car"/>
    <w:basedOn w:val="Policepardfaut"/>
    <w:link w:val="Notedebasdepage"/>
    <w:uiPriority w:val="99"/>
    <w:semiHidden/>
    <w:rsid w:val="008E4811"/>
    <w:rPr>
      <w:rFonts w:eastAsiaTheme="minorEastAsia"/>
      <w:sz w:val="20"/>
      <w:szCs w:val="20"/>
      <w:lang w:val="nl-BE"/>
    </w:rPr>
  </w:style>
  <w:style w:type="character" w:styleId="Appelnotedebasdep">
    <w:name w:val="footnote reference"/>
    <w:basedOn w:val="Policepardfaut"/>
    <w:uiPriority w:val="99"/>
    <w:semiHidden/>
    <w:unhideWhenUsed/>
    <w:rsid w:val="008E4811"/>
    <w:rPr>
      <w:vertAlign w:val="superscript"/>
    </w:rPr>
  </w:style>
  <w:style w:type="character" w:customStyle="1" w:styleId="Bodytext2">
    <w:name w:val="Body text (2)_"/>
    <w:basedOn w:val="Policepardfaut"/>
    <w:link w:val="Bodytext21"/>
    <w:uiPriority w:val="99"/>
    <w:rsid w:val="00E3732F"/>
    <w:rPr>
      <w:sz w:val="21"/>
      <w:szCs w:val="21"/>
      <w:shd w:val="clear" w:color="auto" w:fill="FFFFFF"/>
    </w:rPr>
  </w:style>
  <w:style w:type="character" w:customStyle="1" w:styleId="Heading1">
    <w:name w:val="Heading #1_"/>
    <w:basedOn w:val="Policepardfaut"/>
    <w:link w:val="Heading10"/>
    <w:uiPriority w:val="99"/>
    <w:rsid w:val="00E3732F"/>
    <w:rPr>
      <w:b/>
      <w:bCs/>
      <w:sz w:val="21"/>
      <w:szCs w:val="21"/>
      <w:shd w:val="clear" w:color="auto" w:fill="FFFFFF"/>
    </w:rPr>
  </w:style>
  <w:style w:type="character" w:customStyle="1" w:styleId="Bodytext2Bold">
    <w:name w:val="Body text (2) + Bold"/>
    <w:basedOn w:val="Bodytext2"/>
    <w:uiPriority w:val="99"/>
    <w:rsid w:val="00E3732F"/>
    <w:rPr>
      <w:b/>
      <w:bCs/>
      <w:sz w:val="21"/>
      <w:szCs w:val="21"/>
      <w:shd w:val="clear" w:color="auto" w:fill="FFFFFF"/>
    </w:rPr>
  </w:style>
  <w:style w:type="paragraph" w:customStyle="1" w:styleId="Bodytext21">
    <w:name w:val="Body text (2)1"/>
    <w:basedOn w:val="Normal"/>
    <w:link w:val="Bodytext2"/>
    <w:uiPriority w:val="99"/>
    <w:rsid w:val="00E3732F"/>
    <w:pPr>
      <w:widowControl w:val="0"/>
      <w:shd w:val="clear" w:color="auto" w:fill="FFFFFF"/>
      <w:spacing w:after="480" w:line="250" w:lineRule="exact"/>
      <w:ind w:hanging="557"/>
      <w:jc w:val="both"/>
    </w:pPr>
    <w:rPr>
      <w:rFonts w:eastAsiaTheme="minorHAnsi"/>
      <w:sz w:val="21"/>
      <w:szCs w:val="21"/>
      <w:lang w:val="en-US"/>
    </w:rPr>
  </w:style>
  <w:style w:type="paragraph" w:customStyle="1" w:styleId="Heading10">
    <w:name w:val="Heading #1"/>
    <w:basedOn w:val="Normal"/>
    <w:link w:val="Heading1"/>
    <w:uiPriority w:val="99"/>
    <w:rsid w:val="00E3732F"/>
    <w:pPr>
      <w:widowControl w:val="0"/>
      <w:shd w:val="clear" w:color="auto" w:fill="FFFFFF"/>
      <w:spacing w:before="480" w:after="300" w:line="240" w:lineRule="atLeast"/>
      <w:ind w:hanging="557"/>
      <w:jc w:val="both"/>
      <w:outlineLvl w:val="0"/>
    </w:pPr>
    <w:rPr>
      <w:rFonts w:eastAsiaTheme="minorHAnsi"/>
      <w:b/>
      <w:bCs/>
      <w:sz w:val="21"/>
      <w:szCs w:val="21"/>
      <w:lang w:val="en-US"/>
    </w:rPr>
  </w:style>
  <w:style w:type="character" w:customStyle="1" w:styleId="Bodytext20">
    <w:name w:val="Body text (2)"/>
    <w:basedOn w:val="Bodytext2"/>
    <w:uiPriority w:val="99"/>
    <w:rsid w:val="00526C19"/>
    <w:rPr>
      <w:sz w:val="21"/>
      <w:szCs w:val="21"/>
      <w:u w:val="single"/>
      <w:shd w:val="clear" w:color="auto" w:fill="FFFFFF"/>
    </w:rPr>
  </w:style>
  <w:style w:type="character" w:customStyle="1" w:styleId="Bodytext4">
    <w:name w:val="Body text (4)_"/>
    <w:basedOn w:val="Policepardfaut"/>
    <w:link w:val="Bodytext41"/>
    <w:uiPriority w:val="99"/>
    <w:rsid w:val="00526C19"/>
    <w:rPr>
      <w:i/>
      <w:iCs/>
      <w:shd w:val="clear" w:color="auto" w:fill="FFFFFF"/>
    </w:rPr>
  </w:style>
  <w:style w:type="character" w:customStyle="1" w:styleId="Bodytext40">
    <w:name w:val="Body text (4)"/>
    <w:basedOn w:val="Bodytext4"/>
    <w:uiPriority w:val="99"/>
    <w:rsid w:val="00526C19"/>
    <w:rPr>
      <w:i/>
      <w:iCs/>
      <w:u w:val="single"/>
      <w:shd w:val="clear" w:color="auto" w:fill="FFFFFF"/>
    </w:rPr>
  </w:style>
  <w:style w:type="paragraph" w:customStyle="1" w:styleId="Bodytext41">
    <w:name w:val="Body text (4)1"/>
    <w:basedOn w:val="Normal"/>
    <w:link w:val="Bodytext4"/>
    <w:uiPriority w:val="99"/>
    <w:rsid w:val="00526C19"/>
    <w:pPr>
      <w:widowControl w:val="0"/>
      <w:shd w:val="clear" w:color="auto" w:fill="FFFFFF"/>
      <w:spacing w:line="509" w:lineRule="exact"/>
      <w:ind w:hanging="557"/>
      <w:jc w:val="both"/>
    </w:pPr>
    <w:rPr>
      <w:rFonts w:eastAsiaTheme="minorHAnsi"/>
      <w:i/>
      <w:iCs/>
      <w:sz w:val="22"/>
      <w:szCs w:val="22"/>
      <w:lang w:val="en-US"/>
    </w:rPr>
  </w:style>
  <w:style w:type="character" w:customStyle="1" w:styleId="Tablecaption">
    <w:name w:val="Table caption_"/>
    <w:basedOn w:val="Policepardfaut"/>
    <w:link w:val="Tablecaption0"/>
    <w:uiPriority w:val="99"/>
    <w:rsid w:val="00526C19"/>
    <w:rPr>
      <w:b/>
      <w:bCs/>
      <w:sz w:val="21"/>
      <w:szCs w:val="21"/>
      <w:shd w:val="clear" w:color="auto" w:fill="FFFFFF"/>
    </w:rPr>
  </w:style>
  <w:style w:type="paragraph" w:customStyle="1" w:styleId="Tablecaption0">
    <w:name w:val="Table caption"/>
    <w:basedOn w:val="Normal"/>
    <w:link w:val="Tablecaption"/>
    <w:uiPriority w:val="99"/>
    <w:rsid w:val="00526C19"/>
    <w:pPr>
      <w:widowControl w:val="0"/>
      <w:shd w:val="clear" w:color="auto" w:fill="FFFFFF"/>
      <w:spacing w:line="269" w:lineRule="exact"/>
      <w:ind w:hanging="1142"/>
    </w:pPr>
    <w:rPr>
      <w:rFonts w:eastAsiaTheme="minorHAnsi"/>
      <w:b/>
      <w:bCs/>
      <w:sz w:val="21"/>
      <w:szCs w:val="21"/>
      <w:lang w:val="en-US"/>
    </w:rPr>
  </w:style>
  <w:style w:type="character" w:customStyle="1" w:styleId="Bodytext22">
    <w:name w:val="Body text (2)2"/>
    <w:basedOn w:val="Bodytext2"/>
    <w:uiPriority w:val="99"/>
    <w:rsid w:val="00526C19"/>
    <w:rPr>
      <w:sz w:val="21"/>
      <w:szCs w:val="21"/>
      <w:u w:val="none"/>
      <w:shd w:val="clear" w:color="auto" w:fill="FFFFFF"/>
    </w:rPr>
  </w:style>
  <w:style w:type="paragraph" w:customStyle="1" w:styleId="Paragraph">
    <w:name w:val="Paragraph"/>
    <w:link w:val="ParagraphChar"/>
    <w:qFormat/>
    <w:rsid w:val="00342E6F"/>
    <w:pPr>
      <w:suppressAutoHyphens/>
      <w:spacing w:after="240" w:line="240" w:lineRule="auto"/>
    </w:pPr>
    <w:rPr>
      <w:rFonts w:ascii="Times New Roman" w:eastAsia="Times New Roman" w:hAnsi="Times New Roman" w:cs="Times New Roman"/>
      <w:sz w:val="24"/>
      <w:szCs w:val="24"/>
      <w:lang w:eastAsia="ar-SA"/>
    </w:rPr>
  </w:style>
  <w:style w:type="character" w:customStyle="1" w:styleId="ParagraphChar">
    <w:name w:val="Paragraph Char"/>
    <w:link w:val="Paragraph"/>
    <w:rsid w:val="00342E6F"/>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342E6F"/>
    <w:pPr>
      <w:spacing w:before="48" w:after="120" w:line="240" w:lineRule="auto"/>
      <w:ind w:left="75" w:right="75"/>
    </w:pPr>
    <w:rPr>
      <w:rFonts w:ascii="Times New Roman" w:eastAsia="Times New Roman" w:hAnsi="Times New Roman" w:cs="Times New Roman"/>
      <w:sz w:val="24"/>
      <w:szCs w:val="24"/>
      <w:lang w:eastAsia="nl-BE"/>
    </w:rPr>
  </w:style>
  <w:style w:type="character" w:styleId="Lienhypertexte">
    <w:name w:val="Hyperlink"/>
    <w:basedOn w:val="Policepardfaut"/>
    <w:uiPriority w:val="99"/>
    <w:rsid w:val="00342E6F"/>
    <w:rPr>
      <w:color w:val="0000FF"/>
      <w:u w:val="single"/>
    </w:rPr>
  </w:style>
  <w:style w:type="paragraph" w:customStyle="1" w:styleId="titel123">
    <w:name w:val="titel 1.2.3."/>
    <w:basedOn w:val="Normal"/>
    <w:autoRedefine/>
    <w:rsid w:val="00484CF8"/>
    <w:pPr>
      <w:spacing w:after="120" w:line="23" w:lineRule="atLeast"/>
      <w:jc w:val="both"/>
      <w:outlineLvl w:val="3"/>
    </w:pPr>
    <w:rPr>
      <w:rFonts w:ascii="Times New Roman" w:eastAsia="Times New Roman" w:hAnsi="Times New Roman" w:cs="Times New Roman"/>
      <w:b/>
      <w:bCs/>
      <w:sz w:val="28"/>
      <w:szCs w:val="32"/>
      <w:lang w:val="nl-NL" w:eastAsia="fr-FR"/>
    </w:rPr>
  </w:style>
  <w:style w:type="table" w:styleId="Listeclaire-Accent5">
    <w:name w:val="Light List Accent 5"/>
    <w:basedOn w:val="TableauNormal"/>
    <w:uiPriority w:val="61"/>
    <w:rsid w:val="00484CF8"/>
    <w:pPr>
      <w:spacing w:after="0" w:line="240" w:lineRule="auto"/>
    </w:pPr>
    <w:rPr>
      <w:rFonts w:ascii="Times New Roman" w:eastAsia="Times New Roman" w:hAnsi="Times New Roman" w:cs="Times New Roman"/>
      <w:sz w:val="20"/>
      <w:szCs w:val="20"/>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gende">
    <w:name w:val="caption"/>
    <w:aliases w:val="Lengende,Figure heading,legend,表タイトル,Bayer Caption,IB Caption,Medical Caption"/>
    <w:basedOn w:val="Normal"/>
    <w:next w:val="Normal"/>
    <w:link w:val="LgendeCar"/>
    <w:unhideWhenUsed/>
    <w:qFormat/>
    <w:rsid w:val="00E1560E"/>
    <w:pPr>
      <w:spacing w:after="200" w:line="240" w:lineRule="auto"/>
    </w:pPr>
    <w:rPr>
      <w:b/>
      <w:bCs/>
      <w:color w:val="4F81BD" w:themeColor="accent1"/>
      <w:sz w:val="18"/>
      <w:szCs w:val="18"/>
    </w:rPr>
  </w:style>
  <w:style w:type="paragraph" w:styleId="Listenumros">
    <w:name w:val="List Number"/>
    <w:rsid w:val="00DB4D7C"/>
    <w:pPr>
      <w:tabs>
        <w:tab w:val="num" w:pos="720"/>
      </w:tabs>
      <w:spacing w:after="240" w:line="240" w:lineRule="auto"/>
      <w:ind w:left="720" w:hanging="720"/>
    </w:pPr>
    <w:rPr>
      <w:rFonts w:ascii="Times New Roman" w:eastAsia="Times New Roman" w:hAnsi="Times New Roman" w:cs="Times New Roman"/>
      <w:sz w:val="24"/>
      <w:szCs w:val="24"/>
    </w:rPr>
  </w:style>
  <w:style w:type="paragraph" w:styleId="Listepuces2">
    <w:name w:val="List Bullet 2"/>
    <w:link w:val="Listepuces2Car"/>
    <w:uiPriority w:val="99"/>
    <w:rsid w:val="00DB4D7C"/>
    <w:pPr>
      <w:tabs>
        <w:tab w:val="num" w:pos="720"/>
      </w:tabs>
      <w:spacing w:after="240" w:line="240" w:lineRule="auto"/>
      <w:ind w:left="720" w:hanging="720"/>
    </w:pPr>
    <w:rPr>
      <w:rFonts w:ascii="Times New Roman" w:eastAsia="Times New Roman" w:hAnsi="Times New Roman" w:cs="Times New Roman"/>
      <w:sz w:val="24"/>
      <w:szCs w:val="24"/>
    </w:rPr>
  </w:style>
  <w:style w:type="character" w:customStyle="1" w:styleId="Listepuces2Car">
    <w:name w:val="Liste à puces 2 Car"/>
    <w:link w:val="Listepuces2"/>
    <w:uiPriority w:val="99"/>
    <w:rsid w:val="00DB4D7C"/>
    <w:rPr>
      <w:rFonts w:ascii="Times New Roman" w:eastAsia="Times New Roman" w:hAnsi="Times New Roman" w:cs="Times New Roman"/>
      <w:sz w:val="24"/>
      <w:szCs w:val="24"/>
    </w:rPr>
  </w:style>
  <w:style w:type="character" w:customStyle="1" w:styleId="LgendeCar">
    <w:name w:val="Légende Car"/>
    <w:aliases w:val="Lengende Car,Figure heading Car,legend Car,表タイトル Car,Bayer Caption Car,IB Caption Car,Medical Caption Car"/>
    <w:link w:val="Lgende"/>
    <w:rsid w:val="0079329C"/>
    <w:rPr>
      <w:rFonts w:eastAsiaTheme="minorEastAsia"/>
      <w:b/>
      <w:bCs/>
      <w:color w:val="4F81BD" w:themeColor="accent1"/>
      <w:sz w:val="18"/>
      <w:szCs w:val="18"/>
      <w:lang w:val="nl-BE"/>
    </w:rPr>
  </w:style>
  <w:style w:type="character" w:styleId="Accentuationintense">
    <w:name w:val="Intense Emphasis"/>
    <w:aliases w:val="Titel Tabel"/>
    <w:basedOn w:val="Policepardfaut"/>
    <w:uiPriority w:val="21"/>
    <w:qFormat/>
    <w:rsid w:val="0025335C"/>
    <w:rPr>
      <w:b/>
      <w:bCs/>
      <w:i/>
      <w:iCs/>
      <w:color w:val="4F81BD" w:themeColor="accent1"/>
    </w:rPr>
  </w:style>
  <w:style w:type="table" w:styleId="Listeclaire-Accent1">
    <w:name w:val="Light List Accent 1"/>
    <w:basedOn w:val="TableauNormal"/>
    <w:uiPriority w:val="61"/>
    <w:rsid w:val="00F2639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lev">
    <w:name w:val="Strong"/>
    <w:basedOn w:val="Policepardfaut"/>
    <w:uiPriority w:val="22"/>
    <w:qFormat/>
    <w:rsid w:val="007657E1"/>
    <w:rPr>
      <w:b/>
      <w:bCs/>
    </w:rPr>
  </w:style>
  <w:style w:type="character" w:styleId="Accentuation">
    <w:name w:val="Emphasis"/>
    <w:basedOn w:val="Policepardfaut"/>
    <w:uiPriority w:val="20"/>
    <w:qFormat/>
    <w:rsid w:val="00B432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0321">
      <w:bodyDiv w:val="1"/>
      <w:marLeft w:val="0"/>
      <w:marRight w:val="0"/>
      <w:marTop w:val="0"/>
      <w:marBottom w:val="0"/>
      <w:divBdr>
        <w:top w:val="none" w:sz="0" w:space="0" w:color="auto"/>
        <w:left w:val="none" w:sz="0" w:space="0" w:color="auto"/>
        <w:bottom w:val="none" w:sz="0" w:space="0" w:color="auto"/>
        <w:right w:val="none" w:sz="0" w:space="0" w:color="auto"/>
      </w:divBdr>
    </w:div>
    <w:div w:id="24717802">
      <w:bodyDiv w:val="1"/>
      <w:marLeft w:val="0"/>
      <w:marRight w:val="0"/>
      <w:marTop w:val="0"/>
      <w:marBottom w:val="0"/>
      <w:divBdr>
        <w:top w:val="none" w:sz="0" w:space="0" w:color="auto"/>
        <w:left w:val="none" w:sz="0" w:space="0" w:color="auto"/>
        <w:bottom w:val="none" w:sz="0" w:space="0" w:color="auto"/>
        <w:right w:val="none" w:sz="0" w:space="0" w:color="auto"/>
      </w:divBdr>
    </w:div>
    <w:div w:id="90273782">
      <w:bodyDiv w:val="1"/>
      <w:marLeft w:val="0"/>
      <w:marRight w:val="0"/>
      <w:marTop w:val="0"/>
      <w:marBottom w:val="0"/>
      <w:divBdr>
        <w:top w:val="none" w:sz="0" w:space="0" w:color="auto"/>
        <w:left w:val="none" w:sz="0" w:space="0" w:color="auto"/>
        <w:bottom w:val="none" w:sz="0" w:space="0" w:color="auto"/>
        <w:right w:val="none" w:sz="0" w:space="0" w:color="auto"/>
      </w:divBdr>
    </w:div>
    <w:div w:id="152568666">
      <w:bodyDiv w:val="1"/>
      <w:marLeft w:val="0"/>
      <w:marRight w:val="0"/>
      <w:marTop w:val="0"/>
      <w:marBottom w:val="0"/>
      <w:divBdr>
        <w:top w:val="none" w:sz="0" w:space="0" w:color="auto"/>
        <w:left w:val="none" w:sz="0" w:space="0" w:color="auto"/>
        <w:bottom w:val="none" w:sz="0" w:space="0" w:color="auto"/>
        <w:right w:val="none" w:sz="0" w:space="0" w:color="auto"/>
      </w:divBdr>
    </w:div>
    <w:div w:id="165831133">
      <w:bodyDiv w:val="1"/>
      <w:marLeft w:val="0"/>
      <w:marRight w:val="0"/>
      <w:marTop w:val="0"/>
      <w:marBottom w:val="0"/>
      <w:divBdr>
        <w:top w:val="none" w:sz="0" w:space="0" w:color="auto"/>
        <w:left w:val="none" w:sz="0" w:space="0" w:color="auto"/>
        <w:bottom w:val="none" w:sz="0" w:space="0" w:color="auto"/>
        <w:right w:val="none" w:sz="0" w:space="0" w:color="auto"/>
      </w:divBdr>
    </w:div>
    <w:div w:id="204872482">
      <w:bodyDiv w:val="1"/>
      <w:marLeft w:val="0"/>
      <w:marRight w:val="0"/>
      <w:marTop w:val="0"/>
      <w:marBottom w:val="0"/>
      <w:divBdr>
        <w:top w:val="none" w:sz="0" w:space="0" w:color="auto"/>
        <w:left w:val="none" w:sz="0" w:space="0" w:color="auto"/>
        <w:bottom w:val="none" w:sz="0" w:space="0" w:color="auto"/>
        <w:right w:val="none" w:sz="0" w:space="0" w:color="auto"/>
      </w:divBdr>
    </w:div>
    <w:div w:id="293297746">
      <w:bodyDiv w:val="1"/>
      <w:marLeft w:val="0"/>
      <w:marRight w:val="0"/>
      <w:marTop w:val="0"/>
      <w:marBottom w:val="0"/>
      <w:divBdr>
        <w:top w:val="none" w:sz="0" w:space="0" w:color="auto"/>
        <w:left w:val="none" w:sz="0" w:space="0" w:color="auto"/>
        <w:bottom w:val="none" w:sz="0" w:space="0" w:color="auto"/>
        <w:right w:val="none" w:sz="0" w:space="0" w:color="auto"/>
      </w:divBdr>
    </w:div>
    <w:div w:id="311451462">
      <w:bodyDiv w:val="1"/>
      <w:marLeft w:val="0"/>
      <w:marRight w:val="0"/>
      <w:marTop w:val="0"/>
      <w:marBottom w:val="0"/>
      <w:divBdr>
        <w:top w:val="none" w:sz="0" w:space="0" w:color="auto"/>
        <w:left w:val="none" w:sz="0" w:space="0" w:color="auto"/>
        <w:bottom w:val="none" w:sz="0" w:space="0" w:color="auto"/>
        <w:right w:val="none" w:sz="0" w:space="0" w:color="auto"/>
      </w:divBdr>
    </w:div>
    <w:div w:id="382364522">
      <w:bodyDiv w:val="1"/>
      <w:marLeft w:val="0"/>
      <w:marRight w:val="0"/>
      <w:marTop w:val="0"/>
      <w:marBottom w:val="0"/>
      <w:divBdr>
        <w:top w:val="none" w:sz="0" w:space="0" w:color="auto"/>
        <w:left w:val="none" w:sz="0" w:space="0" w:color="auto"/>
        <w:bottom w:val="none" w:sz="0" w:space="0" w:color="auto"/>
        <w:right w:val="none" w:sz="0" w:space="0" w:color="auto"/>
      </w:divBdr>
    </w:div>
    <w:div w:id="511919852">
      <w:bodyDiv w:val="1"/>
      <w:marLeft w:val="0"/>
      <w:marRight w:val="0"/>
      <w:marTop w:val="0"/>
      <w:marBottom w:val="0"/>
      <w:divBdr>
        <w:top w:val="none" w:sz="0" w:space="0" w:color="auto"/>
        <w:left w:val="none" w:sz="0" w:space="0" w:color="auto"/>
        <w:bottom w:val="none" w:sz="0" w:space="0" w:color="auto"/>
        <w:right w:val="none" w:sz="0" w:space="0" w:color="auto"/>
      </w:divBdr>
    </w:div>
    <w:div w:id="731806132">
      <w:bodyDiv w:val="1"/>
      <w:marLeft w:val="0"/>
      <w:marRight w:val="0"/>
      <w:marTop w:val="0"/>
      <w:marBottom w:val="0"/>
      <w:divBdr>
        <w:top w:val="none" w:sz="0" w:space="0" w:color="auto"/>
        <w:left w:val="none" w:sz="0" w:space="0" w:color="auto"/>
        <w:bottom w:val="none" w:sz="0" w:space="0" w:color="auto"/>
        <w:right w:val="none" w:sz="0" w:space="0" w:color="auto"/>
      </w:divBdr>
    </w:div>
    <w:div w:id="847988428">
      <w:bodyDiv w:val="1"/>
      <w:marLeft w:val="0"/>
      <w:marRight w:val="0"/>
      <w:marTop w:val="0"/>
      <w:marBottom w:val="0"/>
      <w:divBdr>
        <w:top w:val="none" w:sz="0" w:space="0" w:color="auto"/>
        <w:left w:val="none" w:sz="0" w:space="0" w:color="auto"/>
        <w:bottom w:val="none" w:sz="0" w:space="0" w:color="auto"/>
        <w:right w:val="none" w:sz="0" w:space="0" w:color="auto"/>
      </w:divBdr>
    </w:div>
    <w:div w:id="874081573">
      <w:bodyDiv w:val="1"/>
      <w:marLeft w:val="0"/>
      <w:marRight w:val="0"/>
      <w:marTop w:val="0"/>
      <w:marBottom w:val="0"/>
      <w:divBdr>
        <w:top w:val="none" w:sz="0" w:space="0" w:color="auto"/>
        <w:left w:val="none" w:sz="0" w:space="0" w:color="auto"/>
        <w:bottom w:val="none" w:sz="0" w:space="0" w:color="auto"/>
        <w:right w:val="none" w:sz="0" w:space="0" w:color="auto"/>
      </w:divBdr>
    </w:div>
    <w:div w:id="945498521">
      <w:bodyDiv w:val="1"/>
      <w:marLeft w:val="0"/>
      <w:marRight w:val="0"/>
      <w:marTop w:val="0"/>
      <w:marBottom w:val="0"/>
      <w:divBdr>
        <w:top w:val="none" w:sz="0" w:space="0" w:color="auto"/>
        <w:left w:val="none" w:sz="0" w:space="0" w:color="auto"/>
        <w:bottom w:val="none" w:sz="0" w:space="0" w:color="auto"/>
        <w:right w:val="none" w:sz="0" w:space="0" w:color="auto"/>
      </w:divBdr>
    </w:div>
    <w:div w:id="981890054">
      <w:bodyDiv w:val="1"/>
      <w:marLeft w:val="0"/>
      <w:marRight w:val="0"/>
      <w:marTop w:val="0"/>
      <w:marBottom w:val="0"/>
      <w:divBdr>
        <w:top w:val="none" w:sz="0" w:space="0" w:color="auto"/>
        <w:left w:val="none" w:sz="0" w:space="0" w:color="auto"/>
        <w:bottom w:val="none" w:sz="0" w:space="0" w:color="auto"/>
        <w:right w:val="none" w:sz="0" w:space="0" w:color="auto"/>
      </w:divBdr>
    </w:div>
    <w:div w:id="1030301960">
      <w:bodyDiv w:val="1"/>
      <w:marLeft w:val="0"/>
      <w:marRight w:val="0"/>
      <w:marTop w:val="0"/>
      <w:marBottom w:val="0"/>
      <w:divBdr>
        <w:top w:val="none" w:sz="0" w:space="0" w:color="auto"/>
        <w:left w:val="none" w:sz="0" w:space="0" w:color="auto"/>
        <w:bottom w:val="none" w:sz="0" w:space="0" w:color="auto"/>
        <w:right w:val="none" w:sz="0" w:space="0" w:color="auto"/>
      </w:divBdr>
    </w:div>
    <w:div w:id="1101335187">
      <w:bodyDiv w:val="1"/>
      <w:marLeft w:val="0"/>
      <w:marRight w:val="0"/>
      <w:marTop w:val="0"/>
      <w:marBottom w:val="0"/>
      <w:divBdr>
        <w:top w:val="none" w:sz="0" w:space="0" w:color="auto"/>
        <w:left w:val="none" w:sz="0" w:space="0" w:color="auto"/>
        <w:bottom w:val="none" w:sz="0" w:space="0" w:color="auto"/>
        <w:right w:val="none" w:sz="0" w:space="0" w:color="auto"/>
      </w:divBdr>
    </w:div>
    <w:div w:id="1118110276">
      <w:bodyDiv w:val="1"/>
      <w:marLeft w:val="0"/>
      <w:marRight w:val="0"/>
      <w:marTop w:val="0"/>
      <w:marBottom w:val="0"/>
      <w:divBdr>
        <w:top w:val="none" w:sz="0" w:space="0" w:color="auto"/>
        <w:left w:val="none" w:sz="0" w:space="0" w:color="auto"/>
        <w:bottom w:val="none" w:sz="0" w:space="0" w:color="auto"/>
        <w:right w:val="none" w:sz="0" w:space="0" w:color="auto"/>
      </w:divBdr>
    </w:div>
    <w:div w:id="1174998391">
      <w:bodyDiv w:val="1"/>
      <w:marLeft w:val="0"/>
      <w:marRight w:val="0"/>
      <w:marTop w:val="0"/>
      <w:marBottom w:val="0"/>
      <w:divBdr>
        <w:top w:val="none" w:sz="0" w:space="0" w:color="auto"/>
        <w:left w:val="none" w:sz="0" w:space="0" w:color="auto"/>
        <w:bottom w:val="none" w:sz="0" w:space="0" w:color="auto"/>
        <w:right w:val="none" w:sz="0" w:space="0" w:color="auto"/>
      </w:divBdr>
    </w:div>
    <w:div w:id="1204754870">
      <w:bodyDiv w:val="1"/>
      <w:marLeft w:val="0"/>
      <w:marRight w:val="0"/>
      <w:marTop w:val="0"/>
      <w:marBottom w:val="0"/>
      <w:divBdr>
        <w:top w:val="none" w:sz="0" w:space="0" w:color="auto"/>
        <w:left w:val="none" w:sz="0" w:space="0" w:color="auto"/>
        <w:bottom w:val="none" w:sz="0" w:space="0" w:color="auto"/>
        <w:right w:val="none" w:sz="0" w:space="0" w:color="auto"/>
      </w:divBdr>
    </w:div>
    <w:div w:id="1241863352">
      <w:bodyDiv w:val="1"/>
      <w:marLeft w:val="0"/>
      <w:marRight w:val="0"/>
      <w:marTop w:val="0"/>
      <w:marBottom w:val="0"/>
      <w:divBdr>
        <w:top w:val="none" w:sz="0" w:space="0" w:color="auto"/>
        <w:left w:val="none" w:sz="0" w:space="0" w:color="auto"/>
        <w:bottom w:val="none" w:sz="0" w:space="0" w:color="auto"/>
        <w:right w:val="none" w:sz="0" w:space="0" w:color="auto"/>
      </w:divBdr>
    </w:div>
    <w:div w:id="1350715378">
      <w:bodyDiv w:val="1"/>
      <w:marLeft w:val="0"/>
      <w:marRight w:val="0"/>
      <w:marTop w:val="0"/>
      <w:marBottom w:val="0"/>
      <w:divBdr>
        <w:top w:val="none" w:sz="0" w:space="0" w:color="auto"/>
        <w:left w:val="none" w:sz="0" w:space="0" w:color="auto"/>
        <w:bottom w:val="none" w:sz="0" w:space="0" w:color="auto"/>
        <w:right w:val="none" w:sz="0" w:space="0" w:color="auto"/>
      </w:divBdr>
    </w:div>
    <w:div w:id="1420829698">
      <w:bodyDiv w:val="1"/>
      <w:marLeft w:val="0"/>
      <w:marRight w:val="0"/>
      <w:marTop w:val="0"/>
      <w:marBottom w:val="0"/>
      <w:divBdr>
        <w:top w:val="none" w:sz="0" w:space="0" w:color="auto"/>
        <w:left w:val="none" w:sz="0" w:space="0" w:color="auto"/>
        <w:bottom w:val="none" w:sz="0" w:space="0" w:color="auto"/>
        <w:right w:val="none" w:sz="0" w:space="0" w:color="auto"/>
      </w:divBdr>
    </w:div>
    <w:div w:id="1430740352">
      <w:bodyDiv w:val="1"/>
      <w:marLeft w:val="0"/>
      <w:marRight w:val="0"/>
      <w:marTop w:val="0"/>
      <w:marBottom w:val="0"/>
      <w:divBdr>
        <w:top w:val="none" w:sz="0" w:space="0" w:color="auto"/>
        <w:left w:val="none" w:sz="0" w:space="0" w:color="auto"/>
        <w:bottom w:val="none" w:sz="0" w:space="0" w:color="auto"/>
        <w:right w:val="none" w:sz="0" w:space="0" w:color="auto"/>
      </w:divBdr>
    </w:div>
    <w:div w:id="1461650184">
      <w:bodyDiv w:val="1"/>
      <w:marLeft w:val="0"/>
      <w:marRight w:val="0"/>
      <w:marTop w:val="0"/>
      <w:marBottom w:val="0"/>
      <w:divBdr>
        <w:top w:val="none" w:sz="0" w:space="0" w:color="auto"/>
        <w:left w:val="none" w:sz="0" w:space="0" w:color="auto"/>
        <w:bottom w:val="none" w:sz="0" w:space="0" w:color="auto"/>
        <w:right w:val="none" w:sz="0" w:space="0" w:color="auto"/>
      </w:divBdr>
    </w:div>
    <w:div w:id="1513573037">
      <w:bodyDiv w:val="1"/>
      <w:marLeft w:val="0"/>
      <w:marRight w:val="0"/>
      <w:marTop w:val="0"/>
      <w:marBottom w:val="0"/>
      <w:divBdr>
        <w:top w:val="none" w:sz="0" w:space="0" w:color="auto"/>
        <w:left w:val="none" w:sz="0" w:space="0" w:color="auto"/>
        <w:bottom w:val="none" w:sz="0" w:space="0" w:color="auto"/>
        <w:right w:val="none" w:sz="0" w:space="0" w:color="auto"/>
      </w:divBdr>
    </w:div>
    <w:div w:id="1529490036">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59365907">
      <w:bodyDiv w:val="1"/>
      <w:marLeft w:val="0"/>
      <w:marRight w:val="0"/>
      <w:marTop w:val="0"/>
      <w:marBottom w:val="0"/>
      <w:divBdr>
        <w:top w:val="none" w:sz="0" w:space="0" w:color="auto"/>
        <w:left w:val="none" w:sz="0" w:space="0" w:color="auto"/>
        <w:bottom w:val="none" w:sz="0" w:space="0" w:color="auto"/>
        <w:right w:val="none" w:sz="0" w:space="0" w:color="auto"/>
      </w:divBdr>
    </w:div>
    <w:div w:id="1562863722">
      <w:bodyDiv w:val="1"/>
      <w:marLeft w:val="0"/>
      <w:marRight w:val="0"/>
      <w:marTop w:val="0"/>
      <w:marBottom w:val="0"/>
      <w:divBdr>
        <w:top w:val="none" w:sz="0" w:space="0" w:color="auto"/>
        <w:left w:val="none" w:sz="0" w:space="0" w:color="auto"/>
        <w:bottom w:val="none" w:sz="0" w:space="0" w:color="auto"/>
        <w:right w:val="none" w:sz="0" w:space="0" w:color="auto"/>
      </w:divBdr>
    </w:div>
    <w:div w:id="1602110019">
      <w:bodyDiv w:val="1"/>
      <w:marLeft w:val="0"/>
      <w:marRight w:val="0"/>
      <w:marTop w:val="0"/>
      <w:marBottom w:val="0"/>
      <w:divBdr>
        <w:top w:val="none" w:sz="0" w:space="0" w:color="auto"/>
        <w:left w:val="none" w:sz="0" w:space="0" w:color="auto"/>
        <w:bottom w:val="none" w:sz="0" w:space="0" w:color="auto"/>
        <w:right w:val="none" w:sz="0" w:space="0" w:color="auto"/>
      </w:divBdr>
    </w:div>
    <w:div w:id="1624995348">
      <w:bodyDiv w:val="1"/>
      <w:marLeft w:val="0"/>
      <w:marRight w:val="0"/>
      <w:marTop w:val="0"/>
      <w:marBottom w:val="0"/>
      <w:divBdr>
        <w:top w:val="none" w:sz="0" w:space="0" w:color="auto"/>
        <w:left w:val="none" w:sz="0" w:space="0" w:color="auto"/>
        <w:bottom w:val="none" w:sz="0" w:space="0" w:color="auto"/>
        <w:right w:val="none" w:sz="0" w:space="0" w:color="auto"/>
      </w:divBdr>
    </w:div>
    <w:div w:id="1736583189">
      <w:bodyDiv w:val="1"/>
      <w:marLeft w:val="0"/>
      <w:marRight w:val="0"/>
      <w:marTop w:val="0"/>
      <w:marBottom w:val="0"/>
      <w:divBdr>
        <w:top w:val="none" w:sz="0" w:space="0" w:color="auto"/>
        <w:left w:val="none" w:sz="0" w:space="0" w:color="auto"/>
        <w:bottom w:val="none" w:sz="0" w:space="0" w:color="auto"/>
        <w:right w:val="none" w:sz="0" w:space="0" w:color="auto"/>
      </w:divBdr>
    </w:div>
    <w:div w:id="1769230035">
      <w:bodyDiv w:val="1"/>
      <w:marLeft w:val="0"/>
      <w:marRight w:val="0"/>
      <w:marTop w:val="0"/>
      <w:marBottom w:val="0"/>
      <w:divBdr>
        <w:top w:val="none" w:sz="0" w:space="0" w:color="auto"/>
        <w:left w:val="none" w:sz="0" w:space="0" w:color="auto"/>
        <w:bottom w:val="none" w:sz="0" w:space="0" w:color="auto"/>
        <w:right w:val="none" w:sz="0" w:space="0" w:color="auto"/>
      </w:divBdr>
    </w:div>
    <w:div w:id="1821538508">
      <w:bodyDiv w:val="1"/>
      <w:marLeft w:val="0"/>
      <w:marRight w:val="0"/>
      <w:marTop w:val="0"/>
      <w:marBottom w:val="0"/>
      <w:divBdr>
        <w:top w:val="none" w:sz="0" w:space="0" w:color="auto"/>
        <w:left w:val="none" w:sz="0" w:space="0" w:color="auto"/>
        <w:bottom w:val="none" w:sz="0" w:space="0" w:color="auto"/>
        <w:right w:val="none" w:sz="0" w:space="0" w:color="auto"/>
      </w:divBdr>
    </w:div>
    <w:div w:id="1830558611">
      <w:bodyDiv w:val="1"/>
      <w:marLeft w:val="0"/>
      <w:marRight w:val="0"/>
      <w:marTop w:val="0"/>
      <w:marBottom w:val="0"/>
      <w:divBdr>
        <w:top w:val="none" w:sz="0" w:space="0" w:color="auto"/>
        <w:left w:val="none" w:sz="0" w:space="0" w:color="auto"/>
        <w:bottom w:val="none" w:sz="0" w:space="0" w:color="auto"/>
        <w:right w:val="none" w:sz="0" w:space="0" w:color="auto"/>
      </w:divBdr>
    </w:div>
    <w:div w:id="1851409772">
      <w:bodyDiv w:val="1"/>
      <w:marLeft w:val="0"/>
      <w:marRight w:val="0"/>
      <w:marTop w:val="0"/>
      <w:marBottom w:val="0"/>
      <w:divBdr>
        <w:top w:val="none" w:sz="0" w:space="0" w:color="auto"/>
        <w:left w:val="none" w:sz="0" w:space="0" w:color="auto"/>
        <w:bottom w:val="none" w:sz="0" w:space="0" w:color="auto"/>
        <w:right w:val="none" w:sz="0" w:space="0" w:color="auto"/>
      </w:divBdr>
    </w:div>
    <w:div w:id="1945764305">
      <w:bodyDiv w:val="1"/>
      <w:marLeft w:val="0"/>
      <w:marRight w:val="0"/>
      <w:marTop w:val="0"/>
      <w:marBottom w:val="0"/>
      <w:divBdr>
        <w:top w:val="none" w:sz="0" w:space="0" w:color="auto"/>
        <w:left w:val="none" w:sz="0" w:space="0" w:color="auto"/>
        <w:bottom w:val="none" w:sz="0" w:space="0" w:color="auto"/>
        <w:right w:val="none" w:sz="0" w:space="0" w:color="auto"/>
      </w:divBdr>
    </w:div>
    <w:div w:id="1995332514">
      <w:bodyDiv w:val="1"/>
      <w:marLeft w:val="0"/>
      <w:marRight w:val="0"/>
      <w:marTop w:val="0"/>
      <w:marBottom w:val="0"/>
      <w:divBdr>
        <w:top w:val="none" w:sz="0" w:space="0" w:color="auto"/>
        <w:left w:val="none" w:sz="0" w:space="0" w:color="auto"/>
        <w:bottom w:val="none" w:sz="0" w:space="0" w:color="auto"/>
        <w:right w:val="none" w:sz="0" w:space="0" w:color="auto"/>
      </w:divBdr>
    </w:div>
    <w:div w:id="2018263894">
      <w:bodyDiv w:val="1"/>
      <w:marLeft w:val="0"/>
      <w:marRight w:val="0"/>
      <w:marTop w:val="0"/>
      <w:marBottom w:val="0"/>
      <w:divBdr>
        <w:top w:val="none" w:sz="0" w:space="0" w:color="auto"/>
        <w:left w:val="none" w:sz="0" w:space="0" w:color="auto"/>
        <w:bottom w:val="none" w:sz="0" w:space="0" w:color="auto"/>
        <w:right w:val="none" w:sz="0" w:space="0" w:color="auto"/>
      </w:divBdr>
    </w:div>
    <w:div w:id="2099524080">
      <w:bodyDiv w:val="1"/>
      <w:marLeft w:val="0"/>
      <w:marRight w:val="0"/>
      <w:marTop w:val="0"/>
      <w:marBottom w:val="0"/>
      <w:divBdr>
        <w:top w:val="none" w:sz="0" w:space="0" w:color="auto"/>
        <w:left w:val="none" w:sz="0" w:space="0" w:color="auto"/>
        <w:bottom w:val="none" w:sz="0" w:space="0" w:color="auto"/>
        <w:right w:val="none" w:sz="0" w:space="0" w:color="auto"/>
      </w:divBdr>
    </w:div>
    <w:div w:id="2106538408">
      <w:bodyDiv w:val="1"/>
      <w:marLeft w:val="0"/>
      <w:marRight w:val="0"/>
      <w:marTop w:val="0"/>
      <w:marBottom w:val="0"/>
      <w:divBdr>
        <w:top w:val="none" w:sz="0" w:space="0" w:color="auto"/>
        <w:left w:val="none" w:sz="0" w:space="0" w:color="auto"/>
        <w:bottom w:val="none" w:sz="0" w:space="0" w:color="auto"/>
        <w:right w:val="none" w:sz="0" w:space="0" w:color="auto"/>
      </w:divBdr>
    </w:div>
    <w:div w:id="2129199457">
      <w:bodyDiv w:val="1"/>
      <w:marLeft w:val="0"/>
      <w:marRight w:val="0"/>
      <w:marTop w:val="0"/>
      <w:marBottom w:val="0"/>
      <w:divBdr>
        <w:top w:val="none" w:sz="0" w:space="0" w:color="auto"/>
        <w:left w:val="none" w:sz="0" w:space="0" w:color="auto"/>
        <w:bottom w:val="none" w:sz="0" w:space="0" w:color="auto"/>
        <w:right w:val="none" w:sz="0" w:space="0" w:color="auto"/>
      </w:divBdr>
      <w:divsChild>
        <w:div w:id="1955283048">
          <w:marLeft w:val="0"/>
          <w:marRight w:val="0"/>
          <w:marTop w:val="0"/>
          <w:marBottom w:val="0"/>
          <w:divBdr>
            <w:top w:val="none" w:sz="0" w:space="0" w:color="auto"/>
            <w:left w:val="none" w:sz="0" w:space="0" w:color="auto"/>
            <w:bottom w:val="none" w:sz="0" w:space="0" w:color="auto"/>
            <w:right w:val="none" w:sz="0" w:space="0" w:color="auto"/>
          </w:divBdr>
          <w:divsChild>
            <w:div w:id="859929965">
              <w:marLeft w:val="0"/>
              <w:marRight w:val="0"/>
              <w:marTop w:val="0"/>
              <w:marBottom w:val="0"/>
              <w:divBdr>
                <w:top w:val="none" w:sz="0" w:space="0" w:color="auto"/>
                <w:left w:val="none" w:sz="0" w:space="0" w:color="auto"/>
                <w:bottom w:val="none" w:sz="0" w:space="0" w:color="auto"/>
                <w:right w:val="none" w:sz="0" w:space="0" w:color="auto"/>
              </w:divBdr>
              <w:divsChild>
                <w:div w:id="1486166262">
                  <w:marLeft w:val="0"/>
                  <w:marRight w:val="0"/>
                  <w:marTop w:val="0"/>
                  <w:marBottom w:val="0"/>
                  <w:divBdr>
                    <w:top w:val="none" w:sz="0" w:space="0" w:color="auto"/>
                    <w:left w:val="none" w:sz="0" w:space="0" w:color="auto"/>
                    <w:bottom w:val="none" w:sz="0" w:space="0" w:color="auto"/>
                    <w:right w:val="none" w:sz="0" w:space="0" w:color="auto"/>
                  </w:divBdr>
                  <w:divsChild>
                    <w:div w:id="858276547">
                      <w:marLeft w:val="0"/>
                      <w:marRight w:val="0"/>
                      <w:marTop w:val="0"/>
                      <w:marBottom w:val="0"/>
                      <w:divBdr>
                        <w:top w:val="none" w:sz="0" w:space="0" w:color="auto"/>
                        <w:left w:val="none" w:sz="0" w:space="0" w:color="auto"/>
                        <w:bottom w:val="none" w:sz="0" w:space="0" w:color="auto"/>
                        <w:right w:val="none" w:sz="0" w:space="0" w:color="auto"/>
                      </w:divBdr>
                      <w:divsChild>
                        <w:div w:id="1851218298">
                          <w:marLeft w:val="0"/>
                          <w:marRight w:val="0"/>
                          <w:marTop w:val="0"/>
                          <w:marBottom w:val="0"/>
                          <w:divBdr>
                            <w:top w:val="none" w:sz="0" w:space="0" w:color="auto"/>
                            <w:left w:val="none" w:sz="0" w:space="0" w:color="auto"/>
                            <w:bottom w:val="none" w:sz="0" w:space="0" w:color="auto"/>
                            <w:right w:val="none" w:sz="0" w:space="0" w:color="auto"/>
                          </w:divBdr>
                          <w:divsChild>
                            <w:div w:id="395935292">
                              <w:marLeft w:val="0"/>
                              <w:marRight w:val="0"/>
                              <w:marTop w:val="0"/>
                              <w:marBottom w:val="0"/>
                              <w:divBdr>
                                <w:top w:val="none" w:sz="0" w:space="0" w:color="auto"/>
                                <w:left w:val="none" w:sz="0" w:space="0" w:color="auto"/>
                                <w:bottom w:val="none" w:sz="0" w:space="0" w:color="auto"/>
                                <w:right w:val="none" w:sz="0" w:space="0" w:color="auto"/>
                              </w:divBdr>
                              <w:divsChild>
                                <w:div w:id="788204969">
                                  <w:marLeft w:val="0"/>
                                  <w:marRight w:val="0"/>
                                  <w:marTop w:val="30"/>
                                  <w:marBottom w:val="2250"/>
                                  <w:divBdr>
                                    <w:top w:val="none" w:sz="0" w:space="0" w:color="auto"/>
                                    <w:left w:val="none" w:sz="0" w:space="0" w:color="auto"/>
                                    <w:bottom w:val="none" w:sz="0" w:space="0" w:color="auto"/>
                                    <w:right w:val="none" w:sz="0" w:space="0" w:color="auto"/>
                                  </w:divBdr>
                                  <w:divsChild>
                                    <w:div w:id="185363718">
                                      <w:marLeft w:val="0"/>
                                      <w:marRight w:val="0"/>
                                      <w:marTop w:val="0"/>
                                      <w:marBottom w:val="0"/>
                                      <w:divBdr>
                                        <w:top w:val="none" w:sz="0" w:space="0" w:color="auto"/>
                                        <w:left w:val="none" w:sz="0" w:space="0" w:color="auto"/>
                                        <w:bottom w:val="none" w:sz="0" w:space="0" w:color="auto"/>
                                        <w:right w:val="none" w:sz="0" w:space="0" w:color="auto"/>
                                      </w:divBdr>
                                      <w:divsChild>
                                        <w:div w:id="1749499628">
                                          <w:marLeft w:val="0"/>
                                          <w:marRight w:val="0"/>
                                          <w:marTop w:val="0"/>
                                          <w:marBottom w:val="0"/>
                                          <w:divBdr>
                                            <w:top w:val="none" w:sz="0" w:space="0" w:color="auto"/>
                                            <w:left w:val="none" w:sz="0" w:space="0" w:color="auto"/>
                                            <w:bottom w:val="none" w:sz="0" w:space="0" w:color="auto"/>
                                            <w:right w:val="none" w:sz="0" w:space="0" w:color="auto"/>
                                          </w:divBdr>
                                          <w:divsChild>
                                            <w:div w:id="1845392205">
                                              <w:marLeft w:val="0"/>
                                              <w:marRight w:val="0"/>
                                              <w:marTop w:val="0"/>
                                              <w:marBottom w:val="0"/>
                                              <w:divBdr>
                                                <w:top w:val="none" w:sz="0" w:space="0" w:color="auto"/>
                                                <w:left w:val="none" w:sz="0" w:space="0" w:color="auto"/>
                                                <w:bottom w:val="none" w:sz="0" w:space="0" w:color="auto"/>
                                                <w:right w:val="none" w:sz="0" w:space="0" w:color="auto"/>
                                              </w:divBdr>
                                              <w:divsChild>
                                                <w:div w:id="361520962">
                                                  <w:marLeft w:val="0"/>
                                                  <w:marRight w:val="0"/>
                                                  <w:marTop w:val="0"/>
                                                  <w:marBottom w:val="0"/>
                                                  <w:divBdr>
                                                    <w:top w:val="none" w:sz="0" w:space="0" w:color="auto"/>
                                                    <w:left w:val="none" w:sz="0" w:space="0" w:color="auto"/>
                                                    <w:bottom w:val="none" w:sz="0" w:space="0" w:color="auto"/>
                                                    <w:right w:val="none" w:sz="0" w:space="0" w:color="auto"/>
                                                  </w:divBdr>
                                                  <w:divsChild>
                                                    <w:div w:id="1230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909E-A8E3-4EC0-B3E3-1387B196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5407</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Leveque</dc:creator>
  <cp:lastModifiedBy>Valentin Mutemberezi (RIZIV-INAMI)</cp:lastModifiedBy>
  <cp:revision>2</cp:revision>
  <cp:lastPrinted>2016-11-07T10:33:00Z</cp:lastPrinted>
  <dcterms:created xsi:type="dcterms:W3CDTF">2025-09-09T07:25:00Z</dcterms:created>
  <dcterms:modified xsi:type="dcterms:W3CDTF">2025-09-09T07:25:00Z</dcterms:modified>
</cp:coreProperties>
</file>