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B9" w:rsidRPr="008A46B9" w:rsidRDefault="006477E1" w:rsidP="008A46B9">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cs="Arial"/>
          <w:b/>
          <w:bCs/>
          <w:sz w:val="22"/>
          <w:szCs w:val="22"/>
          <w:lang w:val="fr-FR"/>
        </w:rPr>
      </w:pPr>
      <w:bookmarkStart w:id="0" w:name="_Toc182705315"/>
      <w:proofErr w:type="spellStart"/>
      <w:r>
        <w:rPr>
          <w:rFonts w:cs="Arial"/>
          <w:b/>
          <w:bCs/>
          <w:sz w:val="32"/>
          <w:szCs w:val="32"/>
          <w:lang w:val="fr-FR"/>
        </w:rPr>
        <w:t>Beleidsnota</w:t>
      </w:r>
      <w:proofErr w:type="spellEnd"/>
      <w:r w:rsidR="00150D5F" w:rsidRPr="00B814F1">
        <w:rPr>
          <w:rStyle w:val="FootnoteReference"/>
          <w:rFonts w:cs="Arial"/>
          <w:sz w:val="32"/>
          <w:szCs w:val="32"/>
          <w:lang w:val="nl-BE"/>
        </w:rPr>
        <w:footnoteReference w:id="2"/>
      </w:r>
    </w:p>
    <w:p w:rsidR="006334E7" w:rsidRDefault="006334E7" w:rsidP="0085164C">
      <w:pPr>
        <w:pStyle w:val="BodyText"/>
        <w:spacing w:after="0" w:line="276" w:lineRule="auto"/>
        <w:jc w:val="left"/>
        <w:rPr>
          <w:rFonts w:cs="Arial"/>
          <w:sz w:val="22"/>
          <w:szCs w:val="22"/>
          <w:lang w:val="fr-FR"/>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2903"/>
      </w:tblGrid>
      <w:tr w:rsidR="009B52EF" w:rsidRPr="00425C33" w:rsidTr="00965532">
        <w:trPr>
          <w:trHeight w:val="340"/>
        </w:trPr>
        <w:tc>
          <w:tcPr>
            <w:tcW w:w="1414" w:type="dxa"/>
            <w:shd w:val="clear" w:color="auto" w:fill="auto"/>
          </w:tcPr>
          <w:p w:rsidR="009B52EF" w:rsidRPr="00811020" w:rsidRDefault="009B52EF" w:rsidP="00965532">
            <w:pPr>
              <w:spacing w:after="0"/>
              <w:jc w:val="left"/>
              <w:rPr>
                <w:rFonts w:cs="Arial"/>
                <w:sz w:val="22"/>
                <w:szCs w:val="22"/>
                <w:lang w:val="nl-BE"/>
              </w:rPr>
            </w:pPr>
            <w:r w:rsidRPr="00811020">
              <w:rPr>
                <w:rFonts w:cs="Arial"/>
                <w:sz w:val="22"/>
                <w:szCs w:val="22"/>
                <w:lang w:val="nl-BE"/>
              </w:rPr>
              <w:t>Onderwerp</w:t>
            </w:r>
          </w:p>
        </w:tc>
        <w:tc>
          <w:tcPr>
            <w:tcW w:w="12903" w:type="dxa"/>
            <w:shd w:val="clear" w:color="auto" w:fill="auto"/>
          </w:tcPr>
          <w:p w:rsidR="009B52EF" w:rsidRPr="00811020" w:rsidRDefault="009B52EF" w:rsidP="0067464A">
            <w:pPr>
              <w:spacing w:after="0"/>
              <w:jc w:val="left"/>
              <w:rPr>
                <w:rFonts w:cs="Arial"/>
                <w:b/>
                <w:bCs/>
                <w:iCs/>
                <w:sz w:val="22"/>
                <w:szCs w:val="22"/>
                <w:lang w:val="nl-BE"/>
              </w:rPr>
            </w:pPr>
            <w:r w:rsidRPr="00811020">
              <w:rPr>
                <w:rFonts w:cs="Arial"/>
                <w:b/>
                <w:bCs/>
                <w:iCs/>
                <w:sz w:val="22"/>
                <w:szCs w:val="22"/>
                <w:lang w:val="nl-BE"/>
              </w:rPr>
              <w:t>F</w:t>
            </w:r>
            <w:r w:rsidR="0068750A" w:rsidRPr="00811020">
              <w:rPr>
                <w:rFonts w:cs="Arial"/>
                <w:b/>
                <w:bCs/>
                <w:iCs/>
                <w:sz w:val="22"/>
                <w:szCs w:val="22"/>
                <w:lang w:val="nl-BE"/>
              </w:rPr>
              <w:t xml:space="preserve">onds </w:t>
            </w:r>
            <w:r w:rsidR="00D17150">
              <w:rPr>
                <w:rFonts w:cs="Arial"/>
                <w:b/>
                <w:bCs/>
                <w:iCs/>
                <w:sz w:val="22"/>
                <w:szCs w:val="22"/>
                <w:lang w:val="nl-BE"/>
              </w:rPr>
              <w:t xml:space="preserve">voor de </w:t>
            </w:r>
            <w:r w:rsidR="0068750A" w:rsidRPr="00811020">
              <w:rPr>
                <w:rFonts w:cs="Arial"/>
                <w:b/>
                <w:bCs/>
                <w:iCs/>
                <w:sz w:val="22"/>
                <w:szCs w:val="22"/>
                <w:lang w:val="nl-BE"/>
              </w:rPr>
              <w:t>Medische Ongevallen</w:t>
            </w:r>
            <w:r w:rsidRPr="00811020">
              <w:rPr>
                <w:rFonts w:cs="Arial"/>
                <w:b/>
                <w:bCs/>
                <w:iCs/>
                <w:sz w:val="22"/>
                <w:szCs w:val="22"/>
                <w:lang w:val="nl-BE"/>
              </w:rPr>
              <w:t xml:space="preserve"> (“FMO”)</w:t>
            </w:r>
            <w:r w:rsidR="007E7AA3">
              <w:rPr>
                <w:rFonts w:cs="Arial"/>
                <w:b/>
                <w:bCs/>
                <w:iCs/>
                <w:sz w:val="22"/>
                <w:szCs w:val="22"/>
                <w:lang w:val="nl-BE"/>
              </w:rPr>
              <w:t xml:space="preserve"> </w:t>
            </w:r>
            <w:r w:rsidR="00380714">
              <w:rPr>
                <w:rFonts w:cs="Arial"/>
                <w:b/>
                <w:bCs/>
                <w:iCs/>
                <w:sz w:val="22"/>
                <w:szCs w:val="22"/>
                <w:lang w:val="nl-BE"/>
              </w:rPr>
              <w:t>–</w:t>
            </w:r>
            <w:r w:rsidR="007E7AA3">
              <w:rPr>
                <w:rFonts w:cs="Arial"/>
                <w:b/>
                <w:bCs/>
                <w:iCs/>
                <w:sz w:val="22"/>
                <w:szCs w:val="22"/>
                <w:lang w:val="nl-BE"/>
              </w:rPr>
              <w:t xml:space="preserve"> </w:t>
            </w:r>
            <w:r w:rsidR="006477E1">
              <w:rPr>
                <w:rFonts w:cs="Arial"/>
                <w:b/>
                <w:bCs/>
                <w:iCs/>
                <w:sz w:val="22"/>
                <w:szCs w:val="22"/>
                <w:lang w:val="nl-BE"/>
              </w:rPr>
              <w:t>Structurele bijsturing en wegwerken achterstand</w:t>
            </w:r>
          </w:p>
        </w:tc>
      </w:tr>
      <w:tr w:rsidR="009B52EF" w:rsidRPr="00425C33" w:rsidTr="00965532">
        <w:trPr>
          <w:trHeight w:val="340"/>
        </w:trPr>
        <w:tc>
          <w:tcPr>
            <w:tcW w:w="1414" w:type="dxa"/>
            <w:shd w:val="clear" w:color="auto" w:fill="auto"/>
          </w:tcPr>
          <w:p w:rsidR="009B52EF" w:rsidRPr="00811020" w:rsidRDefault="009B52EF" w:rsidP="00965532">
            <w:pPr>
              <w:spacing w:after="0"/>
              <w:jc w:val="left"/>
              <w:rPr>
                <w:rFonts w:cs="Arial"/>
                <w:sz w:val="22"/>
                <w:szCs w:val="22"/>
                <w:lang w:val="nl-BE"/>
              </w:rPr>
            </w:pPr>
            <w:r w:rsidRPr="00811020">
              <w:rPr>
                <w:rFonts w:cs="Arial"/>
                <w:sz w:val="22"/>
                <w:szCs w:val="22"/>
                <w:lang w:val="nl-BE"/>
              </w:rPr>
              <w:t>Auteur</w:t>
            </w:r>
          </w:p>
        </w:tc>
        <w:tc>
          <w:tcPr>
            <w:tcW w:w="12903" w:type="dxa"/>
            <w:shd w:val="clear" w:color="auto" w:fill="auto"/>
          </w:tcPr>
          <w:p w:rsidR="00244B33" w:rsidRPr="00244B33" w:rsidRDefault="009B52EF" w:rsidP="00965532">
            <w:pPr>
              <w:spacing w:after="0"/>
              <w:jc w:val="left"/>
              <w:rPr>
                <w:rFonts w:cs="Arial"/>
                <w:iCs/>
                <w:szCs w:val="18"/>
                <w:lang w:val="fr-FR"/>
              </w:rPr>
            </w:pPr>
            <w:r w:rsidRPr="00811020">
              <w:rPr>
                <w:rFonts w:cs="Arial"/>
                <w:b/>
                <w:bCs/>
                <w:iCs/>
                <w:sz w:val="22"/>
                <w:szCs w:val="22"/>
                <w:lang w:val="fr-FR"/>
              </w:rPr>
              <w:t>Mia Honinckx – Directeur FMO</w:t>
            </w:r>
          </w:p>
        </w:tc>
      </w:tr>
      <w:tr w:rsidR="009B52EF" w:rsidRPr="00425C33" w:rsidTr="00965532">
        <w:trPr>
          <w:trHeight w:val="340"/>
        </w:trPr>
        <w:tc>
          <w:tcPr>
            <w:tcW w:w="1414" w:type="dxa"/>
            <w:shd w:val="clear" w:color="auto" w:fill="auto"/>
          </w:tcPr>
          <w:p w:rsidR="009B52EF" w:rsidRPr="00811020" w:rsidRDefault="009B52EF" w:rsidP="00965532">
            <w:pPr>
              <w:spacing w:after="0"/>
              <w:jc w:val="left"/>
              <w:rPr>
                <w:rFonts w:cs="Arial"/>
                <w:sz w:val="22"/>
                <w:szCs w:val="22"/>
                <w:lang w:val="nl-BE"/>
              </w:rPr>
            </w:pPr>
            <w:r w:rsidRPr="00811020">
              <w:rPr>
                <w:rFonts w:cs="Arial"/>
                <w:sz w:val="22"/>
                <w:szCs w:val="22"/>
                <w:lang w:val="nl-BE"/>
              </w:rPr>
              <w:t>Datum</w:t>
            </w:r>
          </w:p>
        </w:tc>
        <w:tc>
          <w:tcPr>
            <w:tcW w:w="12903" w:type="dxa"/>
            <w:shd w:val="clear" w:color="auto" w:fill="auto"/>
          </w:tcPr>
          <w:p w:rsidR="009B52EF" w:rsidRPr="00811020" w:rsidRDefault="00D71CC2" w:rsidP="00D71CC2">
            <w:pPr>
              <w:spacing w:after="0"/>
              <w:jc w:val="left"/>
              <w:rPr>
                <w:rFonts w:cs="Arial"/>
                <w:b/>
                <w:bCs/>
                <w:iCs/>
                <w:sz w:val="22"/>
                <w:szCs w:val="22"/>
                <w:lang w:val="nl-BE"/>
              </w:rPr>
            </w:pPr>
            <w:r>
              <w:rPr>
                <w:rFonts w:cs="Arial"/>
                <w:b/>
                <w:bCs/>
                <w:iCs/>
                <w:sz w:val="22"/>
                <w:szCs w:val="22"/>
                <w:lang w:val="nl-BE"/>
              </w:rPr>
              <w:t>Na bespreking beheerscomité FMO 2 april 2021</w:t>
            </w:r>
          </w:p>
        </w:tc>
      </w:tr>
    </w:tbl>
    <w:p w:rsidR="0056567C" w:rsidRPr="00B000CB" w:rsidRDefault="0056567C" w:rsidP="002F61EA">
      <w:pPr>
        <w:spacing w:after="0"/>
        <w:jc w:val="left"/>
        <w:rPr>
          <w:rFonts w:cs="Arial"/>
          <w:sz w:val="20"/>
          <w:lang w:val="nl-BE"/>
        </w:rPr>
      </w:pPr>
    </w:p>
    <w:p w:rsidR="007E7AA3" w:rsidRPr="00484A68" w:rsidRDefault="007E7AA3" w:rsidP="007E7AA3">
      <w:pPr>
        <w:spacing w:after="0"/>
        <w:jc w:val="center"/>
        <w:rPr>
          <w:rFonts w:cs="Arial"/>
          <w:b/>
          <w:bCs/>
          <w:i/>
          <w:iCs/>
          <w:sz w:val="20"/>
          <w:lang w:val="nl-BE"/>
        </w:rPr>
      </w:pPr>
      <w:r w:rsidRPr="00484A68">
        <w:rPr>
          <w:rFonts w:cs="Arial"/>
          <w:b/>
          <w:bCs/>
          <w:i/>
          <w:iCs/>
          <w:sz w:val="20"/>
          <w:lang w:val="nl-BE"/>
        </w:rPr>
        <w:t>SAMENVATTING</w:t>
      </w:r>
    </w:p>
    <w:p w:rsidR="007E7AA3" w:rsidRPr="00484A68" w:rsidRDefault="007E7AA3" w:rsidP="002F61EA">
      <w:pPr>
        <w:spacing w:after="0"/>
        <w:jc w:val="left"/>
        <w:rPr>
          <w:rFonts w:cs="Arial"/>
          <w:sz w:val="20"/>
          <w:lang w:val="nl-BE"/>
        </w:rPr>
      </w:pPr>
    </w:p>
    <w:p w:rsidR="00D56157" w:rsidRPr="00084732" w:rsidRDefault="00D56157" w:rsidP="002F61EA">
      <w:pPr>
        <w:spacing w:after="0"/>
        <w:jc w:val="left"/>
        <w:rPr>
          <w:rFonts w:cs="Arial"/>
          <w:sz w:val="20"/>
          <w:lang w:val="nl-BE"/>
        </w:rPr>
      </w:pPr>
      <w:r w:rsidRPr="00084732">
        <w:rPr>
          <w:rFonts w:cs="Arial"/>
          <w:sz w:val="20"/>
          <w:lang w:val="nl-BE"/>
        </w:rPr>
        <w:t xml:space="preserve">In deze nota geven we </w:t>
      </w:r>
      <w:r w:rsidRPr="00084732">
        <w:rPr>
          <w:rFonts w:cs="Arial"/>
          <w:sz w:val="20"/>
          <w:u w:val="single"/>
          <w:lang w:val="nl-BE"/>
        </w:rPr>
        <w:t>voorstellen van concrete oplossingen voor</w:t>
      </w:r>
      <w:r w:rsidR="008519E1">
        <w:rPr>
          <w:rFonts w:cs="Arial"/>
          <w:sz w:val="20"/>
          <w:u w:val="single"/>
          <w:lang w:val="nl-BE"/>
        </w:rPr>
        <w:t xml:space="preserve"> </w:t>
      </w:r>
      <w:r w:rsidRPr="00084732">
        <w:rPr>
          <w:rFonts w:cs="Arial"/>
          <w:sz w:val="20"/>
          <w:u w:val="single"/>
          <w:lang w:val="nl-BE"/>
        </w:rPr>
        <w:t>de twee fundamentele problemen</w:t>
      </w:r>
      <w:r w:rsidRPr="00084732">
        <w:rPr>
          <w:rFonts w:cs="Arial"/>
          <w:sz w:val="20"/>
          <w:lang w:val="nl-BE"/>
        </w:rPr>
        <w:t xml:space="preserve"> van het FMO:</w:t>
      </w:r>
    </w:p>
    <w:p w:rsidR="00D56157" w:rsidRPr="00F46654" w:rsidRDefault="00D633BC" w:rsidP="004B51B4">
      <w:pPr>
        <w:pStyle w:val="ListParagraph"/>
        <w:numPr>
          <w:ilvl w:val="0"/>
          <w:numId w:val="5"/>
        </w:numPr>
        <w:spacing w:after="0" w:line="240" w:lineRule="auto"/>
        <w:rPr>
          <w:rFonts w:ascii="Arial" w:hAnsi="Arial" w:cs="Arial"/>
          <w:sz w:val="20"/>
          <w:szCs w:val="20"/>
        </w:rPr>
      </w:pPr>
      <w:r w:rsidRPr="00F46654">
        <w:rPr>
          <w:rFonts w:ascii="Arial" w:hAnsi="Arial" w:cs="Arial"/>
          <w:sz w:val="20"/>
          <w:szCs w:val="20"/>
        </w:rPr>
        <w:t xml:space="preserve">de </w:t>
      </w:r>
      <w:r w:rsidR="003110FA" w:rsidRPr="00F46654">
        <w:rPr>
          <w:rFonts w:ascii="Arial" w:hAnsi="Arial" w:cs="Arial"/>
          <w:sz w:val="20"/>
          <w:szCs w:val="20"/>
        </w:rPr>
        <w:t xml:space="preserve">grote </w:t>
      </w:r>
      <w:r w:rsidR="00D56157" w:rsidRPr="00F46654">
        <w:rPr>
          <w:rFonts w:ascii="Arial" w:hAnsi="Arial" w:cs="Arial"/>
          <w:sz w:val="20"/>
          <w:szCs w:val="20"/>
        </w:rPr>
        <w:t xml:space="preserve">aandacht voor </w:t>
      </w:r>
      <w:proofErr w:type="spellStart"/>
      <w:r w:rsidR="00D56157" w:rsidRPr="00F46654">
        <w:rPr>
          <w:rFonts w:ascii="Arial" w:hAnsi="Arial" w:cs="Arial"/>
          <w:sz w:val="20"/>
          <w:szCs w:val="20"/>
        </w:rPr>
        <w:t>tegensprekelijkheid</w:t>
      </w:r>
      <w:proofErr w:type="spellEnd"/>
      <w:r w:rsidR="00B437B7">
        <w:rPr>
          <w:rFonts w:ascii="Arial" w:hAnsi="Arial" w:cs="Arial"/>
          <w:sz w:val="20"/>
          <w:szCs w:val="20"/>
        </w:rPr>
        <w:t xml:space="preserve"> gekoppeld aan onvoldoende </w:t>
      </w:r>
      <w:proofErr w:type="spellStart"/>
      <w:r w:rsidR="00B437B7">
        <w:rPr>
          <w:rFonts w:ascii="Arial" w:hAnsi="Arial" w:cs="Arial"/>
          <w:sz w:val="20"/>
          <w:szCs w:val="20"/>
        </w:rPr>
        <w:t>valorisering</w:t>
      </w:r>
      <w:proofErr w:type="spellEnd"/>
      <w:r w:rsidR="00B437B7">
        <w:rPr>
          <w:rFonts w:ascii="Arial" w:hAnsi="Arial" w:cs="Arial"/>
          <w:sz w:val="20"/>
          <w:szCs w:val="20"/>
        </w:rPr>
        <w:t xml:space="preserve"> eigen expertise,</w:t>
      </w:r>
    </w:p>
    <w:p w:rsidR="00D56157" w:rsidRPr="002F61EA" w:rsidRDefault="00D56157" w:rsidP="004B51B4">
      <w:pPr>
        <w:pStyle w:val="ListParagraph"/>
        <w:numPr>
          <w:ilvl w:val="0"/>
          <w:numId w:val="5"/>
        </w:numPr>
        <w:spacing w:after="0" w:line="240" w:lineRule="auto"/>
        <w:rPr>
          <w:rFonts w:ascii="Arial" w:hAnsi="Arial" w:cs="Arial"/>
          <w:sz w:val="20"/>
          <w:szCs w:val="20"/>
        </w:rPr>
      </w:pPr>
      <w:r w:rsidRPr="002F61EA">
        <w:rPr>
          <w:rFonts w:ascii="Arial" w:hAnsi="Arial" w:cs="Arial"/>
          <w:sz w:val="20"/>
          <w:szCs w:val="20"/>
        </w:rPr>
        <w:t>de bij de start opgebouwde achterstand (</w:t>
      </w:r>
      <w:r w:rsidR="001F2F82">
        <w:rPr>
          <w:rFonts w:ascii="Arial" w:hAnsi="Arial" w:cs="Arial"/>
          <w:sz w:val="20"/>
          <w:szCs w:val="20"/>
        </w:rPr>
        <w:t xml:space="preserve">ca </w:t>
      </w:r>
      <w:r w:rsidRPr="002F61EA">
        <w:rPr>
          <w:rFonts w:ascii="Arial" w:hAnsi="Arial" w:cs="Arial"/>
          <w:sz w:val="20"/>
          <w:szCs w:val="20"/>
        </w:rPr>
        <w:t xml:space="preserve">2500 dossiers) raakt onvoldoende snel afgebouwd en </w:t>
      </w:r>
      <w:r w:rsidR="00D97C40">
        <w:rPr>
          <w:rFonts w:ascii="Arial" w:hAnsi="Arial" w:cs="Arial"/>
          <w:sz w:val="20"/>
          <w:szCs w:val="20"/>
        </w:rPr>
        <w:t xml:space="preserve">blijft zo enorm wegen </w:t>
      </w:r>
      <w:r w:rsidRPr="002F61EA">
        <w:rPr>
          <w:rFonts w:ascii="Arial" w:hAnsi="Arial" w:cs="Arial"/>
          <w:sz w:val="20"/>
          <w:szCs w:val="20"/>
        </w:rPr>
        <w:t>op de doorlooptijd.</w:t>
      </w:r>
    </w:p>
    <w:p w:rsidR="00D56157" w:rsidRPr="00084732" w:rsidRDefault="00D56157" w:rsidP="002F61EA">
      <w:pPr>
        <w:spacing w:after="0"/>
        <w:jc w:val="left"/>
        <w:rPr>
          <w:rFonts w:cs="Arial"/>
          <w:sz w:val="20"/>
          <w:lang w:val="nl-BE"/>
        </w:rPr>
      </w:pPr>
    </w:p>
    <w:p w:rsidR="00D56157" w:rsidRPr="002F61EA" w:rsidRDefault="00084732" w:rsidP="004B51B4">
      <w:pPr>
        <w:pStyle w:val="ListParagraph"/>
        <w:numPr>
          <w:ilvl w:val="0"/>
          <w:numId w:val="7"/>
        </w:numPr>
        <w:spacing w:after="0" w:line="240" w:lineRule="auto"/>
        <w:rPr>
          <w:rFonts w:ascii="Arial" w:hAnsi="Arial" w:cs="Arial"/>
          <w:sz w:val="20"/>
          <w:lang w:val="fr-FR"/>
        </w:rPr>
      </w:pPr>
      <w:r w:rsidRPr="00084732">
        <w:rPr>
          <w:rFonts w:ascii="Arial" w:hAnsi="Arial" w:cs="Arial"/>
          <w:sz w:val="20"/>
        </w:rPr>
        <w:t>E</w:t>
      </w:r>
      <w:r w:rsidR="00D56157" w:rsidRPr="00084732">
        <w:rPr>
          <w:rFonts w:ascii="Arial" w:hAnsi="Arial" w:cs="Arial"/>
          <w:sz w:val="20"/>
        </w:rPr>
        <w:t xml:space="preserve">en </w:t>
      </w:r>
      <w:r w:rsidR="00D56157" w:rsidRPr="00084732">
        <w:rPr>
          <w:rFonts w:ascii="Arial" w:hAnsi="Arial" w:cs="Arial"/>
          <w:sz w:val="20"/>
          <w:u w:val="single"/>
        </w:rPr>
        <w:t xml:space="preserve">structurele aanpassing in de </w:t>
      </w:r>
      <w:r w:rsidR="008519E1">
        <w:rPr>
          <w:rFonts w:ascii="Arial" w:hAnsi="Arial" w:cs="Arial"/>
          <w:sz w:val="20"/>
          <w:u w:val="single"/>
        </w:rPr>
        <w:t>dossier</w:t>
      </w:r>
      <w:r w:rsidR="00D56157" w:rsidRPr="00084732">
        <w:rPr>
          <w:rFonts w:ascii="Arial" w:hAnsi="Arial" w:cs="Arial"/>
          <w:sz w:val="20"/>
          <w:u w:val="single"/>
        </w:rPr>
        <w:t>behandeling</w:t>
      </w:r>
      <w:r w:rsidR="008519E1">
        <w:rPr>
          <w:rFonts w:ascii="Arial" w:hAnsi="Arial" w:cs="Arial"/>
          <w:sz w:val="20"/>
        </w:rPr>
        <w:t xml:space="preserve">, </w:t>
      </w:r>
      <w:r w:rsidR="00D56157" w:rsidRPr="00084732">
        <w:rPr>
          <w:rFonts w:ascii="Arial" w:hAnsi="Arial" w:cs="Arial"/>
          <w:sz w:val="20"/>
        </w:rPr>
        <w:t xml:space="preserve">zowel </w:t>
      </w:r>
      <w:r w:rsidR="008519E1">
        <w:rPr>
          <w:rFonts w:ascii="Arial" w:hAnsi="Arial" w:cs="Arial"/>
          <w:sz w:val="20"/>
        </w:rPr>
        <w:t xml:space="preserve">voor </w:t>
      </w:r>
      <w:r w:rsidR="00D56157" w:rsidRPr="00084732">
        <w:rPr>
          <w:rFonts w:ascii="Arial" w:hAnsi="Arial" w:cs="Arial"/>
          <w:sz w:val="20"/>
        </w:rPr>
        <w:t>de n</w:t>
      </w:r>
      <w:bookmarkStart w:id="1" w:name="_GoBack"/>
      <w:bookmarkEnd w:id="1"/>
      <w:r w:rsidR="00D56157" w:rsidRPr="00084732">
        <w:rPr>
          <w:rFonts w:ascii="Arial" w:hAnsi="Arial" w:cs="Arial"/>
          <w:sz w:val="20"/>
        </w:rPr>
        <w:t xml:space="preserve">ieuwe dossiers </w:t>
      </w:r>
      <w:r w:rsidR="007E13E8" w:rsidRPr="00084732">
        <w:rPr>
          <w:rFonts w:ascii="Arial" w:hAnsi="Arial" w:cs="Arial"/>
          <w:sz w:val="20"/>
        </w:rPr>
        <w:t>als</w:t>
      </w:r>
      <w:r w:rsidR="00D56157" w:rsidRPr="00084732">
        <w:rPr>
          <w:rFonts w:ascii="Arial" w:hAnsi="Arial" w:cs="Arial"/>
          <w:sz w:val="20"/>
        </w:rPr>
        <w:t xml:space="preserve"> voor d</w:t>
      </w:r>
      <w:r w:rsidR="004F77D4" w:rsidRPr="00084732">
        <w:rPr>
          <w:rFonts w:ascii="Arial" w:hAnsi="Arial" w:cs="Arial"/>
          <w:sz w:val="20"/>
        </w:rPr>
        <w:t>e nog lopende</w:t>
      </w:r>
      <w:r w:rsidR="00D56157" w:rsidRPr="00084732">
        <w:rPr>
          <w:rFonts w:ascii="Arial" w:hAnsi="Arial" w:cs="Arial"/>
          <w:sz w:val="20"/>
        </w:rPr>
        <w:t xml:space="preserve"> van het verleden.</w:t>
      </w:r>
      <w:r w:rsidR="008519E1">
        <w:rPr>
          <w:rFonts w:ascii="Arial" w:hAnsi="Arial" w:cs="Arial"/>
          <w:sz w:val="20"/>
        </w:rPr>
        <w:t xml:space="preserve"> Er zijn twee componenten.</w:t>
      </w:r>
    </w:p>
    <w:p w:rsidR="00B77C8E" w:rsidRPr="002F61EA" w:rsidRDefault="00B77C8E" w:rsidP="004B51B4">
      <w:pPr>
        <w:pStyle w:val="ListParagraph"/>
        <w:numPr>
          <w:ilvl w:val="0"/>
          <w:numId w:val="5"/>
        </w:numPr>
        <w:spacing w:after="0" w:line="240" w:lineRule="auto"/>
        <w:rPr>
          <w:rFonts w:ascii="Arial" w:hAnsi="Arial" w:cs="Arial"/>
          <w:sz w:val="20"/>
          <w:szCs w:val="20"/>
        </w:rPr>
      </w:pPr>
      <w:r w:rsidRPr="002F61EA">
        <w:rPr>
          <w:rFonts w:ascii="Arial" w:hAnsi="Arial" w:cs="Arial"/>
          <w:sz w:val="20"/>
          <w:szCs w:val="20"/>
        </w:rPr>
        <w:t xml:space="preserve">Voor de </w:t>
      </w:r>
      <w:r w:rsidRPr="002F61EA">
        <w:rPr>
          <w:rFonts w:ascii="Arial" w:hAnsi="Arial" w:cs="Arial"/>
          <w:i/>
          <w:iCs/>
          <w:sz w:val="20"/>
          <w:szCs w:val="20"/>
        </w:rPr>
        <w:t>verzameling van de stukken bij het begin van de procedure</w:t>
      </w:r>
      <w:r w:rsidRPr="002F61EA">
        <w:rPr>
          <w:rFonts w:ascii="Arial" w:hAnsi="Arial" w:cs="Arial"/>
          <w:sz w:val="20"/>
          <w:szCs w:val="20"/>
        </w:rPr>
        <w:t xml:space="preserve"> gaan we </w:t>
      </w:r>
      <w:r w:rsidRPr="002F61EA">
        <w:rPr>
          <w:rFonts w:ascii="Arial" w:hAnsi="Arial" w:cs="Arial"/>
          <w:i/>
          <w:iCs/>
          <w:sz w:val="20"/>
          <w:szCs w:val="20"/>
        </w:rPr>
        <w:t xml:space="preserve">veel </w:t>
      </w:r>
      <w:proofErr w:type="spellStart"/>
      <w:r w:rsidRPr="002F61EA">
        <w:rPr>
          <w:rFonts w:ascii="Arial" w:hAnsi="Arial" w:cs="Arial"/>
          <w:i/>
          <w:iCs/>
          <w:sz w:val="20"/>
          <w:szCs w:val="20"/>
        </w:rPr>
        <w:t>proactiever</w:t>
      </w:r>
      <w:proofErr w:type="spellEnd"/>
      <w:r w:rsidRPr="002F61EA">
        <w:rPr>
          <w:rFonts w:ascii="Arial" w:hAnsi="Arial" w:cs="Arial"/>
          <w:i/>
          <w:iCs/>
          <w:sz w:val="20"/>
          <w:szCs w:val="20"/>
        </w:rPr>
        <w:t xml:space="preserve"> tewerk</w:t>
      </w:r>
      <w:r w:rsidRPr="002F61EA">
        <w:rPr>
          <w:rFonts w:ascii="Arial" w:hAnsi="Arial" w:cs="Arial"/>
          <w:sz w:val="20"/>
          <w:szCs w:val="20"/>
        </w:rPr>
        <w:t xml:space="preserve">. </w:t>
      </w:r>
      <w:r w:rsidR="00084732">
        <w:rPr>
          <w:rFonts w:ascii="Arial" w:hAnsi="Arial" w:cs="Arial"/>
          <w:sz w:val="20"/>
          <w:szCs w:val="20"/>
        </w:rPr>
        <w:t>D</w:t>
      </w:r>
      <w:r w:rsidRPr="002F61EA">
        <w:rPr>
          <w:rFonts w:ascii="Arial" w:hAnsi="Arial" w:cs="Arial"/>
          <w:sz w:val="20"/>
          <w:szCs w:val="20"/>
        </w:rPr>
        <w:t>e mogelijkheden van de aanvrager zelf om deze stukken te verzamelen en aan te brengen</w:t>
      </w:r>
      <w:r w:rsidR="00084732">
        <w:rPr>
          <w:rFonts w:ascii="Arial" w:hAnsi="Arial" w:cs="Arial"/>
          <w:sz w:val="20"/>
          <w:szCs w:val="20"/>
        </w:rPr>
        <w:t xml:space="preserve"> worden maximaal gevaloriseerd</w:t>
      </w:r>
      <w:r w:rsidRPr="002F61EA">
        <w:rPr>
          <w:rFonts w:ascii="Arial" w:hAnsi="Arial" w:cs="Arial"/>
          <w:sz w:val="20"/>
          <w:szCs w:val="20"/>
        </w:rPr>
        <w:t xml:space="preserve">. Alleen als </w:t>
      </w:r>
      <w:r w:rsidR="00084732">
        <w:rPr>
          <w:rFonts w:ascii="Arial" w:hAnsi="Arial" w:cs="Arial"/>
          <w:sz w:val="20"/>
          <w:szCs w:val="20"/>
        </w:rPr>
        <w:t xml:space="preserve">er </w:t>
      </w:r>
      <w:r w:rsidRPr="002F61EA">
        <w:rPr>
          <w:rFonts w:ascii="Arial" w:hAnsi="Arial" w:cs="Arial"/>
          <w:sz w:val="20"/>
          <w:szCs w:val="20"/>
        </w:rPr>
        <w:t>nog stukken duidelijk ontbreken, gaat het FMO die zelf vragen. (Vergelijk: momenteel gaat het FMO voor alle stukken de vraag stellen bij andere partijen dan de aanvrager.)</w:t>
      </w:r>
    </w:p>
    <w:p w:rsidR="002F61EA" w:rsidRPr="002F61EA" w:rsidRDefault="00D633BC" w:rsidP="004B51B4">
      <w:pPr>
        <w:pStyle w:val="ListParagraph"/>
        <w:numPr>
          <w:ilvl w:val="0"/>
          <w:numId w:val="5"/>
        </w:numPr>
        <w:spacing w:after="0" w:line="240" w:lineRule="auto"/>
        <w:rPr>
          <w:rFonts w:ascii="Arial" w:hAnsi="Arial" w:cs="Arial"/>
          <w:sz w:val="20"/>
          <w:szCs w:val="20"/>
        </w:rPr>
      </w:pPr>
      <w:r w:rsidRPr="002F61EA">
        <w:rPr>
          <w:rFonts w:ascii="Arial" w:hAnsi="Arial" w:cs="Arial"/>
          <w:sz w:val="20"/>
          <w:szCs w:val="20"/>
        </w:rPr>
        <w:t xml:space="preserve">De </w:t>
      </w:r>
      <w:r w:rsidRPr="002F61EA">
        <w:rPr>
          <w:rFonts w:ascii="Arial" w:hAnsi="Arial" w:cs="Arial"/>
          <w:i/>
          <w:iCs/>
          <w:sz w:val="20"/>
          <w:szCs w:val="20"/>
        </w:rPr>
        <w:t>interne medische analyse wordt meer gevaloriseerd</w:t>
      </w:r>
      <w:r w:rsidRPr="002F61EA">
        <w:rPr>
          <w:rFonts w:ascii="Arial" w:hAnsi="Arial" w:cs="Arial"/>
          <w:sz w:val="20"/>
          <w:szCs w:val="20"/>
        </w:rPr>
        <w:t xml:space="preserve">. Er is een beslissingstabel vastgelegd waarbij de resultaten van die interne medische analyse het verdere verloop van de procedure bepalen. Daarbij wordt gedifferentieerd naargelang de ernstgraad. (Vergelijk: momenteel </w:t>
      </w:r>
      <w:r w:rsidR="002F61EA" w:rsidRPr="002F61EA">
        <w:rPr>
          <w:rFonts w:ascii="Arial" w:hAnsi="Arial" w:cs="Arial"/>
          <w:sz w:val="20"/>
          <w:szCs w:val="20"/>
        </w:rPr>
        <w:t xml:space="preserve">wordt </w:t>
      </w:r>
      <w:r w:rsidR="003E2882">
        <w:rPr>
          <w:rFonts w:ascii="Arial" w:hAnsi="Arial" w:cs="Arial"/>
          <w:sz w:val="20"/>
          <w:szCs w:val="20"/>
        </w:rPr>
        <w:t xml:space="preserve">zeer </w:t>
      </w:r>
      <w:r w:rsidR="002F61EA" w:rsidRPr="002F61EA">
        <w:rPr>
          <w:rFonts w:ascii="Arial" w:hAnsi="Arial" w:cs="Arial"/>
          <w:sz w:val="20"/>
          <w:szCs w:val="20"/>
        </w:rPr>
        <w:t xml:space="preserve">veel beroep gedaan op </w:t>
      </w:r>
      <w:r w:rsidR="00084732">
        <w:rPr>
          <w:rFonts w:ascii="Arial" w:hAnsi="Arial" w:cs="Arial"/>
          <w:sz w:val="20"/>
          <w:szCs w:val="20"/>
        </w:rPr>
        <w:t xml:space="preserve">voornamelijk </w:t>
      </w:r>
      <w:r w:rsidR="002F61EA" w:rsidRPr="002F61EA">
        <w:rPr>
          <w:rFonts w:ascii="Arial" w:hAnsi="Arial" w:cs="Arial"/>
          <w:sz w:val="20"/>
          <w:szCs w:val="20"/>
        </w:rPr>
        <w:t>tegensprekelijke externe expertises.)</w:t>
      </w:r>
    </w:p>
    <w:p w:rsidR="00B77C8E" w:rsidRPr="00084732" w:rsidRDefault="00B77C8E" w:rsidP="002F61EA">
      <w:pPr>
        <w:spacing w:after="0"/>
        <w:jc w:val="left"/>
        <w:rPr>
          <w:rFonts w:cs="Arial"/>
          <w:sz w:val="20"/>
          <w:lang w:val="nl-BE"/>
        </w:rPr>
      </w:pPr>
    </w:p>
    <w:p w:rsidR="002F61EA" w:rsidRPr="00084732" w:rsidRDefault="002F61EA" w:rsidP="004B51B4">
      <w:pPr>
        <w:pStyle w:val="ListParagraph"/>
        <w:numPr>
          <w:ilvl w:val="0"/>
          <w:numId w:val="7"/>
        </w:numPr>
        <w:spacing w:after="0" w:line="240" w:lineRule="auto"/>
        <w:rPr>
          <w:rFonts w:ascii="Arial" w:hAnsi="Arial" w:cs="Arial"/>
          <w:sz w:val="20"/>
        </w:rPr>
      </w:pPr>
      <w:r w:rsidRPr="00084732">
        <w:rPr>
          <w:rFonts w:ascii="Arial" w:hAnsi="Arial" w:cs="Arial"/>
          <w:sz w:val="20"/>
        </w:rPr>
        <w:t xml:space="preserve">De </w:t>
      </w:r>
      <w:r w:rsidRPr="00084732">
        <w:rPr>
          <w:rFonts w:ascii="Arial" w:hAnsi="Arial" w:cs="Arial"/>
          <w:sz w:val="20"/>
          <w:u w:val="single"/>
        </w:rPr>
        <w:t xml:space="preserve">inzet van een </w:t>
      </w:r>
      <w:proofErr w:type="spellStart"/>
      <w:r w:rsidRPr="00084732">
        <w:rPr>
          <w:rFonts w:ascii="Arial" w:hAnsi="Arial" w:cs="Arial"/>
          <w:sz w:val="20"/>
          <w:u w:val="single"/>
        </w:rPr>
        <w:t>Task</w:t>
      </w:r>
      <w:proofErr w:type="spellEnd"/>
      <w:r w:rsidRPr="00084732">
        <w:rPr>
          <w:rFonts w:ascii="Arial" w:hAnsi="Arial" w:cs="Arial"/>
          <w:sz w:val="20"/>
          <w:u w:val="single"/>
        </w:rPr>
        <w:t xml:space="preserve"> Force</w:t>
      </w:r>
      <w:r w:rsidR="005B328A">
        <w:rPr>
          <w:rFonts w:ascii="Arial" w:hAnsi="Arial" w:cs="Arial"/>
          <w:sz w:val="20"/>
          <w:u w:val="single"/>
        </w:rPr>
        <w:t xml:space="preserve"> die het FMO tijdelijk </w:t>
      </w:r>
      <w:r w:rsidR="005B328A" w:rsidRPr="005B328A">
        <w:rPr>
          <w:rFonts w:ascii="Arial" w:hAnsi="Arial" w:cs="Arial"/>
          <w:sz w:val="20"/>
          <w:u w:val="single"/>
        </w:rPr>
        <w:t xml:space="preserve">versterkt </w:t>
      </w:r>
      <w:r w:rsidR="005B328A">
        <w:rPr>
          <w:rFonts w:ascii="Arial" w:hAnsi="Arial" w:cs="Arial"/>
          <w:sz w:val="20"/>
          <w:u w:val="single"/>
        </w:rPr>
        <w:t xml:space="preserve">zodat dit </w:t>
      </w:r>
      <w:r w:rsidR="005B328A" w:rsidRPr="005B328A">
        <w:rPr>
          <w:rFonts w:ascii="Arial" w:hAnsi="Arial" w:cs="Arial"/>
          <w:sz w:val="20"/>
          <w:u w:val="single"/>
        </w:rPr>
        <w:t xml:space="preserve">een moderne organisatie wordt voor de achterstand en de </w:t>
      </w:r>
      <w:r w:rsidR="005B328A">
        <w:rPr>
          <w:rFonts w:ascii="Arial" w:hAnsi="Arial" w:cs="Arial"/>
          <w:sz w:val="20"/>
          <w:u w:val="single"/>
        </w:rPr>
        <w:t xml:space="preserve">lopende en </w:t>
      </w:r>
      <w:r w:rsidR="005B328A" w:rsidRPr="005B328A">
        <w:rPr>
          <w:rFonts w:ascii="Arial" w:hAnsi="Arial" w:cs="Arial"/>
          <w:sz w:val="20"/>
          <w:u w:val="single"/>
        </w:rPr>
        <w:t>nieuwe dossiers.</w:t>
      </w:r>
    </w:p>
    <w:p w:rsidR="004909D9" w:rsidRPr="004909D9" w:rsidRDefault="00084732" w:rsidP="004B51B4">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De vooropgestelde </w:t>
      </w:r>
      <w:r w:rsidR="002F61EA" w:rsidRPr="003E2882">
        <w:rPr>
          <w:rFonts w:ascii="Arial" w:hAnsi="Arial" w:cs="Arial"/>
          <w:sz w:val="20"/>
          <w:szCs w:val="20"/>
        </w:rPr>
        <w:t xml:space="preserve">doelstelling </w:t>
      </w:r>
      <w:r>
        <w:rPr>
          <w:rFonts w:ascii="Arial" w:hAnsi="Arial" w:cs="Arial"/>
          <w:sz w:val="20"/>
          <w:szCs w:val="20"/>
        </w:rPr>
        <w:t xml:space="preserve">is </w:t>
      </w:r>
      <w:r w:rsidR="002F61EA" w:rsidRPr="003E2882">
        <w:rPr>
          <w:rFonts w:ascii="Arial" w:hAnsi="Arial" w:cs="Arial"/>
          <w:sz w:val="20"/>
          <w:szCs w:val="20"/>
        </w:rPr>
        <w:t xml:space="preserve">de </w:t>
      </w:r>
      <w:r w:rsidR="002F61EA" w:rsidRPr="003E2882">
        <w:rPr>
          <w:rFonts w:ascii="Arial" w:hAnsi="Arial" w:cs="Arial"/>
          <w:i/>
          <w:iCs/>
          <w:sz w:val="20"/>
          <w:szCs w:val="20"/>
        </w:rPr>
        <w:t>afbouw van die achterstand op een horizon van twee jaar</w:t>
      </w:r>
      <w:r w:rsidR="004909D9">
        <w:rPr>
          <w:rFonts w:ascii="Arial" w:hAnsi="Arial" w:cs="Arial"/>
          <w:i/>
          <w:iCs/>
          <w:sz w:val="20"/>
          <w:szCs w:val="20"/>
        </w:rPr>
        <w:t>, wat zich vertaalt in 1300 dossiers</w:t>
      </w:r>
      <w:r w:rsidR="00B03AB0">
        <w:rPr>
          <w:rFonts w:ascii="Arial" w:hAnsi="Arial" w:cs="Arial"/>
          <w:i/>
          <w:iCs/>
          <w:sz w:val="20"/>
          <w:szCs w:val="20"/>
        </w:rPr>
        <w:t xml:space="preserve"> </w:t>
      </w:r>
      <w:r w:rsidR="004F163A">
        <w:rPr>
          <w:rFonts w:ascii="Arial" w:hAnsi="Arial" w:cs="Arial"/>
          <w:i/>
          <w:iCs/>
          <w:sz w:val="20"/>
          <w:szCs w:val="20"/>
        </w:rPr>
        <w:t xml:space="preserve">in surplus </w:t>
      </w:r>
      <w:r w:rsidR="00B03AB0">
        <w:rPr>
          <w:rFonts w:ascii="Arial" w:hAnsi="Arial" w:cs="Arial"/>
          <w:i/>
          <w:iCs/>
          <w:sz w:val="20"/>
          <w:szCs w:val="20"/>
        </w:rPr>
        <w:t>afhandelen</w:t>
      </w:r>
      <w:r w:rsidR="004909D9">
        <w:rPr>
          <w:rFonts w:ascii="Arial" w:hAnsi="Arial" w:cs="Arial"/>
          <w:i/>
          <w:iCs/>
          <w:sz w:val="20"/>
          <w:szCs w:val="20"/>
        </w:rPr>
        <w:t>.</w:t>
      </w:r>
    </w:p>
    <w:p w:rsidR="00253086" w:rsidRPr="002F5F8A" w:rsidRDefault="004909D9" w:rsidP="004B51B4">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De geraamde </w:t>
      </w:r>
      <w:proofErr w:type="spellStart"/>
      <w:r w:rsidR="002F61EA" w:rsidRPr="002F5F8A">
        <w:rPr>
          <w:rFonts w:ascii="Arial" w:hAnsi="Arial" w:cs="Arial"/>
          <w:i/>
          <w:iCs/>
          <w:sz w:val="20"/>
          <w:szCs w:val="20"/>
        </w:rPr>
        <w:t>surplusbehoefte</w:t>
      </w:r>
      <w:proofErr w:type="spellEnd"/>
      <w:r>
        <w:rPr>
          <w:rFonts w:ascii="Arial" w:hAnsi="Arial" w:cs="Arial"/>
          <w:i/>
          <w:iCs/>
          <w:sz w:val="20"/>
          <w:szCs w:val="20"/>
        </w:rPr>
        <w:t xml:space="preserve"> van resources is 5 VTE artsen voor een jaar en </w:t>
      </w:r>
      <w:r w:rsidR="0027101A">
        <w:rPr>
          <w:rFonts w:ascii="Arial" w:hAnsi="Arial" w:cs="Arial"/>
          <w:i/>
          <w:iCs/>
          <w:sz w:val="20"/>
          <w:szCs w:val="20"/>
        </w:rPr>
        <w:t>6</w:t>
      </w:r>
      <w:r>
        <w:rPr>
          <w:rFonts w:ascii="Arial" w:hAnsi="Arial" w:cs="Arial"/>
          <w:i/>
          <w:iCs/>
          <w:sz w:val="20"/>
          <w:szCs w:val="20"/>
        </w:rPr>
        <w:t xml:space="preserve"> VTE </w:t>
      </w:r>
      <w:r w:rsidR="002F61EA" w:rsidRPr="002F5F8A">
        <w:rPr>
          <w:rFonts w:ascii="Arial" w:hAnsi="Arial" w:cs="Arial"/>
          <w:i/>
          <w:iCs/>
          <w:sz w:val="20"/>
          <w:szCs w:val="20"/>
        </w:rPr>
        <w:t xml:space="preserve">administratieve krachten </w:t>
      </w:r>
      <w:r>
        <w:rPr>
          <w:rFonts w:ascii="Arial" w:hAnsi="Arial" w:cs="Arial"/>
          <w:i/>
          <w:iCs/>
          <w:sz w:val="20"/>
          <w:szCs w:val="20"/>
        </w:rPr>
        <w:t>en 5 VTE juristen voor twee jaar.</w:t>
      </w:r>
    </w:p>
    <w:p w:rsidR="004909D9" w:rsidRDefault="004909D9" w:rsidP="004B51B4">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Er is een afgelijnde toewijzing van dossiers aan deze </w:t>
      </w:r>
      <w:proofErr w:type="spellStart"/>
      <w:r>
        <w:rPr>
          <w:rFonts w:ascii="Arial" w:hAnsi="Arial" w:cs="Arial"/>
          <w:sz w:val="20"/>
          <w:szCs w:val="20"/>
        </w:rPr>
        <w:t>Task</w:t>
      </w:r>
      <w:proofErr w:type="spellEnd"/>
      <w:r>
        <w:rPr>
          <w:rFonts w:ascii="Arial" w:hAnsi="Arial" w:cs="Arial"/>
          <w:sz w:val="20"/>
          <w:szCs w:val="20"/>
        </w:rPr>
        <w:t xml:space="preserve"> Force en </w:t>
      </w:r>
      <w:r w:rsidRPr="004909D9">
        <w:rPr>
          <w:rFonts w:ascii="Arial" w:hAnsi="Arial" w:cs="Arial"/>
          <w:i/>
          <w:iCs/>
          <w:sz w:val="20"/>
          <w:szCs w:val="20"/>
        </w:rPr>
        <w:t xml:space="preserve">duidelijke afspraken rond de </w:t>
      </w:r>
      <w:r w:rsidR="00FC0E48">
        <w:rPr>
          <w:rFonts w:ascii="Arial" w:hAnsi="Arial" w:cs="Arial"/>
          <w:i/>
          <w:iCs/>
          <w:sz w:val="20"/>
          <w:szCs w:val="20"/>
        </w:rPr>
        <w:t>samenwerking</w:t>
      </w:r>
      <w:r>
        <w:rPr>
          <w:rFonts w:ascii="Arial" w:hAnsi="Arial" w:cs="Arial"/>
          <w:sz w:val="20"/>
          <w:szCs w:val="20"/>
        </w:rPr>
        <w:t xml:space="preserve"> met de perman</w:t>
      </w:r>
      <w:r w:rsidR="000659A3">
        <w:rPr>
          <w:rFonts w:ascii="Arial" w:hAnsi="Arial" w:cs="Arial"/>
          <w:sz w:val="20"/>
          <w:szCs w:val="20"/>
        </w:rPr>
        <w:t>en</w:t>
      </w:r>
      <w:r>
        <w:rPr>
          <w:rFonts w:ascii="Arial" w:hAnsi="Arial" w:cs="Arial"/>
          <w:sz w:val="20"/>
          <w:szCs w:val="20"/>
        </w:rPr>
        <w:t xml:space="preserve">te structuur. </w:t>
      </w:r>
    </w:p>
    <w:p w:rsidR="004909D9" w:rsidRDefault="004909D9" w:rsidP="004B51B4">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Er is altijd het </w:t>
      </w:r>
      <w:r w:rsidRPr="004909D9">
        <w:rPr>
          <w:rFonts w:ascii="Arial" w:hAnsi="Arial" w:cs="Arial"/>
          <w:i/>
          <w:iCs/>
          <w:sz w:val="20"/>
          <w:szCs w:val="20"/>
        </w:rPr>
        <w:t>risico van knelpunten</w:t>
      </w:r>
      <w:r>
        <w:rPr>
          <w:rFonts w:ascii="Arial" w:hAnsi="Arial" w:cs="Arial"/>
          <w:sz w:val="20"/>
          <w:szCs w:val="20"/>
        </w:rPr>
        <w:t xml:space="preserve">: niet-vinden </w:t>
      </w:r>
      <w:r w:rsidR="004A0E2A">
        <w:rPr>
          <w:rFonts w:ascii="Arial" w:hAnsi="Arial" w:cs="Arial"/>
          <w:sz w:val="20"/>
          <w:szCs w:val="20"/>
        </w:rPr>
        <w:t xml:space="preserve">van </w:t>
      </w:r>
      <w:r>
        <w:rPr>
          <w:rFonts w:ascii="Arial" w:hAnsi="Arial" w:cs="Arial"/>
          <w:sz w:val="20"/>
          <w:szCs w:val="20"/>
        </w:rPr>
        <w:t xml:space="preserve">gekwalificeerde mensen, ramingen niet </w:t>
      </w:r>
      <w:r w:rsidR="004A0E2A">
        <w:rPr>
          <w:rFonts w:ascii="Arial" w:hAnsi="Arial" w:cs="Arial"/>
          <w:sz w:val="20"/>
          <w:szCs w:val="20"/>
        </w:rPr>
        <w:t>haalbaar</w:t>
      </w:r>
      <w:r>
        <w:rPr>
          <w:rFonts w:ascii="Arial" w:hAnsi="Arial" w:cs="Arial"/>
          <w:sz w:val="20"/>
          <w:szCs w:val="20"/>
        </w:rPr>
        <w:t>, externe complicaties.</w:t>
      </w:r>
    </w:p>
    <w:p w:rsidR="004909D9" w:rsidRDefault="004909D9" w:rsidP="004B51B4">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Er wordt daarom een </w:t>
      </w:r>
      <w:r w:rsidRPr="004909D9">
        <w:rPr>
          <w:rFonts w:ascii="Arial" w:hAnsi="Arial" w:cs="Arial"/>
          <w:i/>
          <w:iCs/>
          <w:sz w:val="20"/>
          <w:szCs w:val="20"/>
        </w:rPr>
        <w:t>korte opvolging</w:t>
      </w:r>
      <w:r>
        <w:rPr>
          <w:rFonts w:ascii="Arial" w:hAnsi="Arial" w:cs="Arial"/>
          <w:sz w:val="20"/>
          <w:szCs w:val="20"/>
        </w:rPr>
        <w:t xml:space="preserve"> opgezet om bij te sturen als nodig. </w:t>
      </w:r>
      <w:r w:rsidR="000B7CAD">
        <w:rPr>
          <w:rFonts w:ascii="Arial" w:hAnsi="Arial" w:cs="Arial"/>
          <w:sz w:val="20"/>
          <w:szCs w:val="20"/>
        </w:rPr>
        <w:t>(Er wordt m</w:t>
      </w:r>
      <w:r w:rsidR="006A636A">
        <w:rPr>
          <w:rFonts w:ascii="Arial" w:hAnsi="Arial" w:cs="Arial"/>
          <w:sz w:val="20"/>
          <w:szCs w:val="20"/>
        </w:rPr>
        <w:t xml:space="preserve">aandelijks </w:t>
      </w:r>
      <w:r w:rsidR="000B7CAD">
        <w:rPr>
          <w:rFonts w:ascii="Arial" w:hAnsi="Arial" w:cs="Arial"/>
          <w:sz w:val="20"/>
          <w:szCs w:val="20"/>
        </w:rPr>
        <w:t xml:space="preserve">gerapporteerd </w:t>
      </w:r>
      <w:r w:rsidR="006A636A">
        <w:rPr>
          <w:rFonts w:ascii="Arial" w:hAnsi="Arial" w:cs="Arial"/>
          <w:sz w:val="20"/>
          <w:szCs w:val="20"/>
        </w:rPr>
        <w:t xml:space="preserve">aan het </w:t>
      </w:r>
      <w:r w:rsidR="00193FED">
        <w:rPr>
          <w:rFonts w:ascii="Arial" w:hAnsi="Arial" w:cs="Arial"/>
          <w:sz w:val="20"/>
          <w:szCs w:val="20"/>
        </w:rPr>
        <w:t>B</w:t>
      </w:r>
      <w:r w:rsidR="006A636A">
        <w:rPr>
          <w:rFonts w:ascii="Arial" w:hAnsi="Arial" w:cs="Arial"/>
          <w:sz w:val="20"/>
          <w:szCs w:val="20"/>
        </w:rPr>
        <w:t>eheerscomité.</w:t>
      </w:r>
      <w:r w:rsidR="00193FED">
        <w:rPr>
          <w:rFonts w:ascii="Arial" w:hAnsi="Arial" w:cs="Arial"/>
          <w:sz w:val="20"/>
          <w:szCs w:val="20"/>
        </w:rPr>
        <w:t>)</w:t>
      </w:r>
    </w:p>
    <w:p w:rsidR="004A0E2A" w:rsidRPr="002F5F8A" w:rsidRDefault="004A0E2A" w:rsidP="004B51B4">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De </w:t>
      </w:r>
      <w:r w:rsidR="000B2468">
        <w:rPr>
          <w:rFonts w:ascii="Arial" w:hAnsi="Arial" w:cs="Arial"/>
          <w:sz w:val="20"/>
          <w:szCs w:val="20"/>
        </w:rPr>
        <w:t xml:space="preserve">totale </w:t>
      </w:r>
      <w:r>
        <w:rPr>
          <w:rFonts w:ascii="Arial" w:hAnsi="Arial" w:cs="Arial"/>
          <w:sz w:val="20"/>
          <w:szCs w:val="20"/>
        </w:rPr>
        <w:t xml:space="preserve">geraamde VTE-kost van de </w:t>
      </w:r>
      <w:proofErr w:type="spellStart"/>
      <w:r>
        <w:rPr>
          <w:rFonts w:ascii="Arial" w:hAnsi="Arial" w:cs="Arial"/>
          <w:sz w:val="20"/>
          <w:szCs w:val="20"/>
        </w:rPr>
        <w:t>Task</w:t>
      </w:r>
      <w:proofErr w:type="spellEnd"/>
      <w:r>
        <w:rPr>
          <w:rFonts w:ascii="Arial" w:hAnsi="Arial" w:cs="Arial"/>
          <w:sz w:val="20"/>
          <w:szCs w:val="20"/>
        </w:rPr>
        <w:t xml:space="preserve"> Force bedraagt </w:t>
      </w:r>
      <w:r w:rsidR="005C6936">
        <w:rPr>
          <w:rFonts w:ascii="Arial" w:hAnsi="Arial" w:cs="Arial"/>
          <w:sz w:val="20"/>
          <w:szCs w:val="20"/>
        </w:rPr>
        <w:t>ca 3</w:t>
      </w:r>
      <w:r w:rsidR="00DA29BD">
        <w:rPr>
          <w:rFonts w:ascii="Arial" w:hAnsi="Arial" w:cs="Arial"/>
          <w:sz w:val="20"/>
          <w:szCs w:val="20"/>
        </w:rPr>
        <w:t>,</w:t>
      </w:r>
      <w:r w:rsidR="00A720F0">
        <w:rPr>
          <w:rFonts w:ascii="Arial" w:hAnsi="Arial" w:cs="Arial"/>
          <w:sz w:val="20"/>
          <w:szCs w:val="20"/>
        </w:rPr>
        <w:t>3</w:t>
      </w:r>
      <w:r>
        <w:rPr>
          <w:rFonts w:ascii="Arial" w:hAnsi="Arial" w:cs="Arial"/>
          <w:sz w:val="20"/>
          <w:szCs w:val="20"/>
        </w:rPr>
        <w:t xml:space="preserve"> </w:t>
      </w:r>
      <w:proofErr w:type="spellStart"/>
      <w:r>
        <w:rPr>
          <w:rFonts w:ascii="Arial" w:hAnsi="Arial" w:cs="Arial"/>
          <w:sz w:val="20"/>
          <w:szCs w:val="20"/>
        </w:rPr>
        <w:t>mln</w:t>
      </w:r>
      <w:proofErr w:type="spellEnd"/>
      <w:r>
        <w:rPr>
          <w:rFonts w:ascii="Arial" w:hAnsi="Arial" w:cs="Arial"/>
          <w:sz w:val="20"/>
          <w:szCs w:val="20"/>
        </w:rPr>
        <w:t xml:space="preserve"> euro. De te betalen schadevergoedingen ramen we op </w:t>
      </w:r>
      <w:r w:rsidR="0037403A">
        <w:rPr>
          <w:rFonts w:ascii="Arial" w:hAnsi="Arial" w:cs="Arial"/>
          <w:sz w:val="20"/>
          <w:szCs w:val="20"/>
        </w:rPr>
        <w:t xml:space="preserve">ca </w:t>
      </w:r>
      <w:r w:rsidR="00112424">
        <w:rPr>
          <w:rFonts w:ascii="Arial" w:hAnsi="Arial" w:cs="Arial"/>
          <w:sz w:val="20"/>
          <w:szCs w:val="20"/>
        </w:rPr>
        <w:t>30</w:t>
      </w:r>
      <w:r>
        <w:rPr>
          <w:rFonts w:ascii="Arial" w:hAnsi="Arial" w:cs="Arial"/>
          <w:sz w:val="20"/>
          <w:szCs w:val="20"/>
        </w:rPr>
        <w:t xml:space="preserve"> </w:t>
      </w:r>
      <w:proofErr w:type="spellStart"/>
      <w:r>
        <w:rPr>
          <w:rFonts w:ascii="Arial" w:hAnsi="Arial" w:cs="Arial"/>
          <w:sz w:val="20"/>
          <w:szCs w:val="20"/>
        </w:rPr>
        <w:t>mln</w:t>
      </w:r>
      <w:proofErr w:type="spellEnd"/>
      <w:r>
        <w:rPr>
          <w:rFonts w:ascii="Arial" w:hAnsi="Arial" w:cs="Arial"/>
          <w:sz w:val="20"/>
          <w:szCs w:val="20"/>
        </w:rPr>
        <w:t xml:space="preserve"> euro.</w:t>
      </w:r>
    </w:p>
    <w:p w:rsidR="009B20BF" w:rsidRPr="00B814F1" w:rsidRDefault="009B20BF" w:rsidP="00B814F1">
      <w:pPr>
        <w:spacing w:after="0"/>
        <w:rPr>
          <w:rFonts w:cs="Arial"/>
          <w:sz w:val="20"/>
        </w:rPr>
      </w:pPr>
    </w:p>
    <w:p w:rsidR="004909D9" w:rsidRDefault="008519E1" w:rsidP="003F05EB">
      <w:pPr>
        <w:pStyle w:val="ListParagraph"/>
        <w:numPr>
          <w:ilvl w:val="0"/>
          <w:numId w:val="7"/>
        </w:numPr>
        <w:spacing w:after="0" w:line="240" w:lineRule="auto"/>
        <w:rPr>
          <w:rFonts w:ascii="Arial" w:hAnsi="Arial" w:cs="Arial"/>
          <w:sz w:val="20"/>
        </w:rPr>
      </w:pPr>
      <w:r w:rsidRPr="00A02B3B">
        <w:rPr>
          <w:rFonts w:ascii="Arial" w:hAnsi="Arial" w:cs="Arial"/>
          <w:sz w:val="20"/>
        </w:rPr>
        <w:t>Het voorgaande kan</w:t>
      </w:r>
      <w:r w:rsidR="00837208" w:rsidRPr="00A02B3B">
        <w:rPr>
          <w:rFonts w:ascii="Arial" w:hAnsi="Arial" w:cs="Arial"/>
          <w:sz w:val="20"/>
        </w:rPr>
        <w:t xml:space="preserve"> worden</w:t>
      </w:r>
      <w:r w:rsidRPr="00A02B3B">
        <w:rPr>
          <w:rFonts w:ascii="Arial" w:hAnsi="Arial" w:cs="Arial"/>
          <w:sz w:val="20"/>
        </w:rPr>
        <w:t xml:space="preserve"> </w:t>
      </w:r>
      <w:r w:rsidRPr="00A02B3B">
        <w:rPr>
          <w:rFonts w:ascii="Arial" w:hAnsi="Arial" w:cs="Arial"/>
          <w:sz w:val="20"/>
          <w:u w:val="single"/>
        </w:rPr>
        <w:t>gerealiseerd zonder enige aanpassing aan de Wet op de Medische Ongevallen (“WMO”)</w:t>
      </w:r>
      <w:r w:rsidRPr="00A02B3B">
        <w:rPr>
          <w:rFonts w:ascii="Arial" w:hAnsi="Arial" w:cs="Arial"/>
          <w:sz w:val="20"/>
        </w:rPr>
        <w:t xml:space="preserve">. </w:t>
      </w:r>
      <w:r w:rsidR="00362DFD" w:rsidRPr="00A02B3B">
        <w:rPr>
          <w:rFonts w:ascii="Arial" w:hAnsi="Arial" w:cs="Arial"/>
          <w:sz w:val="20"/>
        </w:rPr>
        <w:t xml:space="preserve">In essentie is deze wet deugdelijk voor het beoogde maatschappelijk doel. </w:t>
      </w:r>
      <w:r w:rsidRPr="00A02B3B">
        <w:rPr>
          <w:rFonts w:ascii="Arial" w:hAnsi="Arial" w:cs="Arial"/>
          <w:sz w:val="20"/>
        </w:rPr>
        <w:t xml:space="preserve">We geven wel een aantal suggesties voor technische </w:t>
      </w:r>
      <w:r w:rsidR="007751E9" w:rsidRPr="00A02B3B">
        <w:rPr>
          <w:rFonts w:ascii="Arial" w:hAnsi="Arial" w:cs="Arial"/>
          <w:sz w:val="20"/>
        </w:rPr>
        <w:t>aanpassingen</w:t>
      </w:r>
      <w:r w:rsidRPr="00A02B3B">
        <w:rPr>
          <w:rFonts w:ascii="Arial" w:hAnsi="Arial" w:cs="Arial"/>
          <w:sz w:val="20"/>
        </w:rPr>
        <w:t xml:space="preserve"> die deze wet operationeel beter kunnen maken.</w:t>
      </w:r>
      <w:r w:rsidR="009C5A41" w:rsidRPr="00A02B3B">
        <w:rPr>
          <w:rFonts w:ascii="Arial" w:hAnsi="Arial" w:cs="Arial"/>
          <w:sz w:val="20"/>
        </w:rPr>
        <w:t xml:space="preserve"> </w:t>
      </w:r>
    </w:p>
    <w:bookmarkEnd w:id="0"/>
    <w:p w:rsidR="005B40AE" w:rsidRPr="00425C33" w:rsidRDefault="005B40AE" w:rsidP="00967E0B">
      <w:pPr>
        <w:shd w:val="solid" w:color="auto" w:fill="000000"/>
        <w:tabs>
          <w:tab w:val="right" w:pos="9072"/>
        </w:tabs>
        <w:spacing w:after="0" w:line="276" w:lineRule="auto"/>
        <w:ind w:left="-284"/>
        <w:jc w:val="center"/>
        <w:rPr>
          <w:rFonts w:cs="Arial"/>
          <w:b/>
          <w:color w:val="FFFFFF"/>
          <w:sz w:val="22"/>
          <w:szCs w:val="22"/>
          <w:lang w:val="nl-BE"/>
        </w:rPr>
      </w:pPr>
      <w:r w:rsidRPr="00425C33">
        <w:rPr>
          <w:rFonts w:cs="Arial"/>
          <w:b/>
          <w:color w:val="FFFFFF"/>
          <w:sz w:val="22"/>
          <w:szCs w:val="22"/>
          <w:bdr w:val="single" w:sz="8" w:space="0" w:color="auto"/>
          <w:lang w:val="nl-BE"/>
        </w:rPr>
        <w:lastRenderedPageBreak/>
        <w:t>Inhoudsopgave</w:t>
      </w:r>
    </w:p>
    <w:p w:rsidR="00A5151F" w:rsidRDefault="00335AA1">
      <w:pPr>
        <w:pStyle w:val="TOC1"/>
        <w:tabs>
          <w:tab w:val="left" w:pos="360"/>
          <w:tab w:val="right" w:leader="dot" w:pos="14412"/>
        </w:tabs>
        <w:rPr>
          <w:rFonts w:asciiTheme="minorHAnsi" w:eastAsiaTheme="minorEastAsia" w:hAnsiTheme="minorHAnsi" w:cstheme="minorBidi"/>
          <w:b w:val="0"/>
          <w:noProof/>
          <w:szCs w:val="22"/>
          <w:lang w:val="nl-BE" w:eastAsia="nl-BE"/>
        </w:rPr>
      </w:pPr>
      <w:r w:rsidRPr="00425C33">
        <w:rPr>
          <w:rFonts w:cs="Arial"/>
          <w:szCs w:val="22"/>
        </w:rPr>
        <w:fldChar w:fldCharType="begin"/>
      </w:r>
      <w:r w:rsidR="005B40AE" w:rsidRPr="00425C33">
        <w:rPr>
          <w:rFonts w:cs="Arial"/>
          <w:szCs w:val="22"/>
        </w:rPr>
        <w:instrText xml:space="preserve"> TOC \o "1-2" \h \z \u </w:instrText>
      </w:r>
      <w:r w:rsidRPr="00425C33">
        <w:rPr>
          <w:rFonts w:cs="Arial"/>
          <w:szCs w:val="22"/>
        </w:rPr>
        <w:fldChar w:fldCharType="separate"/>
      </w:r>
      <w:hyperlink w:anchor="_Toc68955682" w:history="1">
        <w:r w:rsidR="00A5151F" w:rsidRPr="00165515">
          <w:rPr>
            <w:rStyle w:val="Hyperlink"/>
            <w:noProof/>
          </w:rPr>
          <w:t>1</w:t>
        </w:r>
        <w:r w:rsidR="00A5151F">
          <w:rPr>
            <w:rFonts w:asciiTheme="minorHAnsi" w:eastAsiaTheme="minorEastAsia" w:hAnsiTheme="minorHAnsi" w:cstheme="minorBidi"/>
            <w:b w:val="0"/>
            <w:noProof/>
            <w:szCs w:val="22"/>
            <w:lang w:val="nl-BE" w:eastAsia="nl-BE"/>
          </w:rPr>
          <w:tab/>
        </w:r>
        <w:r w:rsidR="00A5151F" w:rsidRPr="00165515">
          <w:rPr>
            <w:rStyle w:val="Hyperlink"/>
            <w:noProof/>
          </w:rPr>
          <w:t>Inleidende kadering</w:t>
        </w:r>
        <w:r w:rsidR="00A5151F">
          <w:rPr>
            <w:noProof/>
            <w:webHidden/>
          </w:rPr>
          <w:tab/>
        </w:r>
        <w:r w:rsidR="00A5151F">
          <w:rPr>
            <w:noProof/>
            <w:webHidden/>
          </w:rPr>
          <w:fldChar w:fldCharType="begin"/>
        </w:r>
        <w:r w:rsidR="00A5151F">
          <w:rPr>
            <w:noProof/>
            <w:webHidden/>
          </w:rPr>
          <w:instrText xml:space="preserve"> PAGEREF _Toc68955682 \h </w:instrText>
        </w:r>
        <w:r w:rsidR="00A5151F">
          <w:rPr>
            <w:noProof/>
            <w:webHidden/>
          </w:rPr>
        </w:r>
        <w:r w:rsidR="00A5151F">
          <w:rPr>
            <w:noProof/>
            <w:webHidden/>
          </w:rPr>
          <w:fldChar w:fldCharType="separate"/>
        </w:r>
        <w:r w:rsidR="00A5151F">
          <w:rPr>
            <w:noProof/>
            <w:webHidden/>
          </w:rPr>
          <w:t>3</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83" w:history="1">
        <w:r w:rsidR="00A5151F" w:rsidRPr="00165515">
          <w:rPr>
            <w:rStyle w:val="Hyperlink"/>
            <w:noProof/>
          </w:rPr>
          <w:t>1.1</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Maatschappelijke situering</w:t>
        </w:r>
        <w:r w:rsidR="00A5151F">
          <w:rPr>
            <w:noProof/>
            <w:webHidden/>
          </w:rPr>
          <w:tab/>
        </w:r>
        <w:r w:rsidR="00A5151F">
          <w:rPr>
            <w:noProof/>
            <w:webHidden/>
          </w:rPr>
          <w:fldChar w:fldCharType="begin"/>
        </w:r>
        <w:r w:rsidR="00A5151F">
          <w:rPr>
            <w:noProof/>
            <w:webHidden/>
          </w:rPr>
          <w:instrText xml:space="preserve"> PAGEREF _Toc68955683 \h </w:instrText>
        </w:r>
        <w:r w:rsidR="00A5151F">
          <w:rPr>
            <w:noProof/>
            <w:webHidden/>
          </w:rPr>
        </w:r>
        <w:r w:rsidR="00A5151F">
          <w:rPr>
            <w:noProof/>
            <w:webHidden/>
          </w:rPr>
          <w:fldChar w:fldCharType="separate"/>
        </w:r>
        <w:r w:rsidR="00A5151F">
          <w:rPr>
            <w:noProof/>
            <w:webHidden/>
          </w:rPr>
          <w:t>3</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84" w:history="1">
        <w:r w:rsidR="00A5151F" w:rsidRPr="00165515">
          <w:rPr>
            <w:rStyle w:val="Hyperlink"/>
            <w:noProof/>
          </w:rPr>
          <w:t>1.2</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De aanvragen en hun uitkomst</w:t>
        </w:r>
        <w:r w:rsidR="00A5151F">
          <w:rPr>
            <w:noProof/>
            <w:webHidden/>
          </w:rPr>
          <w:tab/>
        </w:r>
        <w:r w:rsidR="00A5151F">
          <w:rPr>
            <w:noProof/>
            <w:webHidden/>
          </w:rPr>
          <w:fldChar w:fldCharType="begin"/>
        </w:r>
        <w:r w:rsidR="00A5151F">
          <w:rPr>
            <w:noProof/>
            <w:webHidden/>
          </w:rPr>
          <w:instrText xml:space="preserve"> PAGEREF _Toc68955684 \h </w:instrText>
        </w:r>
        <w:r w:rsidR="00A5151F">
          <w:rPr>
            <w:noProof/>
            <w:webHidden/>
          </w:rPr>
        </w:r>
        <w:r w:rsidR="00A5151F">
          <w:rPr>
            <w:noProof/>
            <w:webHidden/>
          </w:rPr>
          <w:fldChar w:fldCharType="separate"/>
        </w:r>
        <w:r w:rsidR="00A5151F">
          <w:rPr>
            <w:noProof/>
            <w:webHidden/>
          </w:rPr>
          <w:t>3</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85" w:history="1">
        <w:r w:rsidR="00A5151F" w:rsidRPr="00165515">
          <w:rPr>
            <w:rStyle w:val="Hyperlink"/>
            <w:noProof/>
          </w:rPr>
          <w:t>1.3</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Organisatie</w:t>
        </w:r>
        <w:r w:rsidR="00A5151F">
          <w:rPr>
            <w:noProof/>
            <w:webHidden/>
          </w:rPr>
          <w:tab/>
        </w:r>
        <w:r w:rsidR="00A5151F">
          <w:rPr>
            <w:noProof/>
            <w:webHidden/>
          </w:rPr>
          <w:fldChar w:fldCharType="begin"/>
        </w:r>
        <w:r w:rsidR="00A5151F">
          <w:rPr>
            <w:noProof/>
            <w:webHidden/>
          </w:rPr>
          <w:instrText xml:space="preserve"> PAGEREF _Toc68955685 \h </w:instrText>
        </w:r>
        <w:r w:rsidR="00A5151F">
          <w:rPr>
            <w:noProof/>
            <w:webHidden/>
          </w:rPr>
        </w:r>
        <w:r w:rsidR="00A5151F">
          <w:rPr>
            <w:noProof/>
            <w:webHidden/>
          </w:rPr>
          <w:fldChar w:fldCharType="separate"/>
        </w:r>
        <w:r w:rsidR="00A5151F">
          <w:rPr>
            <w:noProof/>
            <w:webHidden/>
          </w:rPr>
          <w:t>4</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86" w:history="1">
        <w:r w:rsidR="00A5151F" w:rsidRPr="00165515">
          <w:rPr>
            <w:rStyle w:val="Hyperlink"/>
            <w:noProof/>
          </w:rPr>
          <w:t>1.4</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De fundamentele problematiek</w:t>
        </w:r>
        <w:r w:rsidR="00A5151F">
          <w:rPr>
            <w:noProof/>
            <w:webHidden/>
          </w:rPr>
          <w:tab/>
        </w:r>
        <w:r w:rsidR="00A5151F">
          <w:rPr>
            <w:noProof/>
            <w:webHidden/>
          </w:rPr>
          <w:fldChar w:fldCharType="begin"/>
        </w:r>
        <w:r w:rsidR="00A5151F">
          <w:rPr>
            <w:noProof/>
            <w:webHidden/>
          </w:rPr>
          <w:instrText xml:space="preserve"> PAGEREF _Toc68955686 \h </w:instrText>
        </w:r>
        <w:r w:rsidR="00A5151F">
          <w:rPr>
            <w:noProof/>
            <w:webHidden/>
          </w:rPr>
        </w:r>
        <w:r w:rsidR="00A5151F">
          <w:rPr>
            <w:noProof/>
            <w:webHidden/>
          </w:rPr>
          <w:fldChar w:fldCharType="separate"/>
        </w:r>
        <w:r w:rsidR="00A5151F">
          <w:rPr>
            <w:noProof/>
            <w:webHidden/>
          </w:rPr>
          <w:t>4</w:t>
        </w:r>
        <w:r w:rsidR="00A5151F">
          <w:rPr>
            <w:noProof/>
            <w:webHidden/>
          </w:rPr>
          <w:fldChar w:fldCharType="end"/>
        </w:r>
      </w:hyperlink>
    </w:p>
    <w:p w:rsidR="00A5151F" w:rsidRDefault="0058136D">
      <w:pPr>
        <w:pStyle w:val="TOC1"/>
        <w:tabs>
          <w:tab w:val="left" w:pos="360"/>
          <w:tab w:val="right" w:leader="dot" w:pos="14412"/>
        </w:tabs>
        <w:rPr>
          <w:rFonts w:asciiTheme="minorHAnsi" w:eastAsiaTheme="minorEastAsia" w:hAnsiTheme="minorHAnsi" w:cstheme="minorBidi"/>
          <w:b w:val="0"/>
          <w:noProof/>
          <w:szCs w:val="22"/>
          <w:lang w:val="nl-BE" w:eastAsia="nl-BE"/>
        </w:rPr>
      </w:pPr>
      <w:hyperlink w:anchor="_Toc68955687" w:history="1">
        <w:r w:rsidR="00A5151F" w:rsidRPr="00165515">
          <w:rPr>
            <w:rStyle w:val="Hyperlink"/>
            <w:noProof/>
          </w:rPr>
          <w:t>2</w:t>
        </w:r>
        <w:r w:rsidR="00A5151F">
          <w:rPr>
            <w:rFonts w:asciiTheme="minorHAnsi" w:eastAsiaTheme="minorEastAsia" w:hAnsiTheme="minorHAnsi" w:cstheme="minorBidi"/>
            <w:b w:val="0"/>
            <w:noProof/>
            <w:szCs w:val="22"/>
            <w:lang w:val="nl-BE" w:eastAsia="nl-BE"/>
          </w:rPr>
          <w:tab/>
        </w:r>
        <w:r w:rsidR="00A5151F" w:rsidRPr="00165515">
          <w:rPr>
            <w:rStyle w:val="Hyperlink"/>
            <w:noProof/>
          </w:rPr>
          <w:t>Structurele bijsturing in dossierbehandeling</w:t>
        </w:r>
        <w:r w:rsidR="00A5151F">
          <w:rPr>
            <w:noProof/>
            <w:webHidden/>
          </w:rPr>
          <w:tab/>
        </w:r>
        <w:r w:rsidR="00A5151F">
          <w:rPr>
            <w:noProof/>
            <w:webHidden/>
          </w:rPr>
          <w:fldChar w:fldCharType="begin"/>
        </w:r>
        <w:r w:rsidR="00A5151F">
          <w:rPr>
            <w:noProof/>
            <w:webHidden/>
          </w:rPr>
          <w:instrText xml:space="preserve"> PAGEREF _Toc68955687 \h </w:instrText>
        </w:r>
        <w:r w:rsidR="00A5151F">
          <w:rPr>
            <w:noProof/>
            <w:webHidden/>
          </w:rPr>
        </w:r>
        <w:r w:rsidR="00A5151F">
          <w:rPr>
            <w:noProof/>
            <w:webHidden/>
          </w:rPr>
          <w:fldChar w:fldCharType="separate"/>
        </w:r>
        <w:r w:rsidR="00A5151F">
          <w:rPr>
            <w:noProof/>
            <w:webHidden/>
          </w:rPr>
          <w:t>6</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88" w:history="1">
        <w:r w:rsidR="00A5151F" w:rsidRPr="00165515">
          <w:rPr>
            <w:rStyle w:val="Hyperlink"/>
            <w:noProof/>
          </w:rPr>
          <w:t>2.1</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Procedurele aanpak</w:t>
        </w:r>
        <w:r w:rsidR="00A5151F">
          <w:rPr>
            <w:noProof/>
            <w:webHidden/>
          </w:rPr>
          <w:tab/>
        </w:r>
        <w:r w:rsidR="00A5151F">
          <w:rPr>
            <w:noProof/>
            <w:webHidden/>
          </w:rPr>
          <w:fldChar w:fldCharType="begin"/>
        </w:r>
        <w:r w:rsidR="00A5151F">
          <w:rPr>
            <w:noProof/>
            <w:webHidden/>
          </w:rPr>
          <w:instrText xml:space="preserve"> PAGEREF _Toc68955688 \h </w:instrText>
        </w:r>
        <w:r w:rsidR="00A5151F">
          <w:rPr>
            <w:noProof/>
            <w:webHidden/>
          </w:rPr>
        </w:r>
        <w:r w:rsidR="00A5151F">
          <w:rPr>
            <w:noProof/>
            <w:webHidden/>
          </w:rPr>
          <w:fldChar w:fldCharType="separate"/>
        </w:r>
        <w:r w:rsidR="00A5151F">
          <w:rPr>
            <w:noProof/>
            <w:webHidden/>
          </w:rPr>
          <w:t>6</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89" w:history="1">
        <w:r w:rsidR="00A5151F" w:rsidRPr="00165515">
          <w:rPr>
            <w:rStyle w:val="Hyperlink"/>
            <w:noProof/>
          </w:rPr>
          <w:t>2.2</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Communicatie</w:t>
        </w:r>
        <w:r w:rsidR="00A5151F">
          <w:rPr>
            <w:noProof/>
            <w:webHidden/>
          </w:rPr>
          <w:tab/>
        </w:r>
        <w:r w:rsidR="00A5151F">
          <w:rPr>
            <w:noProof/>
            <w:webHidden/>
          </w:rPr>
          <w:fldChar w:fldCharType="begin"/>
        </w:r>
        <w:r w:rsidR="00A5151F">
          <w:rPr>
            <w:noProof/>
            <w:webHidden/>
          </w:rPr>
          <w:instrText xml:space="preserve"> PAGEREF _Toc68955689 \h </w:instrText>
        </w:r>
        <w:r w:rsidR="00A5151F">
          <w:rPr>
            <w:noProof/>
            <w:webHidden/>
          </w:rPr>
        </w:r>
        <w:r w:rsidR="00A5151F">
          <w:rPr>
            <w:noProof/>
            <w:webHidden/>
          </w:rPr>
          <w:fldChar w:fldCharType="separate"/>
        </w:r>
        <w:r w:rsidR="00A5151F">
          <w:rPr>
            <w:noProof/>
            <w:webHidden/>
          </w:rPr>
          <w:t>8</w:t>
        </w:r>
        <w:r w:rsidR="00A5151F">
          <w:rPr>
            <w:noProof/>
            <w:webHidden/>
          </w:rPr>
          <w:fldChar w:fldCharType="end"/>
        </w:r>
      </w:hyperlink>
    </w:p>
    <w:p w:rsidR="00A5151F" w:rsidRDefault="0058136D">
      <w:pPr>
        <w:pStyle w:val="TOC1"/>
        <w:tabs>
          <w:tab w:val="left" w:pos="360"/>
          <w:tab w:val="right" w:leader="dot" w:pos="14412"/>
        </w:tabs>
        <w:rPr>
          <w:rFonts w:asciiTheme="minorHAnsi" w:eastAsiaTheme="minorEastAsia" w:hAnsiTheme="minorHAnsi" w:cstheme="minorBidi"/>
          <w:b w:val="0"/>
          <w:noProof/>
          <w:szCs w:val="22"/>
          <w:lang w:val="nl-BE" w:eastAsia="nl-BE"/>
        </w:rPr>
      </w:pPr>
      <w:hyperlink w:anchor="_Toc68955690" w:history="1">
        <w:r w:rsidR="00A5151F" w:rsidRPr="00165515">
          <w:rPr>
            <w:rStyle w:val="Hyperlink"/>
            <w:noProof/>
          </w:rPr>
          <w:t>3</w:t>
        </w:r>
        <w:r w:rsidR="00A5151F">
          <w:rPr>
            <w:rFonts w:asciiTheme="minorHAnsi" w:eastAsiaTheme="minorEastAsia" w:hAnsiTheme="minorHAnsi" w:cstheme="minorBidi"/>
            <w:b w:val="0"/>
            <w:noProof/>
            <w:szCs w:val="22"/>
            <w:lang w:val="nl-BE" w:eastAsia="nl-BE"/>
          </w:rPr>
          <w:tab/>
        </w:r>
        <w:r w:rsidR="00A5151F" w:rsidRPr="00165515">
          <w:rPr>
            <w:rStyle w:val="Hyperlink"/>
            <w:noProof/>
          </w:rPr>
          <w:t>Inzet van een tijdelijke Task Force</w:t>
        </w:r>
        <w:r w:rsidR="00A5151F">
          <w:rPr>
            <w:noProof/>
            <w:webHidden/>
          </w:rPr>
          <w:tab/>
        </w:r>
        <w:r w:rsidR="00A5151F">
          <w:rPr>
            <w:noProof/>
            <w:webHidden/>
          </w:rPr>
          <w:fldChar w:fldCharType="begin"/>
        </w:r>
        <w:r w:rsidR="00A5151F">
          <w:rPr>
            <w:noProof/>
            <w:webHidden/>
          </w:rPr>
          <w:instrText xml:space="preserve"> PAGEREF _Toc68955690 \h </w:instrText>
        </w:r>
        <w:r w:rsidR="00A5151F">
          <w:rPr>
            <w:noProof/>
            <w:webHidden/>
          </w:rPr>
        </w:r>
        <w:r w:rsidR="00A5151F">
          <w:rPr>
            <w:noProof/>
            <w:webHidden/>
          </w:rPr>
          <w:fldChar w:fldCharType="separate"/>
        </w:r>
        <w:r w:rsidR="00A5151F">
          <w:rPr>
            <w:noProof/>
            <w:webHidden/>
          </w:rPr>
          <w:t>9</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91" w:history="1">
        <w:r w:rsidR="00A5151F" w:rsidRPr="00165515">
          <w:rPr>
            <w:rStyle w:val="Hyperlink"/>
            <w:noProof/>
          </w:rPr>
          <w:t>3.1</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Basisprincipes</w:t>
        </w:r>
        <w:r w:rsidR="00A5151F">
          <w:rPr>
            <w:noProof/>
            <w:webHidden/>
          </w:rPr>
          <w:tab/>
        </w:r>
        <w:r w:rsidR="00A5151F">
          <w:rPr>
            <w:noProof/>
            <w:webHidden/>
          </w:rPr>
          <w:fldChar w:fldCharType="begin"/>
        </w:r>
        <w:r w:rsidR="00A5151F">
          <w:rPr>
            <w:noProof/>
            <w:webHidden/>
          </w:rPr>
          <w:instrText xml:space="preserve"> PAGEREF _Toc68955691 \h </w:instrText>
        </w:r>
        <w:r w:rsidR="00A5151F">
          <w:rPr>
            <w:noProof/>
            <w:webHidden/>
          </w:rPr>
        </w:r>
        <w:r w:rsidR="00A5151F">
          <w:rPr>
            <w:noProof/>
            <w:webHidden/>
          </w:rPr>
          <w:fldChar w:fldCharType="separate"/>
        </w:r>
        <w:r w:rsidR="00A5151F">
          <w:rPr>
            <w:noProof/>
            <w:webHidden/>
          </w:rPr>
          <w:t>9</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92" w:history="1">
        <w:r w:rsidR="00A5151F" w:rsidRPr="00165515">
          <w:rPr>
            <w:rStyle w:val="Hyperlink"/>
            <w:noProof/>
          </w:rPr>
          <w:t>3.2</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Door TF af te handelen dossiers</w:t>
        </w:r>
        <w:r w:rsidR="00A5151F">
          <w:rPr>
            <w:noProof/>
            <w:webHidden/>
          </w:rPr>
          <w:tab/>
        </w:r>
        <w:r w:rsidR="00A5151F">
          <w:rPr>
            <w:noProof/>
            <w:webHidden/>
          </w:rPr>
          <w:fldChar w:fldCharType="begin"/>
        </w:r>
        <w:r w:rsidR="00A5151F">
          <w:rPr>
            <w:noProof/>
            <w:webHidden/>
          </w:rPr>
          <w:instrText xml:space="preserve"> PAGEREF _Toc68955692 \h </w:instrText>
        </w:r>
        <w:r w:rsidR="00A5151F">
          <w:rPr>
            <w:noProof/>
            <w:webHidden/>
          </w:rPr>
        </w:r>
        <w:r w:rsidR="00A5151F">
          <w:rPr>
            <w:noProof/>
            <w:webHidden/>
          </w:rPr>
          <w:fldChar w:fldCharType="separate"/>
        </w:r>
        <w:r w:rsidR="00A5151F">
          <w:rPr>
            <w:noProof/>
            <w:webHidden/>
          </w:rPr>
          <w:t>11</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93" w:history="1">
        <w:r w:rsidR="00A5151F" w:rsidRPr="00165515">
          <w:rPr>
            <w:rStyle w:val="Hyperlink"/>
            <w:noProof/>
          </w:rPr>
          <w:t>3.3</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Spreiding in de tijd</w:t>
        </w:r>
        <w:r w:rsidR="00A5151F">
          <w:rPr>
            <w:noProof/>
            <w:webHidden/>
          </w:rPr>
          <w:tab/>
        </w:r>
        <w:r w:rsidR="00A5151F">
          <w:rPr>
            <w:noProof/>
            <w:webHidden/>
          </w:rPr>
          <w:fldChar w:fldCharType="begin"/>
        </w:r>
        <w:r w:rsidR="00A5151F">
          <w:rPr>
            <w:noProof/>
            <w:webHidden/>
          </w:rPr>
          <w:instrText xml:space="preserve"> PAGEREF _Toc68955693 \h </w:instrText>
        </w:r>
        <w:r w:rsidR="00A5151F">
          <w:rPr>
            <w:noProof/>
            <w:webHidden/>
          </w:rPr>
        </w:r>
        <w:r w:rsidR="00A5151F">
          <w:rPr>
            <w:noProof/>
            <w:webHidden/>
          </w:rPr>
          <w:fldChar w:fldCharType="separate"/>
        </w:r>
        <w:r w:rsidR="00A5151F">
          <w:rPr>
            <w:noProof/>
            <w:webHidden/>
          </w:rPr>
          <w:t>14</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94" w:history="1">
        <w:r w:rsidR="00A5151F" w:rsidRPr="00165515">
          <w:rPr>
            <w:rStyle w:val="Hyperlink"/>
            <w:noProof/>
          </w:rPr>
          <w:t>3.4</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Vereiste resources</w:t>
        </w:r>
        <w:r w:rsidR="00A5151F">
          <w:rPr>
            <w:noProof/>
            <w:webHidden/>
          </w:rPr>
          <w:tab/>
        </w:r>
        <w:r w:rsidR="00A5151F">
          <w:rPr>
            <w:noProof/>
            <w:webHidden/>
          </w:rPr>
          <w:fldChar w:fldCharType="begin"/>
        </w:r>
        <w:r w:rsidR="00A5151F">
          <w:rPr>
            <w:noProof/>
            <w:webHidden/>
          </w:rPr>
          <w:instrText xml:space="preserve"> PAGEREF _Toc68955694 \h </w:instrText>
        </w:r>
        <w:r w:rsidR="00A5151F">
          <w:rPr>
            <w:noProof/>
            <w:webHidden/>
          </w:rPr>
        </w:r>
        <w:r w:rsidR="00A5151F">
          <w:rPr>
            <w:noProof/>
            <w:webHidden/>
          </w:rPr>
          <w:fldChar w:fldCharType="separate"/>
        </w:r>
        <w:r w:rsidR="00A5151F">
          <w:rPr>
            <w:noProof/>
            <w:webHidden/>
          </w:rPr>
          <w:t>15</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95" w:history="1">
        <w:r w:rsidR="00A5151F" w:rsidRPr="00165515">
          <w:rPr>
            <w:rStyle w:val="Hyperlink"/>
            <w:noProof/>
          </w:rPr>
          <w:t>3.5</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Mobilisering resources: praktische uitwerking en budgettaire impact</w:t>
        </w:r>
        <w:r w:rsidR="00A5151F">
          <w:rPr>
            <w:noProof/>
            <w:webHidden/>
          </w:rPr>
          <w:tab/>
        </w:r>
        <w:r w:rsidR="00A5151F">
          <w:rPr>
            <w:noProof/>
            <w:webHidden/>
          </w:rPr>
          <w:fldChar w:fldCharType="begin"/>
        </w:r>
        <w:r w:rsidR="00A5151F">
          <w:rPr>
            <w:noProof/>
            <w:webHidden/>
          </w:rPr>
          <w:instrText xml:space="preserve"> PAGEREF _Toc68955695 \h </w:instrText>
        </w:r>
        <w:r w:rsidR="00A5151F">
          <w:rPr>
            <w:noProof/>
            <w:webHidden/>
          </w:rPr>
        </w:r>
        <w:r w:rsidR="00A5151F">
          <w:rPr>
            <w:noProof/>
            <w:webHidden/>
          </w:rPr>
          <w:fldChar w:fldCharType="separate"/>
        </w:r>
        <w:r w:rsidR="00A5151F">
          <w:rPr>
            <w:noProof/>
            <w:webHidden/>
          </w:rPr>
          <w:t>16</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96" w:history="1">
        <w:r w:rsidR="00A5151F" w:rsidRPr="00165515">
          <w:rPr>
            <w:rStyle w:val="Hyperlink"/>
            <w:noProof/>
          </w:rPr>
          <w:t>3.6</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Risico’s en opvolging</w:t>
        </w:r>
        <w:r w:rsidR="00A5151F">
          <w:rPr>
            <w:noProof/>
            <w:webHidden/>
          </w:rPr>
          <w:tab/>
        </w:r>
        <w:r w:rsidR="00A5151F">
          <w:rPr>
            <w:noProof/>
            <w:webHidden/>
          </w:rPr>
          <w:fldChar w:fldCharType="begin"/>
        </w:r>
        <w:r w:rsidR="00A5151F">
          <w:rPr>
            <w:noProof/>
            <w:webHidden/>
          </w:rPr>
          <w:instrText xml:space="preserve"> PAGEREF _Toc68955696 \h </w:instrText>
        </w:r>
        <w:r w:rsidR="00A5151F">
          <w:rPr>
            <w:noProof/>
            <w:webHidden/>
          </w:rPr>
        </w:r>
        <w:r w:rsidR="00A5151F">
          <w:rPr>
            <w:noProof/>
            <w:webHidden/>
          </w:rPr>
          <w:fldChar w:fldCharType="separate"/>
        </w:r>
        <w:r w:rsidR="00A5151F">
          <w:rPr>
            <w:noProof/>
            <w:webHidden/>
          </w:rPr>
          <w:t>18</w:t>
        </w:r>
        <w:r w:rsidR="00A5151F">
          <w:rPr>
            <w:noProof/>
            <w:webHidden/>
          </w:rPr>
          <w:fldChar w:fldCharType="end"/>
        </w:r>
      </w:hyperlink>
    </w:p>
    <w:p w:rsidR="00A5151F" w:rsidRDefault="0058136D">
      <w:pPr>
        <w:pStyle w:val="TOC1"/>
        <w:tabs>
          <w:tab w:val="left" w:pos="360"/>
          <w:tab w:val="right" w:leader="dot" w:pos="14412"/>
        </w:tabs>
        <w:rPr>
          <w:rFonts w:asciiTheme="minorHAnsi" w:eastAsiaTheme="minorEastAsia" w:hAnsiTheme="minorHAnsi" w:cstheme="minorBidi"/>
          <w:b w:val="0"/>
          <w:noProof/>
          <w:szCs w:val="22"/>
          <w:lang w:val="nl-BE" w:eastAsia="nl-BE"/>
        </w:rPr>
      </w:pPr>
      <w:hyperlink w:anchor="_Toc68955697" w:history="1">
        <w:r w:rsidR="00A5151F" w:rsidRPr="00165515">
          <w:rPr>
            <w:rStyle w:val="Hyperlink"/>
            <w:noProof/>
          </w:rPr>
          <w:t>4</w:t>
        </w:r>
        <w:r w:rsidR="00A5151F">
          <w:rPr>
            <w:rFonts w:asciiTheme="minorHAnsi" w:eastAsiaTheme="minorEastAsia" w:hAnsiTheme="minorHAnsi" w:cstheme="minorBidi"/>
            <w:b w:val="0"/>
            <w:noProof/>
            <w:szCs w:val="22"/>
            <w:lang w:val="nl-BE" w:eastAsia="nl-BE"/>
          </w:rPr>
          <w:tab/>
        </w:r>
        <w:r w:rsidR="00A5151F" w:rsidRPr="00165515">
          <w:rPr>
            <w:rStyle w:val="Hyperlink"/>
            <w:noProof/>
          </w:rPr>
          <w:t>Mogelijke wetsaanpassingen</w:t>
        </w:r>
        <w:r w:rsidR="00A5151F">
          <w:rPr>
            <w:noProof/>
            <w:webHidden/>
          </w:rPr>
          <w:tab/>
        </w:r>
        <w:r w:rsidR="00A5151F">
          <w:rPr>
            <w:noProof/>
            <w:webHidden/>
          </w:rPr>
          <w:fldChar w:fldCharType="begin"/>
        </w:r>
        <w:r w:rsidR="00A5151F">
          <w:rPr>
            <w:noProof/>
            <w:webHidden/>
          </w:rPr>
          <w:instrText xml:space="preserve"> PAGEREF _Toc68955697 \h </w:instrText>
        </w:r>
        <w:r w:rsidR="00A5151F">
          <w:rPr>
            <w:noProof/>
            <w:webHidden/>
          </w:rPr>
        </w:r>
        <w:r w:rsidR="00A5151F">
          <w:rPr>
            <w:noProof/>
            <w:webHidden/>
          </w:rPr>
          <w:fldChar w:fldCharType="separate"/>
        </w:r>
        <w:r w:rsidR="00A5151F">
          <w:rPr>
            <w:noProof/>
            <w:webHidden/>
          </w:rPr>
          <w:t>19</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98" w:history="1">
        <w:r w:rsidR="00A5151F" w:rsidRPr="00165515">
          <w:rPr>
            <w:rStyle w:val="Hyperlink"/>
            <w:noProof/>
          </w:rPr>
          <w:t>4.1</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Algemeen</w:t>
        </w:r>
        <w:r w:rsidR="00A5151F">
          <w:rPr>
            <w:noProof/>
            <w:webHidden/>
          </w:rPr>
          <w:tab/>
        </w:r>
        <w:r w:rsidR="00A5151F">
          <w:rPr>
            <w:noProof/>
            <w:webHidden/>
          </w:rPr>
          <w:fldChar w:fldCharType="begin"/>
        </w:r>
        <w:r w:rsidR="00A5151F">
          <w:rPr>
            <w:noProof/>
            <w:webHidden/>
          </w:rPr>
          <w:instrText xml:space="preserve"> PAGEREF _Toc68955698 \h </w:instrText>
        </w:r>
        <w:r w:rsidR="00A5151F">
          <w:rPr>
            <w:noProof/>
            <w:webHidden/>
          </w:rPr>
        </w:r>
        <w:r w:rsidR="00A5151F">
          <w:rPr>
            <w:noProof/>
            <w:webHidden/>
          </w:rPr>
          <w:fldChar w:fldCharType="separate"/>
        </w:r>
        <w:r w:rsidR="00A5151F">
          <w:rPr>
            <w:noProof/>
            <w:webHidden/>
          </w:rPr>
          <w:t>19</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699" w:history="1">
        <w:r w:rsidR="00A5151F" w:rsidRPr="00165515">
          <w:rPr>
            <w:rStyle w:val="Hyperlink"/>
            <w:noProof/>
          </w:rPr>
          <w:t>4.2</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Eventuele voorstellen</w:t>
        </w:r>
        <w:r w:rsidR="00A5151F">
          <w:rPr>
            <w:noProof/>
            <w:webHidden/>
          </w:rPr>
          <w:tab/>
        </w:r>
        <w:r w:rsidR="00A5151F">
          <w:rPr>
            <w:noProof/>
            <w:webHidden/>
          </w:rPr>
          <w:fldChar w:fldCharType="begin"/>
        </w:r>
        <w:r w:rsidR="00A5151F">
          <w:rPr>
            <w:noProof/>
            <w:webHidden/>
          </w:rPr>
          <w:instrText xml:space="preserve"> PAGEREF _Toc68955699 \h </w:instrText>
        </w:r>
        <w:r w:rsidR="00A5151F">
          <w:rPr>
            <w:noProof/>
            <w:webHidden/>
          </w:rPr>
        </w:r>
        <w:r w:rsidR="00A5151F">
          <w:rPr>
            <w:noProof/>
            <w:webHidden/>
          </w:rPr>
          <w:fldChar w:fldCharType="separate"/>
        </w:r>
        <w:r w:rsidR="00A5151F">
          <w:rPr>
            <w:noProof/>
            <w:webHidden/>
          </w:rPr>
          <w:t>19</w:t>
        </w:r>
        <w:r w:rsidR="00A5151F">
          <w:rPr>
            <w:noProof/>
            <w:webHidden/>
          </w:rPr>
          <w:fldChar w:fldCharType="end"/>
        </w:r>
      </w:hyperlink>
    </w:p>
    <w:p w:rsidR="00A5151F" w:rsidRDefault="0058136D">
      <w:pPr>
        <w:pStyle w:val="TOC1"/>
        <w:tabs>
          <w:tab w:val="left" w:pos="360"/>
          <w:tab w:val="right" w:leader="dot" w:pos="14412"/>
        </w:tabs>
        <w:rPr>
          <w:rFonts w:asciiTheme="minorHAnsi" w:eastAsiaTheme="minorEastAsia" w:hAnsiTheme="minorHAnsi" w:cstheme="minorBidi"/>
          <w:b w:val="0"/>
          <w:noProof/>
          <w:szCs w:val="22"/>
          <w:lang w:val="nl-BE" w:eastAsia="nl-BE"/>
        </w:rPr>
      </w:pPr>
      <w:hyperlink w:anchor="_Toc68955700" w:history="1">
        <w:r w:rsidR="00A5151F" w:rsidRPr="00165515">
          <w:rPr>
            <w:rStyle w:val="Hyperlink"/>
            <w:noProof/>
          </w:rPr>
          <w:t>5</w:t>
        </w:r>
        <w:r w:rsidR="00A5151F">
          <w:rPr>
            <w:rFonts w:asciiTheme="minorHAnsi" w:eastAsiaTheme="minorEastAsia" w:hAnsiTheme="minorHAnsi" w:cstheme="minorBidi"/>
            <w:b w:val="0"/>
            <w:noProof/>
            <w:szCs w:val="22"/>
            <w:lang w:val="nl-BE" w:eastAsia="nl-BE"/>
          </w:rPr>
          <w:tab/>
        </w:r>
        <w:r w:rsidR="00A5151F" w:rsidRPr="00165515">
          <w:rPr>
            <w:rStyle w:val="Hyperlink"/>
            <w:noProof/>
          </w:rPr>
          <w:t>BIJLAGEN</w:t>
        </w:r>
        <w:r w:rsidR="00A5151F">
          <w:rPr>
            <w:noProof/>
            <w:webHidden/>
          </w:rPr>
          <w:tab/>
        </w:r>
        <w:r w:rsidR="00A5151F">
          <w:rPr>
            <w:noProof/>
            <w:webHidden/>
          </w:rPr>
          <w:fldChar w:fldCharType="begin"/>
        </w:r>
        <w:r w:rsidR="00A5151F">
          <w:rPr>
            <w:noProof/>
            <w:webHidden/>
          </w:rPr>
          <w:instrText xml:space="preserve"> PAGEREF _Toc68955700 \h </w:instrText>
        </w:r>
        <w:r w:rsidR="00A5151F">
          <w:rPr>
            <w:noProof/>
            <w:webHidden/>
          </w:rPr>
        </w:r>
        <w:r w:rsidR="00A5151F">
          <w:rPr>
            <w:noProof/>
            <w:webHidden/>
          </w:rPr>
          <w:fldChar w:fldCharType="separate"/>
        </w:r>
        <w:r w:rsidR="00A5151F">
          <w:rPr>
            <w:noProof/>
            <w:webHidden/>
          </w:rPr>
          <w:t>22</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701" w:history="1">
        <w:r w:rsidR="00A5151F" w:rsidRPr="00165515">
          <w:rPr>
            <w:rStyle w:val="Hyperlink"/>
            <w:noProof/>
          </w:rPr>
          <w:t>5.1</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Task Force – onderliggende redenering van de impact voor schadevergoedingen</w:t>
        </w:r>
        <w:r w:rsidR="00A5151F">
          <w:rPr>
            <w:noProof/>
            <w:webHidden/>
          </w:rPr>
          <w:tab/>
        </w:r>
        <w:r w:rsidR="00A5151F">
          <w:rPr>
            <w:noProof/>
            <w:webHidden/>
          </w:rPr>
          <w:fldChar w:fldCharType="begin"/>
        </w:r>
        <w:r w:rsidR="00A5151F">
          <w:rPr>
            <w:noProof/>
            <w:webHidden/>
          </w:rPr>
          <w:instrText xml:space="preserve"> PAGEREF _Toc68955701 \h </w:instrText>
        </w:r>
        <w:r w:rsidR="00A5151F">
          <w:rPr>
            <w:noProof/>
            <w:webHidden/>
          </w:rPr>
        </w:r>
        <w:r w:rsidR="00A5151F">
          <w:rPr>
            <w:noProof/>
            <w:webHidden/>
          </w:rPr>
          <w:fldChar w:fldCharType="separate"/>
        </w:r>
        <w:r w:rsidR="00A5151F">
          <w:rPr>
            <w:noProof/>
            <w:webHidden/>
          </w:rPr>
          <w:t>22</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702" w:history="1">
        <w:r w:rsidR="00A5151F" w:rsidRPr="00165515">
          <w:rPr>
            <w:rStyle w:val="Hyperlink"/>
            <w:noProof/>
          </w:rPr>
          <w:t>5.2</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Task Force – berekening vereiste resources</w:t>
        </w:r>
        <w:r w:rsidR="00A5151F">
          <w:rPr>
            <w:noProof/>
            <w:webHidden/>
          </w:rPr>
          <w:tab/>
        </w:r>
        <w:r w:rsidR="00A5151F">
          <w:rPr>
            <w:noProof/>
            <w:webHidden/>
          </w:rPr>
          <w:fldChar w:fldCharType="begin"/>
        </w:r>
        <w:r w:rsidR="00A5151F">
          <w:rPr>
            <w:noProof/>
            <w:webHidden/>
          </w:rPr>
          <w:instrText xml:space="preserve"> PAGEREF _Toc68955702 \h </w:instrText>
        </w:r>
        <w:r w:rsidR="00A5151F">
          <w:rPr>
            <w:noProof/>
            <w:webHidden/>
          </w:rPr>
        </w:r>
        <w:r w:rsidR="00A5151F">
          <w:rPr>
            <w:noProof/>
            <w:webHidden/>
          </w:rPr>
          <w:fldChar w:fldCharType="separate"/>
        </w:r>
        <w:r w:rsidR="00A5151F">
          <w:rPr>
            <w:noProof/>
            <w:webHidden/>
          </w:rPr>
          <w:t>23</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703" w:history="1">
        <w:r w:rsidR="00A5151F" w:rsidRPr="00165515">
          <w:rPr>
            <w:rStyle w:val="Hyperlink"/>
            <w:noProof/>
          </w:rPr>
          <w:t>5.3</w:t>
        </w:r>
        <w:r w:rsidR="00A5151F">
          <w:rPr>
            <w:rFonts w:asciiTheme="minorHAnsi" w:eastAsiaTheme="minorEastAsia" w:hAnsiTheme="minorHAnsi" w:cstheme="minorBidi"/>
            <w:noProof/>
            <w:sz w:val="22"/>
            <w:szCs w:val="22"/>
            <w:lang w:val="nl-BE" w:eastAsia="nl-BE"/>
          </w:rPr>
          <w:tab/>
        </w:r>
        <w:r w:rsidR="00A5151F" w:rsidRPr="00165515">
          <w:rPr>
            <w:rStyle w:val="Hyperlink"/>
            <w:rFonts w:cs="Arial"/>
            <w:noProof/>
          </w:rPr>
          <w:t>Task Force – concrete acties rond opstart in eerste semester van 2021</w:t>
        </w:r>
        <w:r w:rsidR="00A5151F">
          <w:rPr>
            <w:noProof/>
            <w:webHidden/>
          </w:rPr>
          <w:tab/>
        </w:r>
        <w:r w:rsidR="00A5151F">
          <w:rPr>
            <w:noProof/>
            <w:webHidden/>
          </w:rPr>
          <w:fldChar w:fldCharType="begin"/>
        </w:r>
        <w:r w:rsidR="00A5151F">
          <w:rPr>
            <w:noProof/>
            <w:webHidden/>
          </w:rPr>
          <w:instrText xml:space="preserve"> PAGEREF _Toc68955703 \h </w:instrText>
        </w:r>
        <w:r w:rsidR="00A5151F">
          <w:rPr>
            <w:noProof/>
            <w:webHidden/>
          </w:rPr>
        </w:r>
        <w:r w:rsidR="00A5151F">
          <w:rPr>
            <w:noProof/>
            <w:webHidden/>
          </w:rPr>
          <w:fldChar w:fldCharType="separate"/>
        </w:r>
        <w:r w:rsidR="00A5151F">
          <w:rPr>
            <w:noProof/>
            <w:webHidden/>
          </w:rPr>
          <w:t>24</w:t>
        </w:r>
        <w:r w:rsidR="00A5151F">
          <w:rPr>
            <w:noProof/>
            <w:webHidden/>
          </w:rPr>
          <w:fldChar w:fldCharType="end"/>
        </w:r>
      </w:hyperlink>
    </w:p>
    <w:p w:rsidR="00A5151F" w:rsidRDefault="0058136D">
      <w:pPr>
        <w:pStyle w:val="TOC2"/>
        <w:tabs>
          <w:tab w:val="left" w:pos="720"/>
          <w:tab w:val="right" w:leader="dot" w:pos="14412"/>
        </w:tabs>
        <w:rPr>
          <w:rFonts w:asciiTheme="minorHAnsi" w:eastAsiaTheme="minorEastAsia" w:hAnsiTheme="minorHAnsi" w:cstheme="minorBidi"/>
          <w:noProof/>
          <w:sz w:val="22"/>
          <w:szCs w:val="22"/>
          <w:lang w:val="nl-BE" w:eastAsia="nl-BE"/>
        </w:rPr>
      </w:pPr>
      <w:hyperlink w:anchor="_Toc68955704" w:history="1">
        <w:r w:rsidR="00A5151F" w:rsidRPr="00165515">
          <w:rPr>
            <w:rStyle w:val="Hyperlink"/>
            <w:noProof/>
            <w:lang w:val="nl-BE"/>
          </w:rPr>
          <w:t>5.4</w:t>
        </w:r>
        <w:r w:rsidR="00A5151F">
          <w:rPr>
            <w:rFonts w:asciiTheme="minorHAnsi" w:eastAsiaTheme="minorEastAsia" w:hAnsiTheme="minorHAnsi" w:cstheme="minorBidi"/>
            <w:noProof/>
            <w:sz w:val="22"/>
            <w:szCs w:val="22"/>
            <w:lang w:val="nl-BE" w:eastAsia="nl-BE"/>
          </w:rPr>
          <w:tab/>
        </w:r>
        <w:r w:rsidR="00A5151F" w:rsidRPr="00165515">
          <w:rPr>
            <w:rStyle w:val="Hyperlink"/>
            <w:rFonts w:cstheme="minorHAnsi"/>
            <w:noProof/>
            <w:lang w:val="nl-BE"/>
          </w:rPr>
          <w:t>Voorstel van wetsaanpassingen rond elektronische aanvraag en elektronische informatie – detailuitwerking</w:t>
        </w:r>
        <w:r w:rsidR="00A5151F">
          <w:rPr>
            <w:noProof/>
            <w:webHidden/>
          </w:rPr>
          <w:tab/>
        </w:r>
        <w:r w:rsidR="00A5151F">
          <w:rPr>
            <w:noProof/>
            <w:webHidden/>
          </w:rPr>
          <w:fldChar w:fldCharType="begin"/>
        </w:r>
        <w:r w:rsidR="00A5151F">
          <w:rPr>
            <w:noProof/>
            <w:webHidden/>
          </w:rPr>
          <w:instrText xml:space="preserve"> PAGEREF _Toc68955704 \h </w:instrText>
        </w:r>
        <w:r w:rsidR="00A5151F">
          <w:rPr>
            <w:noProof/>
            <w:webHidden/>
          </w:rPr>
        </w:r>
        <w:r w:rsidR="00A5151F">
          <w:rPr>
            <w:noProof/>
            <w:webHidden/>
          </w:rPr>
          <w:fldChar w:fldCharType="separate"/>
        </w:r>
        <w:r w:rsidR="00A5151F">
          <w:rPr>
            <w:noProof/>
            <w:webHidden/>
          </w:rPr>
          <w:t>26</w:t>
        </w:r>
        <w:r w:rsidR="00A5151F">
          <w:rPr>
            <w:noProof/>
            <w:webHidden/>
          </w:rPr>
          <w:fldChar w:fldCharType="end"/>
        </w:r>
      </w:hyperlink>
    </w:p>
    <w:p w:rsidR="0072659D" w:rsidRDefault="00335AA1" w:rsidP="0075574F">
      <w:pPr>
        <w:pStyle w:val="BodyText"/>
        <w:spacing w:after="0" w:line="360" w:lineRule="auto"/>
        <w:jc w:val="left"/>
        <w:rPr>
          <w:rFonts w:cs="Arial"/>
          <w:szCs w:val="18"/>
        </w:rPr>
      </w:pPr>
      <w:r w:rsidRPr="00425C33">
        <w:rPr>
          <w:rFonts w:cs="Arial"/>
          <w:sz w:val="22"/>
          <w:szCs w:val="22"/>
        </w:rPr>
        <w:fldChar w:fldCharType="end"/>
      </w:r>
      <w:bookmarkStart w:id="2" w:name="_Hlk56105074"/>
    </w:p>
    <w:bookmarkEnd w:id="2"/>
    <w:p w:rsidR="00D61D12" w:rsidRDefault="002917B6" w:rsidP="007E13E8">
      <w:pPr>
        <w:spacing w:after="0" w:line="360" w:lineRule="auto"/>
        <w:jc w:val="left"/>
        <w:rPr>
          <w:noProof/>
        </w:rPr>
      </w:pPr>
      <w:r>
        <w:rPr>
          <w:noProof/>
        </w:rPr>
        <w:t xml:space="preserve">    </w:t>
      </w:r>
    </w:p>
    <w:p w:rsidR="00065385" w:rsidRDefault="002917B6" w:rsidP="007E13E8">
      <w:pPr>
        <w:spacing w:after="0" w:line="360" w:lineRule="auto"/>
        <w:jc w:val="left"/>
        <w:rPr>
          <w:noProof/>
        </w:rPr>
      </w:pPr>
      <w:r>
        <w:rPr>
          <w:noProof/>
        </w:rPr>
        <w:t xml:space="preserve">                                                                    </w:t>
      </w:r>
    </w:p>
    <w:p w:rsidR="00065385" w:rsidRPr="008F2134" w:rsidRDefault="008519E1" w:rsidP="00065385">
      <w:pPr>
        <w:pStyle w:val="Heading1"/>
        <w:spacing w:line="240" w:lineRule="auto"/>
      </w:pPr>
      <w:bookmarkStart w:id="3" w:name="_Toc68955682"/>
      <w:r>
        <w:lastRenderedPageBreak/>
        <w:t>Inleidende k</w:t>
      </w:r>
      <w:r w:rsidR="00065385" w:rsidRPr="008F2134">
        <w:t>adering</w:t>
      </w:r>
      <w:bookmarkEnd w:id="3"/>
    </w:p>
    <w:p w:rsidR="00065385" w:rsidRPr="008F2134" w:rsidRDefault="00065385" w:rsidP="00065385">
      <w:pPr>
        <w:spacing w:after="0"/>
        <w:jc w:val="left"/>
        <w:rPr>
          <w:rFonts w:cs="Arial"/>
          <w:b/>
          <w:spacing w:val="-4"/>
          <w:kern w:val="28"/>
          <w:sz w:val="20"/>
        </w:rPr>
      </w:pPr>
    </w:p>
    <w:p w:rsidR="00065385" w:rsidRPr="008F2134" w:rsidRDefault="00065385" w:rsidP="00065385">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4" w:name="_Toc57147834"/>
      <w:bookmarkStart w:id="5" w:name="_Toc68955683"/>
      <w:r w:rsidRPr="008F2134">
        <w:rPr>
          <w:rFonts w:cs="Arial"/>
          <w:sz w:val="20"/>
        </w:rPr>
        <w:t>Maatschappelijke situering</w:t>
      </w:r>
      <w:bookmarkEnd w:id="4"/>
      <w:bookmarkEnd w:id="5"/>
    </w:p>
    <w:p w:rsidR="00065385" w:rsidRPr="008F2134" w:rsidRDefault="00065385" w:rsidP="00065385">
      <w:pPr>
        <w:spacing w:after="0"/>
        <w:jc w:val="left"/>
        <w:rPr>
          <w:rFonts w:cs="Arial"/>
          <w:sz w:val="20"/>
        </w:rPr>
      </w:pPr>
    </w:p>
    <w:p w:rsidR="00065385" w:rsidRPr="008F2134" w:rsidRDefault="00065385" w:rsidP="00065385">
      <w:pPr>
        <w:spacing w:after="0"/>
        <w:jc w:val="left"/>
        <w:rPr>
          <w:rFonts w:cs="Arial"/>
          <w:sz w:val="20"/>
        </w:rPr>
      </w:pPr>
      <w:r w:rsidRPr="008F2134">
        <w:rPr>
          <w:rFonts w:cs="Arial"/>
          <w:sz w:val="20"/>
        </w:rPr>
        <w:t>Het FMO is opgericht in het kader van de W</w:t>
      </w:r>
      <w:r w:rsidR="00114887">
        <w:rPr>
          <w:rFonts w:cs="Arial"/>
          <w:sz w:val="20"/>
        </w:rPr>
        <w:t>MO</w:t>
      </w:r>
      <w:r w:rsidRPr="008F2134">
        <w:rPr>
          <w:rFonts w:cs="Arial"/>
          <w:sz w:val="20"/>
        </w:rPr>
        <w:t xml:space="preserve"> van maart 2010. Die heeft als doel dat slachtoffers van een medisch ongeval recht wordt gedaan in een procedure die kosteloos, snel en eenvoudig is. Het slachtoffer van een medisch ongeval kan zich wenden tot  de rechtbank</w:t>
      </w:r>
      <w:r w:rsidR="00C0301D">
        <w:rPr>
          <w:rFonts w:cs="Arial"/>
          <w:sz w:val="20"/>
        </w:rPr>
        <w:t xml:space="preserve"> en/of</w:t>
      </w:r>
      <w:r w:rsidRPr="008F2134">
        <w:rPr>
          <w:rFonts w:cs="Arial"/>
          <w:sz w:val="20"/>
        </w:rPr>
        <w:t xml:space="preserve"> het FMO.  Bovendien is er in de praktijk steeds de mogelijkheid – zowel voor de aansprakelijke als voor de verzekeraar – om het slachtoffer informeel te vergoeden, dus zonder een tussenkomst van een rechtbank of het FMO. Dit kan bijv. na initiatief van de betrokken zorgverleners of na tussenkomst van anderen (</w:t>
      </w:r>
      <w:proofErr w:type="spellStart"/>
      <w:r w:rsidRPr="008F2134">
        <w:rPr>
          <w:rFonts w:cs="Arial"/>
          <w:sz w:val="20"/>
        </w:rPr>
        <w:t>ombudsdiensten</w:t>
      </w:r>
      <w:proofErr w:type="spellEnd"/>
      <w:r w:rsidRPr="008F2134">
        <w:rPr>
          <w:rFonts w:cs="Arial"/>
          <w:sz w:val="20"/>
        </w:rPr>
        <w:t xml:space="preserve"> ziekenhuizen, verzekeringsinstellingen, patiëntenorganisaties). </w:t>
      </w:r>
    </w:p>
    <w:p w:rsidR="00065385" w:rsidRPr="008F2134" w:rsidRDefault="00065385" w:rsidP="00065385">
      <w:pPr>
        <w:spacing w:after="0"/>
        <w:jc w:val="left"/>
        <w:rPr>
          <w:rFonts w:cs="Arial"/>
          <w:sz w:val="20"/>
        </w:rPr>
      </w:pPr>
    </w:p>
    <w:p w:rsidR="00065385" w:rsidRPr="008F2134" w:rsidRDefault="00065385" w:rsidP="00065385">
      <w:pPr>
        <w:spacing w:after="0"/>
        <w:jc w:val="left"/>
        <w:rPr>
          <w:rFonts w:cs="Arial"/>
          <w:sz w:val="20"/>
        </w:rPr>
      </w:pPr>
      <w:r w:rsidRPr="008F2134">
        <w:rPr>
          <w:rFonts w:cs="Arial"/>
          <w:sz w:val="20"/>
        </w:rPr>
        <w:t>Het slachtoffer heeft dus drie opties: rechtbank, FMO, informeel. De keuze is vrij en wordt niet gestuurd door de wet. Recent schatte het Rekenhof (</w:t>
      </w:r>
      <w:proofErr w:type="spellStart"/>
      <w:r w:rsidRPr="008F2134">
        <w:rPr>
          <w:rFonts w:cs="Arial"/>
          <w:sz w:val="20"/>
        </w:rPr>
        <w:t>obv</w:t>
      </w:r>
      <w:proofErr w:type="spellEnd"/>
      <w:r w:rsidRPr="008F2134">
        <w:rPr>
          <w:rFonts w:cs="Arial"/>
          <w:sz w:val="20"/>
        </w:rPr>
        <w:t xml:space="preserve"> gegevens van verzekeringsinstellingen) dat medische ongevallen in ongeveer 11% van de gevallen bij het FMO komen. </w:t>
      </w:r>
      <w:r w:rsidR="00801EF7" w:rsidRPr="008F2134">
        <w:rPr>
          <w:rFonts w:cs="Arial"/>
          <w:sz w:val="20"/>
        </w:rPr>
        <w:t>H</w:t>
      </w:r>
      <w:r w:rsidRPr="008F2134">
        <w:rPr>
          <w:rFonts w:cs="Arial"/>
          <w:sz w:val="20"/>
        </w:rPr>
        <w:t xml:space="preserve">et maatschappelijk belang van het FMO reikt verder dan weergegeven door het aantal gevallen of de uitbetaalde schadevergoedingen. Het bestaan ervan </w:t>
      </w:r>
      <w:r w:rsidRPr="00737EAA">
        <w:rPr>
          <w:rFonts w:cs="Arial"/>
          <w:sz w:val="20"/>
          <w:u w:val="single"/>
        </w:rPr>
        <w:t>stuurt het gedrag van andere actoren</w:t>
      </w:r>
      <w:r w:rsidRPr="008F2134">
        <w:rPr>
          <w:rFonts w:cs="Arial"/>
          <w:sz w:val="20"/>
        </w:rPr>
        <w:t xml:space="preserve">. Bijvoorbeeld de mogelijkheid dat het FMO een slachtoffer zal vergoeden kan verzekeringsmaatschappijen aanzetten dit eerder te doen. Daarnaast zijn standpunten van het FMO een referentie voor de rest van de actoren, </w:t>
      </w:r>
      <w:proofErr w:type="spellStart"/>
      <w:r w:rsidRPr="008F2134">
        <w:rPr>
          <w:rFonts w:cs="Arial"/>
          <w:sz w:val="20"/>
        </w:rPr>
        <w:t>ondermeer</w:t>
      </w:r>
      <w:proofErr w:type="spellEnd"/>
      <w:r w:rsidRPr="008F2134">
        <w:rPr>
          <w:rFonts w:cs="Arial"/>
          <w:sz w:val="20"/>
        </w:rPr>
        <w:t xml:space="preserve"> van rechters.</w:t>
      </w:r>
    </w:p>
    <w:p w:rsidR="00065385" w:rsidRPr="008F2134" w:rsidRDefault="00065385" w:rsidP="00065385">
      <w:pPr>
        <w:spacing w:after="0"/>
        <w:jc w:val="left"/>
        <w:rPr>
          <w:rFonts w:cs="Arial"/>
          <w:sz w:val="20"/>
        </w:rPr>
      </w:pPr>
    </w:p>
    <w:p w:rsidR="00065385" w:rsidRPr="008F2134" w:rsidRDefault="006477E1" w:rsidP="00065385">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6" w:name="_Toc57147835"/>
      <w:bookmarkStart w:id="7" w:name="_Toc68955684"/>
      <w:r w:rsidRPr="008F2134">
        <w:rPr>
          <w:rFonts w:cs="Arial"/>
          <w:sz w:val="20"/>
        </w:rPr>
        <w:t>De aanvragen en hun uitkomst</w:t>
      </w:r>
      <w:bookmarkEnd w:id="6"/>
      <w:bookmarkEnd w:id="7"/>
    </w:p>
    <w:p w:rsidR="00065385" w:rsidRPr="008F2134" w:rsidRDefault="00065385" w:rsidP="00065385">
      <w:pPr>
        <w:spacing w:after="0"/>
        <w:jc w:val="left"/>
        <w:rPr>
          <w:rFonts w:cs="Arial"/>
          <w:sz w:val="20"/>
        </w:rPr>
      </w:pPr>
    </w:p>
    <w:p w:rsidR="00065385" w:rsidRPr="008F2134" w:rsidRDefault="00065385" w:rsidP="00065385">
      <w:pPr>
        <w:spacing w:after="0"/>
        <w:jc w:val="left"/>
        <w:rPr>
          <w:rFonts w:cs="Arial"/>
          <w:sz w:val="20"/>
        </w:rPr>
      </w:pPr>
      <w:r w:rsidRPr="008F2134">
        <w:rPr>
          <w:rFonts w:cs="Arial"/>
          <w:sz w:val="20"/>
        </w:rPr>
        <w:t xml:space="preserve">Een </w:t>
      </w:r>
      <w:r w:rsidR="00737EAA">
        <w:rPr>
          <w:rFonts w:cs="Arial"/>
          <w:sz w:val="20"/>
          <w:u w:val="single"/>
        </w:rPr>
        <w:t>”m</w:t>
      </w:r>
      <w:r w:rsidRPr="00737EAA">
        <w:rPr>
          <w:rFonts w:cs="Arial"/>
          <w:sz w:val="20"/>
          <w:u w:val="single"/>
        </w:rPr>
        <w:t>edisch ongeva</w:t>
      </w:r>
      <w:r w:rsidR="00737EAA">
        <w:rPr>
          <w:rFonts w:cs="Arial"/>
          <w:sz w:val="20"/>
          <w:u w:val="single"/>
        </w:rPr>
        <w:t>l”</w:t>
      </w:r>
      <w:r w:rsidRPr="008F2134">
        <w:rPr>
          <w:rFonts w:cs="Arial"/>
          <w:sz w:val="20"/>
        </w:rPr>
        <w:t xml:space="preserve"> is een ongeval dat schade voor gevolg heeft, die haar oorzaak heeft in de zorgverstrekking en die voortvloeit uit</w:t>
      </w:r>
      <w:r w:rsidRPr="008F2134">
        <w:rPr>
          <w:rStyle w:val="FootnoteReference"/>
          <w:rFonts w:cs="Arial"/>
          <w:sz w:val="20"/>
        </w:rPr>
        <w:footnoteReference w:id="3"/>
      </w:r>
      <w:r w:rsidRPr="008F2134">
        <w:rPr>
          <w:rFonts w:cs="Arial"/>
          <w:sz w:val="20"/>
        </w:rPr>
        <w:t xml:space="preserve"> een feit dat aanleiding geeft tot aan aansprakelijkheid van de zorgverlener</w:t>
      </w:r>
      <w:r w:rsidR="00D12D05">
        <w:rPr>
          <w:rFonts w:cs="Arial"/>
          <w:sz w:val="20"/>
        </w:rPr>
        <w:t xml:space="preserve"> </w:t>
      </w:r>
      <w:r w:rsidRPr="008F2134">
        <w:rPr>
          <w:rFonts w:cs="Arial"/>
          <w:sz w:val="20"/>
        </w:rPr>
        <w:t>of een medisch ongeval zonder aansprakelijkheid.</w:t>
      </w:r>
      <w:r w:rsidR="00DF0BDD" w:rsidRPr="008F2134">
        <w:rPr>
          <w:rFonts w:cs="Arial"/>
          <w:sz w:val="20"/>
        </w:rPr>
        <w:t xml:space="preserve"> Volgens de WMO betaalt het FMO enkel een schadevergoeding uit als de </w:t>
      </w:r>
      <w:r w:rsidR="00DF0BDD" w:rsidRPr="00737EAA">
        <w:rPr>
          <w:rFonts w:cs="Arial"/>
          <w:sz w:val="20"/>
          <w:u w:val="single"/>
        </w:rPr>
        <w:t>“ernstgraad”</w:t>
      </w:r>
      <w:r w:rsidR="00DF0BDD" w:rsidRPr="008F2134">
        <w:rPr>
          <w:rFonts w:cs="Arial"/>
          <w:sz w:val="20"/>
        </w:rPr>
        <w:t xml:space="preserve"> bereikt is.</w:t>
      </w:r>
      <w:r w:rsidR="00DF0BDD" w:rsidRPr="008F2134">
        <w:rPr>
          <w:rStyle w:val="FootnoteReference"/>
          <w:rFonts w:cs="Arial"/>
          <w:sz w:val="20"/>
        </w:rPr>
        <w:footnoteReference w:id="4"/>
      </w:r>
      <w:r w:rsidR="00DF0BDD" w:rsidRPr="008F2134">
        <w:rPr>
          <w:rFonts w:cs="Arial"/>
          <w:sz w:val="20"/>
        </w:rPr>
        <w:t xml:space="preserve"> </w:t>
      </w:r>
      <w:r w:rsidRPr="008F2134">
        <w:rPr>
          <w:rFonts w:cs="Arial"/>
          <w:sz w:val="20"/>
        </w:rPr>
        <w:t xml:space="preserve">De aanvraag voor het FMO loopt in principe uit op een </w:t>
      </w:r>
      <w:r w:rsidR="00737EAA" w:rsidRPr="00737EAA">
        <w:rPr>
          <w:rFonts w:cs="Arial"/>
          <w:sz w:val="20"/>
          <w:u w:val="single"/>
        </w:rPr>
        <w:t>“</w:t>
      </w:r>
      <w:r w:rsidRPr="00737EAA">
        <w:rPr>
          <w:rFonts w:cs="Arial"/>
          <w:sz w:val="20"/>
          <w:u w:val="single"/>
        </w:rPr>
        <w:t>advies</w:t>
      </w:r>
      <w:r w:rsidR="00737EAA" w:rsidRPr="00737EAA">
        <w:rPr>
          <w:rFonts w:cs="Arial"/>
          <w:sz w:val="20"/>
          <w:u w:val="single"/>
        </w:rPr>
        <w:t>”</w:t>
      </w:r>
      <w:r w:rsidRPr="008F2134">
        <w:rPr>
          <w:rFonts w:cs="Arial"/>
          <w:sz w:val="20"/>
        </w:rPr>
        <w:t xml:space="preserve">. </w:t>
      </w:r>
    </w:p>
    <w:p w:rsidR="00065385" w:rsidRPr="008F2134" w:rsidRDefault="00065385" w:rsidP="00065385">
      <w:pPr>
        <w:spacing w:after="0"/>
        <w:jc w:val="left"/>
        <w:rPr>
          <w:rFonts w:cs="Arial"/>
          <w:b/>
          <w:bCs/>
          <w:sz w:val="20"/>
        </w:rPr>
      </w:pPr>
    </w:p>
    <w:p w:rsidR="00282467" w:rsidRPr="008F2134" w:rsidRDefault="00282467" w:rsidP="00282467">
      <w:pPr>
        <w:spacing w:after="0"/>
        <w:jc w:val="left"/>
        <w:rPr>
          <w:rFonts w:cs="Arial"/>
          <w:sz w:val="20"/>
        </w:rPr>
      </w:pPr>
      <w:r w:rsidRPr="008F2134">
        <w:rPr>
          <w:rFonts w:cs="Arial"/>
          <w:sz w:val="20"/>
        </w:rPr>
        <w:t xml:space="preserve">Een </w:t>
      </w:r>
      <w:r w:rsidR="006477E1" w:rsidRPr="00737EAA">
        <w:rPr>
          <w:rFonts w:cs="Arial"/>
          <w:sz w:val="20"/>
          <w:u w:val="single"/>
        </w:rPr>
        <w:t>m</w:t>
      </w:r>
      <w:r w:rsidRPr="00737EAA">
        <w:rPr>
          <w:rFonts w:cs="Arial"/>
          <w:sz w:val="20"/>
          <w:u w:val="single"/>
        </w:rPr>
        <w:t xml:space="preserve">edisch ongeval zonder aansprakelijkheid (de </w:t>
      </w:r>
      <w:proofErr w:type="spellStart"/>
      <w:r w:rsidRPr="00737EAA">
        <w:rPr>
          <w:rFonts w:cs="Arial"/>
          <w:sz w:val="20"/>
          <w:u w:val="single"/>
        </w:rPr>
        <w:t>zgn</w:t>
      </w:r>
      <w:proofErr w:type="spellEnd"/>
      <w:r w:rsidRPr="00737EAA">
        <w:rPr>
          <w:rFonts w:cs="Arial"/>
          <w:sz w:val="20"/>
          <w:u w:val="single"/>
        </w:rPr>
        <w:t xml:space="preserve"> “</w:t>
      </w:r>
      <w:proofErr w:type="spellStart"/>
      <w:r w:rsidRPr="00737EAA">
        <w:rPr>
          <w:rFonts w:cs="Arial"/>
          <w:sz w:val="20"/>
          <w:u w:val="single"/>
        </w:rPr>
        <w:t>Moza</w:t>
      </w:r>
      <w:proofErr w:type="spellEnd"/>
      <w:r w:rsidRPr="00737EAA">
        <w:rPr>
          <w:rFonts w:cs="Arial"/>
          <w:sz w:val="20"/>
          <w:u w:val="single"/>
        </w:rPr>
        <w:t>”)</w:t>
      </w:r>
      <w:r w:rsidRPr="008F2134">
        <w:rPr>
          <w:rFonts w:cs="Arial"/>
          <w:sz w:val="20"/>
        </w:rPr>
        <w:t xml:space="preserve"> is een specifieke categorie voorzien door de WMO</w:t>
      </w:r>
      <w:r w:rsidR="00D12D05">
        <w:rPr>
          <w:rFonts w:cs="Arial"/>
          <w:sz w:val="20"/>
        </w:rPr>
        <w:t xml:space="preserve"> </w:t>
      </w:r>
      <w:r w:rsidR="00CD1522">
        <w:rPr>
          <w:rFonts w:cs="Arial"/>
          <w:sz w:val="20"/>
        </w:rPr>
        <w:t xml:space="preserve">waarbij </w:t>
      </w:r>
      <w:r w:rsidR="00D12D05">
        <w:rPr>
          <w:rFonts w:cs="Arial"/>
          <w:sz w:val="20"/>
        </w:rPr>
        <w:t xml:space="preserve">schade </w:t>
      </w:r>
      <w:r w:rsidR="00CD1522">
        <w:rPr>
          <w:rFonts w:cs="Arial"/>
          <w:sz w:val="20"/>
        </w:rPr>
        <w:t xml:space="preserve">van een medisch ongeval </w:t>
      </w:r>
      <w:proofErr w:type="spellStart"/>
      <w:r w:rsidR="00CD1522">
        <w:rPr>
          <w:rFonts w:cs="Arial"/>
          <w:sz w:val="20"/>
        </w:rPr>
        <w:t>ver</w:t>
      </w:r>
      <w:r w:rsidR="00D12D05">
        <w:rPr>
          <w:rFonts w:cs="Arial"/>
          <w:sz w:val="20"/>
        </w:rPr>
        <w:t>goedbaar</w:t>
      </w:r>
      <w:proofErr w:type="spellEnd"/>
      <w:r w:rsidR="00D12D05">
        <w:rPr>
          <w:rFonts w:cs="Arial"/>
          <w:sz w:val="20"/>
        </w:rPr>
        <w:t xml:space="preserve"> </w:t>
      </w:r>
      <w:r w:rsidR="00CD1522">
        <w:rPr>
          <w:rFonts w:cs="Arial"/>
          <w:sz w:val="20"/>
        </w:rPr>
        <w:t xml:space="preserve">is </w:t>
      </w:r>
      <w:r w:rsidR="00D12D05">
        <w:rPr>
          <w:rFonts w:cs="Arial"/>
          <w:sz w:val="20"/>
        </w:rPr>
        <w:t xml:space="preserve">als ze niet </w:t>
      </w:r>
      <w:r w:rsidR="00CD1522">
        <w:rPr>
          <w:rFonts w:cs="Arial"/>
          <w:sz w:val="20"/>
        </w:rPr>
        <w:t>voor</w:t>
      </w:r>
      <w:r w:rsidRPr="008F2134">
        <w:rPr>
          <w:rFonts w:cs="Arial"/>
          <w:sz w:val="20"/>
        </w:rPr>
        <w:t xml:space="preserve">zienbaar </w:t>
      </w:r>
      <w:r w:rsidR="006A636A">
        <w:rPr>
          <w:rFonts w:cs="Arial"/>
          <w:sz w:val="20"/>
        </w:rPr>
        <w:t>en/</w:t>
      </w:r>
      <w:r w:rsidR="002F2700">
        <w:rPr>
          <w:rFonts w:cs="Arial"/>
          <w:sz w:val="20"/>
        </w:rPr>
        <w:t>of</w:t>
      </w:r>
      <w:r w:rsidR="002F2700" w:rsidRPr="008F2134">
        <w:rPr>
          <w:rFonts w:cs="Arial"/>
          <w:sz w:val="20"/>
        </w:rPr>
        <w:t xml:space="preserve"> </w:t>
      </w:r>
      <w:r w:rsidRPr="008F2134">
        <w:rPr>
          <w:rFonts w:cs="Arial"/>
          <w:sz w:val="20"/>
        </w:rPr>
        <w:t>niet vermijdbaar is</w:t>
      </w:r>
      <w:r w:rsidR="00D12D05">
        <w:rPr>
          <w:rFonts w:cs="Arial"/>
          <w:sz w:val="20"/>
        </w:rPr>
        <w:t xml:space="preserve"> (</w:t>
      </w:r>
      <w:r w:rsidRPr="008F2134">
        <w:rPr>
          <w:rFonts w:cs="Arial"/>
          <w:sz w:val="20"/>
        </w:rPr>
        <w:t xml:space="preserve">abnormale schade”). </w:t>
      </w:r>
      <w:r w:rsidR="00D12D05">
        <w:rPr>
          <w:rFonts w:cs="Arial"/>
          <w:sz w:val="20"/>
        </w:rPr>
        <w:t xml:space="preserve">Deze schade </w:t>
      </w:r>
      <w:r w:rsidRPr="008F2134">
        <w:rPr>
          <w:rFonts w:cs="Arial"/>
          <w:sz w:val="20"/>
        </w:rPr>
        <w:t>is zo zeldzaam dat ze niet kan beschouwd worden als een normale mogelijke verwikkeling of risico. De inschatting van het begrip “abnormale schade” is een delicaat gegeven. Een voorbeeld is iemand die een preventief onderzoek ondergaat en overlijdt door een allergische reactie.</w:t>
      </w:r>
    </w:p>
    <w:p w:rsidR="00282467" w:rsidRPr="008F2134" w:rsidRDefault="00282467" w:rsidP="00282467">
      <w:pPr>
        <w:spacing w:after="0"/>
        <w:jc w:val="left"/>
        <w:rPr>
          <w:rFonts w:cs="Arial"/>
          <w:sz w:val="20"/>
        </w:rPr>
      </w:pPr>
    </w:p>
    <w:p w:rsidR="00282467" w:rsidRPr="008F2134" w:rsidRDefault="00282467" w:rsidP="00065385">
      <w:pPr>
        <w:spacing w:after="0"/>
        <w:jc w:val="left"/>
        <w:rPr>
          <w:rFonts w:cs="Arial"/>
          <w:sz w:val="20"/>
        </w:rPr>
      </w:pPr>
      <w:r w:rsidRPr="008F2134">
        <w:rPr>
          <w:rFonts w:cs="Arial"/>
          <w:sz w:val="20"/>
        </w:rPr>
        <w:t xml:space="preserve">Het FMO heeft </w:t>
      </w:r>
      <w:r w:rsidRPr="00737EAA">
        <w:rPr>
          <w:rFonts w:cs="Arial"/>
          <w:sz w:val="20"/>
          <w:u w:val="single"/>
        </w:rPr>
        <w:t xml:space="preserve">sinds de start tot </w:t>
      </w:r>
      <w:r w:rsidR="0027101A">
        <w:rPr>
          <w:rFonts w:cs="Arial"/>
          <w:sz w:val="20"/>
          <w:u w:val="single"/>
        </w:rPr>
        <w:t>begin 2021</w:t>
      </w:r>
      <w:r w:rsidRPr="00737EAA">
        <w:rPr>
          <w:rFonts w:cs="Arial"/>
          <w:sz w:val="20"/>
          <w:u w:val="single"/>
        </w:rPr>
        <w:t xml:space="preserve"> ruim </w:t>
      </w:r>
      <w:r w:rsidR="0027101A">
        <w:rPr>
          <w:rFonts w:cs="Arial"/>
          <w:sz w:val="20"/>
          <w:u w:val="single"/>
        </w:rPr>
        <w:t>31</w:t>
      </w:r>
      <w:r w:rsidRPr="00737EAA">
        <w:rPr>
          <w:rFonts w:cs="Arial"/>
          <w:sz w:val="20"/>
          <w:u w:val="single"/>
        </w:rPr>
        <w:t xml:space="preserve"> </w:t>
      </w:r>
      <w:proofErr w:type="spellStart"/>
      <w:r w:rsidRPr="00737EAA">
        <w:rPr>
          <w:rFonts w:cs="Arial"/>
          <w:sz w:val="20"/>
          <w:u w:val="single"/>
        </w:rPr>
        <w:t>mln</w:t>
      </w:r>
      <w:proofErr w:type="spellEnd"/>
      <w:r w:rsidRPr="00737EAA">
        <w:rPr>
          <w:rFonts w:cs="Arial"/>
          <w:sz w:val="20"/>
          <w:u w:val="single"/>
        </w:rPr>
        <w:t xml:space="preserve"> euro uitbetaald</w:t>
      </w:r>
      <w:r w:rsidRPr="008F2134">
        <w:rPr>
          <w:rFonts w:cs="Arial"/>
          <w:sz w:val="20"/>
        </w:rPr>
        <w:t xml:space="preserve"> als schadevergoedingen </w:t>
      </w:r>
      <w:r w:rsidR="0027101A">
        <w:rPr>
          <w:rFonts w:cs="Arial"/>
          <w:sz w:val="20"/>
        </w:rPr>
        <w:t>in</w:t>
      </w:r>
      <w:r w:rsidRPr="008F2134">
        <w:rPr>
          <w:rFonts w:cs="Arial"/>
          <w:sz w:val="20"/>
        </w:rPr>
        <w:t xml:space="preserve"> </w:t>
      </w:r>
      <w:r w:rsidR="0027101A">
        <w:rPr>
          <w:rFonts w:cs="Arial"/>
          <w:sz w:val="20"/>
        </w:rPr>
        <w:t>ca</w:t>
      </w:r>
      <w:r w:rsidRPr="008F2134">
        <w:rPr>
          <w:rFonts w:cs="Arial"/>
          <w:sz w:val="20"/>
        </w:rPr>
        <w:t xml:space="preserve"> 270 </w:t>
      </w:r>
      <w:r w:rsidR="0027101A">
        <w:rPr>
          <w:rFonts w:cs="Arial"/>
          <w:sz w:val="20"/>
        </w:rPr>
        <w:t>dossiers</w:t>
      </w:r>
      <w:r w:rsidRPr="008F2134">
        <w:rPr>
          <w:rFonts w:cs="Arial"/>
          <w:sz w:val="20"/>
        </w:rPr>
        <w:t>. In 2020 betaalde het FMO</w:t>
      </w:r>
      <w:r w:rsidR="0027101A">
        <w:rPr>
          <w:rFonts w:cs="Arial"/>
          <w:sz w:val="20"/>
        </w:rPr>
        <w:t xml:space="preserve"> ruim 9 </w:t>
      </w:r>
      <w:proofErr w:type="spellStart"/>
      <w:r w:rsidR="0027101A">
        <w:rPr>
          <w:rFonts w:cs="Arial"/>
          <w:sz w:val="20"/>
        </w:rPr>
        <w:t>mln</w:t>
      </w:r>
      <w:proofErr w:type="spellEnd"/>
      <w:r w:rsidR="0027101A">
        <w:rPr>
          <w:rFonts w:cs="Arial"/>
          <w:sz w:val="20"/>
        </w:rPr>
        <w:t xml:space="preserve"> eu</w:t>
      </w:r>
      <w:r w:rsidRPr="008F2134">
        <w:rPr>
          <w:rFonts w:cs="Arial"/>
          <w:sz w:val="20"/>
        </w:rPr>
        <w:t xml:space="preserve">ro schadevergoedingen aan </w:t>
      </w:r>
      <w:r w:rsidR="0027101A">
        <w:rPr>
          <w:rFonts w:cs="Arial"/>
          <w:sz w:val="20"/>
        </w:rPr>
        <w:t>ca 60</w:t>
      </w:r>
      <w:r w:rsidRPr="008F2134">
        <w:rPr>
          <w:rFonts w:cs="Arial"/>
          <w:sz w:val="20"/>
        </w:rPr>
        <w:t xml:space="preserve"> slachtoffers. In geval van aansprakelijkheid gaat het FMO die uitbetaalde schadevergoeding van de zorgverstrekker terugvorderen, indien nodig voor de rechtbank.</w:t>
      </w:r>
    </w:p>
    <w:p w:rsidR="002836FE" w:rsidRDefault="002836FE">
      <w:pPr>
        <w:spacing w:after="0"/>
        <w:jc w:val="left"/>
        <w:rPr>
          <w:rFonts w:cs="Arial"/>
          <w:sz w:val="20"/>
        </w:rPr>
      </w:pPr>
      <w:r>
        <w:rPr>
          <w:rFonts w:cs="Arial"/>
          <w:sz w:val="20"/>
        </w:rPr>
        <w:br w:type="page"/>
      </w:r>
    </w:p>
    <w:p w:rsidR="00801EF7" w:rsidRPr="008F2134" w:rsidRDefault="00801EF7" w:rsidP="00065385">
      <w:pPr>
        <w:spacing w:after="0"/>
        <w:jc w:val="left"/>
        <w:rPr>
          <w:rFonts w:cs="Arial"/>
          <w:sz w:val="20"/>
        </w:rPr>
      </w:pPr>
      <w:r w:rsidRPr="008F2134">
        <w:rPr>
          <w:rFonts w:cs="Arial"/>
          <w:sz w:val="20"/>
        </w:rPr>
        <w:lastRenderedPageBreak/>
        <w:t>De</w:t>
      </w:r>
      <w:r w:rsidR="0027101A">
        <w:rPr>
          <w:rFonts w:cs="Arial"/>
          <w:sz w:val="20"/>
        </w:rPr>
        <w:t xml:space="preserve"> sinds de start </w:t>
      </w:r>
      <w:r w:rsidRPr="00737EAA">
        <w:rPr>
          <w:rFonts w:cs="Arial"/>
          <w:sz w:val="20"/>
          <w:u w:val="single"/>
        </w:rPr>
        <w:t>ontvangen aanvragen</w:t>
      </w:r>
      <w:r w:rsidRPr="008F2134">
        <w:rPr>
          <w:rFonts w:cs="Arial"/>
          <w:sz w:val="20"/>
        </w:rPr>
        <w:t xml:space="preserve"> gaven</w:t>
      </w:r>
      <w:r w:rsidR="0027101A">
        <w:rPr>
          <w:rFonts w:cs="Arial"/>
          <w:sz w:val="20"/>
        </w:rPr>
        <w:t xml:space="preserve"> tot op heden</w:t>
      </w:r>
      <w:r w:rsidRPr="008F2134">
        <w:rPr>
          <w:rFonts w:cs="Arial"/>
          <w:sz w:val="20"/>
        </w:rPr>
        <w:t xml:space="preserve"> </w:t>
      </w:r>
      <w:r w:rsidRPr="00737EAA">
        <w:rPr>
          <w:rFonts w:cs="Arial"/>
          <w:sz w:val="20"/>
          <w:u w:val="single"/>
        </w:rPr>
        <w:t>aanleiding tot het volgende</w:t>
      </w:r>
      <w:r w:rsidRPr="008F2134">
        <w:rPr>
          <w:rFonts w:cs="Arial"/>
          <w:sz w:val="20"/>
        </w:rPr>
        <w:t>.</w:t>
      </w:r>
    </w:p>
    <w:p w:rsidR="00801EF7" w:rsidRPr="008F2134" w:rsidRDefault="00282467" w:rsidP="006477E1">
      <w:pPr>
        <w:pStyle w:val="ListParagraph"/>
        <w:numPr>
          <w:ilvl w:val="0"/>
          <w:numId w:val="27"/>
        </w:numPr>
        <w:spacing w:after="0" w:line="240" w:lineRule="auto"/>
        <w:rPr>
          <w:rFonts w:ascii="Arial" w:hAnsi="Arial" w:cs="Arial"/>
          <w:sz w:val="20"/>
          <w:szCs w:val="20"/>
        </w:rPr>
      </w:pPr>
      <w:r w:rsidRPr="008F2134">
        <w:rPr>
          <w:rFonts w:ascii="Arial" w:hAnsi="Arial" w:cs="Arial"/>
          <w:sz w:val="20"/>
          <w:szCs w:val="20"/>
        </w:rPr>
        <w:t xml:space="preserve">Bij </w:t>
      </w:r>
      <w:r w:rsidR="00801EF7" w:rsidRPr="008F2134">
        <w:rPr>
          <w:rFonts w:ascii="Arial" w:hAnsi="Arial" w:cs="Arial"/>
          <w:sz w:val="20"/>
          <w:szCs w:val="20"/>
        </w:rPr>
        <w:t xml:space="preserve">ca 81% betaalde het FMO </w:t>
      </w:r>
      <w:r w:rsidR="00DF0BDD" w:rsidRPr="008F2134">
        <w:rPr>
          <w:rFonts w:ascii="Arial" w:hAnsi="Arial" w:cs="Arial"/>
          <w:sz w:val="20"/>
          <w:szCs w:val="20"/>
        </w:rPr>
        <w:t>geen schadevergoeding uit</w:t>
      </w:r>
      <w:r w:rsidR="00801EF7" w:rsidRPr="008F2134">
        <w:rPr>
          <w:rFonts w:ascii="Arial" w:hAnsi="Arial" w:cs="Arial"/>
          <w:sz w:val="20"/>
          <w:szCs w:val="20"/>
        </w:rPr>
        <w:t xml:space="preserve"> wegens </w:t>
      </w:r>
      <w:r w:rsidR="00DF0BDD" w:rsidRPr="008F2134">
        <w:rPr>
          <w:rFonts w:ascii="Arial" w:hAnsi="Arial" w:cs="Arial"/>
          <w:sz w:val="20"/>
          <w:szCs w:val="20"/>
        </w:rPr>
        <w:t>geen link met de zorgvertrekking</w:t>
      </w:r>
      <w:r w:rsidR="00801EF7" w:rsidRPr="008F2134">
        <w:rPr>
          <w:rFonts w:ascii="Arial" w:hAnsi="Arial" w:cs="Arial"/>
          <w:sz w:val="20"/>
          <w:szCs w:val="20"/>
        </w:rPr>
        <w:t xml:space="preserve"> of geen fout van de zorgverstrekker</w:t>
      </w:r>
      <w:r w:rsidR="00DF0BDD" w:rsidRPr="008F2134">
        <w:rPr>
          <w:rStyle w:val="FootnoteReference"/>
          <w:rFonts w:ascii="Arial" w:hAnsi="Arial" w:cs="Arial"/>
          <w:sz w:val="20"/>
          <w:szCs w:val="20"/>
        </w:rPr>
        <w:footnoteReference w:id="5"/>
      </w:r>
      <w:r w:rsidRPr="008F2134">
        <w:rPr>
          <w:rFonts w:ascii="Arial" w:hAnsi="Arial" w:cs="Arial"/>
          <w:sz w:val="20"/>
          <w:szCs w:val="20"/>
        </w:rPr>
        <w:t xml:space="preserve">. Ook het beperkt aantal medische ongevallen </w:t>
      </w:r>
      <w:r w:rsidR="00801EF7" w:rsidRPr="008F2134">
        <w:rPr>
          <w:rFonts w:ascii="Arial" w:hAnsi="Arial" w:cs="Arial"/>
          <w:sz w:val="20"/>
          <w:szCs w:val="20"/>
        </w:rPr>
        <w:t>zonder aansprakelijkheid waarbij de ernstgraad niet bereikt is</w:t>
      </w:r>
      <w:r w:rsidRPr="008F2134">
        <w:rPr>
          <w:rFonts w:ascii="Arial" w:hAnsi="Arial" w:cs="Arial"/>
          <w:sz w:val="20"/>
          <w:szCs w:val="20"/>
        </w:rPr>
        <w:t xml:space="preserve"> vallen hieronder.</w:t>
      </w:r>
    </w:p>
    <w:p w:rsidR="00282467" w:rsidRPr="008F2134" w:rsidRDefault="00282467" w:rsidP="006477E1">
      <w:pPr>
        <w:pStyle w:val="ListParagraph"/>
        <w:numPr>
          <w:ilvl w:val="0"/>
          <w:numId w:val="27"/>
        </w:numPr>
        <w:spacing w:after="0" w:line="240" w:lineRule="auto"/>
        <w:rPr>
          <w:rFonts w:ascii="Arial" w:hAnsi="Arial" w:cs="Arial"/>
          <w:sz w:val="20"/>
          <w:szCs w:val="20"/>
        </w:rPr>
      </w:pPr>
      <w:r w:rsidRPr="008F2134">
        <w:rPr>
          <w:rFonts w:ascii="Arial" w:hAnsi="Arial" w:cs="Arial"/>
          <w:sz w:val="20"/>
          <w:szCs w:val="20"/>
        </w:rPr>
        <w:t xml:space="preserve">Bij ca 9% </w:t>
      </w:r>
      <w:r w:rsidR="006477E1" w:rsidRPr="008F2134">
        <w:rPr>
          <w:rFonts w:ascii="Arial" w:hAnsi="Arial" w:cs="Arial"/>
          <w:sz w:val="20"/>
          <w:szCs w:val="20"/>
        </w:rPr>
        <w:t xml:space="preserve">was er aansprakelijkheid van de zorgverstrekker, maar </w:t>
      </w:r>
      <w:r w:rsidRPr="008F2134">
        <w:rPr>
          <w:rFonts w:ascii="Arial" w:hAnsi="Arial" w:cs="Arial"/>
          <w:sz w:val="20"/>
          <w:szCs w:val="20"/>
        </w:rPr>
        <w:t>betaalde het FMO geen schadevergoeding omdat de ernstgraad niet bereikt was.</w:t>
      </w:r>
      <w:r w:rsidR="006477E1" w:rsidRPr="008F2134">
        <w:rPr>
          <w:rFonts w:ascii="Arial" w:hAnsi="Arial" w:cs="Arial"/>
          <w:sz w:val="20"/>
          <w:szCs w:val="20"/>
        </w:rPr>
        <w:t xml:space="preserve"> </w:t>
      </w:r>
      <w:r w:rsidRPr="008F2134">
        <w:rPr>
          <w:rFonts w:ascii="Arial" w:hAnsi="Arial" w:cs="Arial"/>
          <w:sz w:val="20"/>
          <w:szCs w:val="20"/>
        </w:rPr>
        <w:t xml:space="preserve">De aanvrager heeft dan wel een advies waarmee hij zich kan wenden </w:t>
      </w:r>
      <w:proofErr w:type="spellStart"/>
      <w:r w:rsidRPr="008F2134">
        <w:rPr>
          <w:rFonts w:ascii="Arial" w:hAnsi="Arial" w:cs="Arial"/>
          <w:sz w:val="20"/>
          <w:szCs w:val="20"/>
        </w:rPr>
        <w:t>wenden</w:t>
      </w:r>
      <w:proofErr w:type="spellEnd"/>
      <w:r w:rsidRPr="008F2134">
        <w:rPr>
          <w:rFonts w:ascii="Arial" w:hAnsi="Arial" w:cs="Arial"/>
          <w:sz w:val="20"/>
          <w:szCs w:val="20"/>
        </w:rPr>
        <w:t xml:space="preserve"> tot een verzekeraar of een zorgverstrekker en desgevallend tot de rechtbank. (Die is niet gehouden dit te volgen.)</w:t>
      </w:r>
    </w:p>
    <w:p w:rsidR="006477E1" w:rsidRPr="008F2134" w:rsidRDefault="006477E1" w:rsidP="006477E1">
      <w:pPr>
        <w:pStyle w:val="ListParagraph"/>
        <w:numPr>
          <w:ilvl w:val="0"/>
          <w:numId w:val="27"/>
        </w:numPr>
        <w:spacing w:after="0" w:line="240" w:lineRule="auto"/>
        <w:rPr>
          <w:rFonts w:ascii="Arial" w:hAnsi="Arial" w:cs="Arial"/>
          <w:sz w:val="20"/>
          <w:szCs w:val="20"/>
        </w:rPr>
      </w:pPr>
      <w:r w:rsidRPr="008F2134">
        <w:rPr>
          <w:rFonts w:ascii="Arial" w:hAnsi="Arial" w:cs="Arial"/>
          <w:sz w:val="20"/>
          <w:szCs w:val="20"/>
        </w:rPr>
        <w:t xml:space="preserve">Bij ca 6% betaalde het FMO een </w:t>
      </w:r>
      <w:proofErr w:type="spellStart"/>
      <w:r w:rsidRPr="008F2134">
        <w:rPr>
          <w:rFonts w:ascii="Arial" w:hAnsi="Arial" w:cs="Arial"/>
          <w:sz w:val="20"/>
          <w:szCs w:val="20"/>
        </w:rPr>
        <w:t>schadervergoeding</w:t>
      </w:r>
      <w:proofErr w:type="spellEnd"/>
      <w:r w:rsidRPr="008F2134">
        <w:rPr>
          <w:rFonts w:ascii="Arial" w:hAnsi="Arial" w:cs="Arial"/>
          <w:sz w:val="20"/>
          <w:szCs w:val="20"/>
        </w:rPr>
        <w:t xml:space="preserve"> omdat er aansprakelijkheid was en de ernstgraad bereikt was. Het FMO begroot dan de schade, vergoedt die aan het slachtoffer en gaat ze terugvorderen van de aansprakelijke.</w:t>
      </w:r>
    </w:p>
    <w:p w:rsidR="006477E1" w:rsidRPr="008F2134" w:rsidRDefault="006477E1" w:rsidP="006477E1">
      <w:pPr>
        <w:pStyle w:val="ListParagraph"/>
        <w:numPr>
          <w:ilvl w:val="0"/>
          <w:numId w:val="27"/>
        </w:numPr>
        <w:spacing w:after="0" w:line="240" w:lineRule="auto"/>
        <w:rPr>
          <w:rFonts w:ascii="Arial" w:hAnsi="Arial" w:cs="Arial"/>
          <w:sz w:val="20"/>
          <w:szCs w:val="20"/>
        </w:rPr>
      </w:pPr>
      <w:r w:rsidRPr="008F2134">
        <w:rPr>
          <w:rFonts w:ascii="Arial" w:hAnsi="Arial" w:cs="Arial"/>
          <w:sz w:val="20"/>
          <w:szCs w:val="20"/>
        </w:rPr>
        <w:t>Bij ca 4% g</w:t>
      </w:r>
      <w:r w:rsidR="004F163A">
        <w:rPr>
          <w:rFonts w:ascii="Arial" w:hAnsi="Arial" w:cs="Arial"/>
          <w:sz w:val="20"/>
          <w:szCs w:val="20"/>
        </w:rPr>
        <w:t>ing</w:t>
      </w:r>
      <w:r w:rsidRPr="008F2134">
        <w:rPr>
          <w:rFonts w:ascii="Arial" w:hAnsi="Arial" w:cs="Arial"/>
          <w:sz w:val="20"/>
          <w:szCs w:val="20"/>
        </w:rPr>
        <w:t xml:space="preserve"> het om een medisch ongeval zonder aansprakelijkheid waarbij de ernstgraad bereikt is. Het FMO vergoedt het slachtoffer zonder terug te vorderen van iemand.</w:t>
      </w:r>
    </w:p>
    <w:p w:rsidR="00065385" w:rsidRPr="008F2134" w:rsidRDefault="00065385" w:rsidP="00065385">
      <w:pPr>
        <w:spacing w:after="0"/>
        <w:jc w:val="left"/>
        <w:rPr>
          <w:rFonts w:cs="Arial"/>
          <w:sz w:val="20"/>
        </w:rPr>
      </w:pPr>
    </w:p>
    <w:p w:rsidR="00065385" w:rsidRPr="008F2134" w:rsidRDefault="00065385" w:rsidP="00065385">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8" w:name="_Toc57147836"/>
      <w:bookmarkStart w:id="9" w:name="_Toc68955685"/>
      <w:r w:rsidRPr="008F2134">
        <w:rPr>
          <w:rFonts w:cs="Arial"/>
          <w:sz w:val="20"/>
        </w:rPr>
        <w:t>Organisatie</w:t>
      </w:r>
      <w:bookmarkEnd w:id="8"/>
      <w:bookmarkEnd w:id="9"/>
    </w:p>
    <w:p w:rsidR="00065385" w:rsidRPr="008F2134" w:rsidRDefault="00065385" w:rsidP="00065385">
      <w:pPr>
        <w:spacing w:after="0"/>
        <w:jc w:val="left"/>
        <w:rPr>
          <w:rFonts w:cs="Arial"/>
          <w:sz w:val="20"/>
        </w:rPr>
      </w:pPr>
    </w:p>
    <w:p w:rsidR="00065385" w:rsidRPr="008F2134" w:rsidRDefault="00065385" w:rsidP="00065385">
      <w:pPr>
        <w:spacing w:after="0"/>
        <w:jc w:val="left"/>
        <w:rPr>
          <w:rFonts w:cs="Arial"/>
          <w:sz w:val="20"/>
        </w:rPr>
      </w:pPr>
      <w:r w:rsidRPr="008F2134">
        <w:rPr>
          <w:rFonts w:cs="Arial"/>
          <w:sz w:val="20"/>
        </w:rPr>
        <w:t xml:space="preserve">Het kader van het FMO voorziet </w:t>
      </w:r>
      <w:r w:rsidRPr="008F2134">
        <w:rPr>
          <w:rFonts w:cs="Arial"/>
          <w:sz w:val="20"/>
          <w:u w:val="single"/>
        </w:rPr>
        <w:t>momenteel 51,5 medewerkers</w:t>
      </w:r>
      <w:r w:rsidRPr="008F2134">
        <w:rPr>
          <w:rFonts w:cs="Arial"/>
          <w:sz w:val="20"/>
        </w:rPr>
        <w:t xml:space="preserve">, waarvan er momenteel 46 effectief zijn ingevuld. In 2013 was het kader 21,5 medewerkers en in 2015 45,5 (waarvan in dat jaar 33,5 ingevuld). Die bestaan in essentie uit </w:t>
      </w:r>
      <w:r w:rsidRPr="008F2134">
        <w:rPr>
          <w:rFonts w:cs="Arial"/>
          <w:sz w:val="20"/>
          <w:u w:val="single"/>
        </w:rPr>
        <w:t>drie groepen</w:t>
      </w:r>
      <w:r w:rsidRPr="008F2134">
        <w:rPr>
          <w:rFonts w:cs="Arial"/>
          <w:sz w:val="20"/>
        </w:rPr>
        <w:t>: artsen, juristen, dossierbeheerders. Daarnaast wordt voor expertises beroep gedaan op externe artsen. Waar nodig wordt gebruik gemaakt van de diensten van advocaten.</w:t>
      </w:r>
      <w:r w:rsidR="0076010F" w:rsidRPr="008F2134">
        <w:rPr>
          <w:rFonts w:cs="Arial"/>
          <w:sz w:val="20"/>
        </w:rPr>
        <w:t xml:space="preserve"> Pas begin 2016 kreeg het FMO een eigen directeur.</w:t>
      </w:r>
      <w:r w:rsidRPr="008F2134">
        <w:rPr>
          <w:rFonts w:cs="Arial"/>
          <w:sz w:val="20"/>
        </w:rPr>
        <w:t xml:space="preserve">  </w:t>
      </w:r>
    </w:p>
    <w:p w:rsidR="00065385" w:rsidRPr="008F2134" w:rsidRDefault="00065385" w:rsidP="00065385">
      <w:pPr>
        <w:spacing w:after="0"/>
        <w:jc w:val="left"/>
        <w:rPr>
          <w:rFonts w:cs="Arial"/>
          <w:sz w:val="20"/>
        </w:rPr>
      </w:pPr>
    </w:p>
    <w:p w:rsidR="00065385" w:rsidRPr="008F2134" w:rsidRDefault="00065385" w:rsidP="00065385">
      <w:pPr>
        <w:spacing w:after="0"/>
        <w:jc w:val="left"/>
        <w:rPr>
          <w:rFonts w:cs="Arial"/>
          <w:sz w:val="20"/>
        </w:rPr>
      </w:pPr>
      <w:r w:rsidRPr="008F2134">
        <w:rPr>
          <w:rFonts w:cs="Arial"/>
          <w:sz w:val="20"/>
        </w:rPr>
        <w:t xml:space="preserve">Zoals de andere diensten van het RIZIV heeft het FMO een </w:t>
      </w:r>
      <w:r w:rsidRPr="008F2134">
        <w:rPr>
          <w:rFonts w:cs="Arial"/>
          <w:sz w:val="20"/>
          <w:u w:val="single"/>
        </w:rPr>
        <w:t>Beheerscomité</w:t>
      </w:r>
      <w:r w:rsidRPr="008F2134">
        <w:rPr>
          <w:rFonts w:cs="Arial"/>
          <w:sz w:val="20"/>
        </w:rPr>
        <w:t xml:space="preserve">. Het voorzitterschap ligt bij twee professoren rechten gespecialiseerd in medisch recht. </w:t>
      </w:r>
      <w:r w:rsidR="004F163A">
        <w:rPr>
          <w:rFonts w:cs="Arial"/>
          <w:sz w:val="20"/>
        </w:rPr>
        <w:t>Verder</w:t>
      </w:r>
      <w:r w:rsidRPr="008F2134">
        <w:rPr>
          <w:rFonts w:cs="Arial"/>
          <w:sz w:val="20"/>
        </w:rPr>
        <w:t xml:space="preserve"> zijn er vertegenwoordigers van de overheid, de werkgevers, de werknemers, de verzekeringsinstellingen, de beroepsbeoefenaars, de verzorgingsinstellingen, de patiëntenorganisaties. Dit Beheerscomité vergadert maandelijks. Het bepaalt de beleidslijnen, in het bijzonder rond de </w:t>
      </w:r>
      <w:r w:rsidRPr="008F2134">
        <w:rPr>
          <w:rFonts w:cs="Arial"/>
          <w:sz w:val="20"/>
          <w:u w:val="single"/>
        </w:rPr>
        <w:t>interpretatie van de wetgeving</w:t>
      </w:r>
      <w:r w:rsidRPr="008F2134">
        <w:rPr>
          <w:rFonts w:cs="Arial"/>
          <w:sz w:val="20"/>
        </w:rPr>
        <w:t xml:space="preserve">. </w:t>
      </w:r>
    </w:p>
    <w:p w:rsidR="00065385" w:rsidRPr="008F2134" w:rsidRDefault="00065385" w:rsidP="00065385">
      <w:pPr>
        <w:spacing w:after="0"/>
        <w:jc w:val="left"/>
        <w:rPr>
          <w:rFonts w:cs="Arial"/>
          <w:sz w:val="20"/>
        </w:rPr>
      </w:pPr>
    </w:p>
    <w:p w:rsidR="00065385" w:rsidRPr="008F2134" w:rsidRDefault="0076010F" w:rsidP="00065385">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10" w:name="_Toc57147837"/>
      <w:bookmarkStart w:id="11" w:name="_Toc68955686"/>
      <w:r w:rsidRPr="008F2134">
        <w:rPr>
          <w:rFonts w:cs="Arial"/>
          <w:sz w:val="20"/>
        </w:rPr>
        <w:t>De fundamentele problematiek</w:t>
      </w:r>
      <w:bookmarkEnd w:id="10"/>
      <w:bookmarkEnd w:id="11"/>
    </w:p>
    <w:p w:rsidR="0076010F" w:rsidRPr="008F2134" w:rsidRDefault="0076010F" w:rsidP="0076010F">
      <w:pPr>
        <w:pStyle w:val="FootnoteText"/>
        <w:spacing w:after="0" w:line="240" w:lineRule="auto"/>
        <w:jc w:val="left"/>
        <w:rPr>
          <w:rFonts w:cs="Arial"/>
          <w:sz w:val="20"/>
        </w:rPr>
      </w:pPr>
    </w:p>
    <w:p w:rsidR="0076010F" w:rsidRDefault="0076010F" w:rsidP="0076010F">
      <w:pPr>
        <w:pStyle w:val="FootnoteText"/>
        <w:spacing w:after="0" w:line="240" w:lineRule="auto"/>
        <w:jc w:val="left"/>
        <w:rPr>
          <w:rFonts w:cs="Arial"/>
          <w:i/>
          <w:iCs/>
          <w:sz w:val="20"/>
        </w:rPr>
      </w:pPr>
      <w:r w:rsidRPr="008F2134">
        <w:rPr>
          <w:rFonts w:cs="Arial"/>
          <w:sz w:val="20"/>
        </w:rPr>
        <w:t xml:space="preserve">De werking van het FMO is herhaaldelijk voorwerp geweest van kritiek, met als belangrijkste element de zeer hoge doorlooptijden. De </w:t>
      </w:r>
      <w:r w:rsidRPr="00737EAA">
        <w:rPr>
          <w:rFonts w:cs="Arial"/>
          <w:sz w:val="20"/>
          <w:u w:val="single"/>
        </w:rPr>
        <w:t>voorbije jaren</w:t>
      </w:r>
      <w:r w:rsidRPr="008F2134">
        <w:rPr>
          <w:rFonts w:cs="Arial"/>
          <w:sz w:val="20"/>
        </w:rPr>
        <w:t xml:space="preserve"> is in de werking </w:t>
      </w:r>
      <w:r w:rsidR="0048700E" w:rsidRPr="00737EAA">
        <w:rPr>
          <w:rFonts w:cs="Arial"/>
          <w:sz w:val="20"/>
          <w:u w:val="single"/>
        </w:rPr>
        <w:t>wezenlijke</w:t>
      </w:r>
      <w:r w:rsidRPr="00737EAA">
        <w:rPr>
          <w:rFonts w:cs="Arial"/>
          <w:sz w:val="20"/>
          <w:u w:val="single"/>
        </w:rPr>
        <w:t xml:space="preserve"> vooruitgang</w:t>
      </w:r>
      <w:r w:rsidRPr="008F2134">
        <w:rPr>
          <w:rFonts w:cs="Arial"/>
          <w:sz w:val="20"/>
        </w:rPr>
        <w:t xml:space="preserve"> geboekt, </w:t>
      </w:r>
      <w:proofErr w:type="spellStart"/>
      <w:r w:rsidRPr="008F2134">
        <w:rPr>
          <w:rFonts w:cs="Arial"/>
          <w:sz w:val="20"/>
        </w:rPr>
        <w:t>ondermeer</w:t>
      </w:r>
      <w:proofErr w:type="spellEnd"/>
      <w:r w:rsidRPr="008F2134">
        <w:rPr>
          <w:rFonts w:cs="Arial"/>
          <w:sz w:val="20"/>
        </w:rPr>
        <w:t xml:space="preserve"> inzake opvulling van het kader</w:t>
      </w:r>
      <w:r w:rsidR="00820534" w:rsidRPr="008F2134">
        <w:rPr>
          <w:rFonts w:cs="Arial"/>
          <w:sz w:val="20"/>
        </w:rPr>
        <w:t>,</w:t>
      </w:r>
      <w:r w:rsidRPr="008F2134">
        <w:rPr>
          <w:rFonts w:cs="Arial"/>
          <w:sz w:val="20"/>
        </w:rPr>
        <w:t xml:space="preserve"> digitalisering van de dossierbehandeling</w:t>
      </w:r>
      <w:r w:rsidR="00820534" w:rsidRPr="008F2134">
        <w:rPr>
          <w:rFonts w:cs="Arial"/>
          <w:sz w:val="20"/>
        </w:rPr>
        <w:t xml:space="preserve"> en stroomlijning </w:t>
      </w:r>
      <w:r w:rsidR="00147196">
        <w:rPr>
          <w:rFonts w:cs="Arial"/>
          <w:sz w:val="20"/>
        </w:rPr>
        <w:t xml:space="preserve">van de </w:t>
      </w:r>
      <w:r w:rsidR="00820534" w:rsidRPr="008F2134">
        <w:rPr>
          <w:rFonts w:cs="Arial"/>
          <w:sz w:val="20"/>
        </w:rPr>
        <w:t>processen</w:t>
      </w:r>
      <w:r w:rsidRPr="008F2134">
        <w:rPr>
          <w:rFonts w:cs="Arial"/>
          <w:sz w:val="20"/>
        </w:rPr>
        <w:t xml:space="preserve">. </w:t>
      </w:r>
      <w:r w:rsidR="00A8020F" w:rsidRPr="008F2134">
        <w:rPr>
          <w:rFonts w:cs="Arial"/>
          <w:sz w:val="20"/>
        </w:rPr>
        <w:t xml:space="preserve">Sinds 2017 worden meer dossiers afgehandeld dan er aanvragen binnenkomen en loopt de achterstand terug. Niettemin blijft die onaanvaardbaar hoog. </w:t>
      </w:r>
      <w:r w:rsidR="00A8020F" w:rsidRPr="00737EAA">
        <w:rPr>
          <w:rFonts w:cs="Arial"/>
          <w:sz w:val="20"/>
          <w:u w:val="single"/>
        </w:rPr>
        <w:t>Echt perspectief op verbetering kan enkel mits aanpak van</w:t>
      </w:r>
      <w:r w:rsidR="000052A1" w:rsidRPr="00737EAA">
        <w:rPr>
          <w:rFonts w:cs="Arial"/>
          <w:sz w:val="20"/>
          <w:u w:val="single"/>
        </w:rPr>
        <w:t xml:space="preserve"> de</w:t>
      </w:r>
      <w:r w:rsidR="00025A3B">
        <w:rPr>
          <w:rFonts w:cs="Arial"/>
          <w:sz w:val="20"/>
          <w:u w:val="single"/>
        </w:rPr>
        <w:t xml:space="preserve"> hieronder beschreven</w:t>
      </w:r>
      <w:r w:rsidR="00A8020F" w:rsidRPr="00737EAA">
        <w:rPr>
          <w:rFonts w:cs="Arial"/>
          <w:sz w:val="20"/>
          <w:u w:val="single"/>
        </w:rPr>
        <w:t xml:space="preserve"> twee fundamentele problemen</w:t>
      </w:r>
      <w:r w:rsidR="00A8020F" w:rsidRPr="008F2134">
        <w:rPr>
          <w:rFonts w:cs="Arial"/>
          <w:sz w:val="20"/>
        </w:rPr>
        <w:t xml:space="preserve"> van het FMO. </w:t>
      </w:r>
      <w:r w:rsidR="008F2134" w:rsidRPr="008F2134">
        <w:rPr>
          <w:rFonts w:cs="Arial"/>
          <w:sz w:val="20"/>
        </w:rPr>
        <w:t xml:space="preserve">In de punten 2 en 3 wordt aangegeven hoe het FMO deze problemen – met de steun van de minister en het Beheerscomité – </w:t>
      </w:r>
      <w:r w:rsidR="00147196">
        <w:rPr>
          <w:rFonts w:cs="Arial"/>
          <w:sz w:val="20"/>
        </w:rPr>
        <w:t>beoogt</w:t>
      </w:r>
      <w:r w:rsidR="008F2134" w:rsidRPr="008F2134">
        <w:rPr>
          <w:rFonts w:cs="Arial"/>
          <w:sz w:val="20"/>
        </w:rPr>
        <w:t xml:space="preserve"> aan te pakken. </w:t>
      </w:r>
      <w:r w:rsidR="008F2134" w:rsidRPr="00147196">
        <w:rPr>
          <w:rFonts w:cs="Arial"/>
          <w:i/>
          <w:iCs/>
          <w:sz w:val="20"/>
        </w:rPr>
        <w:t>Hiervoor is geen wetswijziging nodig.</w:t>
      </w:r>
    </w:p>
    <w:p w:rsidR="002836FE" w:rsidRDefault="002836FE">
      <w:pPr>
        <w:spacing w:after="0"/>
        <w:jc w:val="left"/>
        <w:rPr>
          <w:rFonts w:cs="Arial"/>
          <w:i/>
          <w:iCs/>
          <w:sz w:val="20"/>
        </w:rPr>
      </w:pPr>
      <w:r>
        <w:rPr>
          <w:rFonts w:cs="Arial"/>
          <w:i/>
          <w:iCs/>
          <w:sz w:val="20"/>
        </w:rPr>
        <w:br w:type="page"/>
      </w:r>
    </w:p>
    <w:p w:rsidR="0076010F" w:rsidRPr="008F2134" w:rsidRDefault="0048700E" w:rsidP="0076010F">
      <w:pPr>
        <w:pStyle w:val="FootnoteText"/>
        <w:numPr>
          <w:ilvl w:val="0"/>
          <w:numId w:val="8"/>
        </w:numPr>
        <w:pBdr>
          <w:top w:val="single" w:sz="4" w:space="1" w:color="auto"/>
          <w:left w:val="single" w:sz="4" w:space="4" w:color="auto"/>
          <w:bottom w:val="single" w:sz="4" w:space="1" w:color="auto"/>
          <w:right w:val="single" w:sz="4" w:space="4" w:color="auto"/>
        </w:pBdr>
        <w:spacing w:after="0" w:line="240" w:lineRule="auto"/>
        <w:rPr>
          <w:rFonts w:cs="Arial"/>
          <w:b/>
          <w:bCs/>
          <w:sz w:val="20"/>
        </w:rPr>
      </w:pPr>
      <w:r w:rsidRPr="008F2134">
        <w:rPr>
          <w:rFonts w:cs="Arial"/>
          <w:b/>
          <w:bCs/>
          <w:sz w:val="20"/>
        </w:rPr>
        <w:lastRenderedPageBreak/>
        <w:t>Onvoldoende valoriseren eigen expertise</w:t>
      </w:r>
    </w:p>
    <w:p w:rsidR="0076010F" w:rsidRPr="008F2134" w:rsidRDefault="0076010F" w:rsidP="0076010F">
      <w:pPr>
        <w:pStyle w:val="FootnoteText"/>
        <w:spacing w:after="0" w:line="240" w:lineRule="auto"/>
        <w:jc w:val="left"/>
        <w:rPr>
          <w:rFonts w:cs="Arial"/>
          <w:sz w:val="20"/>
        </w:rPr>
      </w:pPr>
    </w:p>
    <w:p w:rsidR="008F2134" w:rsidRPr="008F2134" w:rsidRDefault="008F2134" w:rsidP="0076010F">
      <w:pPr>
        <w:pStyle w:val="FootnoteText"/>
        <w:spacing w:after="0" w:line="240" w:lineRule="auto"/>
        <w:jc w:val="left"/>
        <w:rPr>
          <w:rFonts w:cs="Arial"/>
          <w:sz w:val="20"/>
        </w:rPr>
      </w:pPr>
      <w:r w:rsidRPr="008F2134">
        <w:rPr>
          <w:rFonts w:cs="Arial"/>
          <w:sz w:val="20"/>
        </w:rPr>
        <w:t xml:space="preserve">Het FMO is van nul moeten beginnen. Het heeft een groeipad gelopen inzake opbouw van expertise. </w:t>
      </w:r>
      <w:r w:rsidR="00147196">
        <w:rPr>
          <w:rFonts w:cs="Arial"/>
          <w:sz w:val="20"/>
        </w:rPr>
        <w:t xml:space="preserve">Er was </w:t>
      </w:r>
      <w:r w:rsidRPr="008F2134">
        <w:rPr>
          <w:rFonts w:cs="Arial"/>
          <w:sz w:val="20"/>
        </w:rPr>
        <w:t xml:space="preserve">een </w:t>
      </w:r>
      <w:r w:rsidRPr="00025A3B">
        <w:rPr>
          <w:rFonts w:cs="Arial"/>
          <w:sz w:val="20"/>
          <w:u w:val="single"/>
        </w:rPr>
        <w:t>grote bekommernis fouten te vermijden</w:t>
      </w:r>
      <w:r w:rsidRPr="008F2134">
        <w:rPr>
          <w:rFonts w:cs="Arial"/>
          <w:sz w:val="20"/>
        </w:rPr>
        <w:t xml:space="preserve">. Concreet heeft dit betekend dat is geopteerd </w:t>
      </w:r>
      <w:r w:rsidR="004615AC">
        <w:rPr>
          <w:rFonts w:cs="Arial"/>
          <w:sz w:val="20"/>
        </w:rPr>
        <w:t>om</w:t>
      </w:r>
      <w:r w:rsidR="004F163A">
        <w:rPr>
          <w:rFonts w:cs="Arial"/>
          <w:sz w:val="20"/>
        </w:rPr>
        <w:t xml:space="preserve"> vaak</w:t>
      </w:r>
      <w:r w:rsidR="00A935C0">
        <w:rPr>
          <w:rFonts w:cs="Arial"/>
          <w:sz w:val="20"/>
        </w:rPr>
        <w:t xml:space="preserve"> beroep te doen op </w:t>
      </w:r>
      <w:r w:rsidR="00025A3B" w:rsidRPr="00025A3B">
        <w:rPr>
          <w:rFonts w:cs="Arial"/>
          <w:sz w:val="20"/>
          <w:u w:val="single"/>
        </w:rPr>
        <w:t>tegensprekelijke expertises</w:t>
      </w:r>
      <w:r w:rsidRPr="008F2134">
        <w:rPr>
          <w:rFonts w:cs="Arial"/>
          <w:sz w:val="20"/>
        </w:rPr>
        <w:t xml:space="preserve">. </w:t>
      </w:r>
      <w:r w:rsidR="009E602F">
        <w:rPr>
          <w:rFonts w:cs="Arial"/>
          <w:sz w:val="20"/>
        </w:rPr>
        <w:t xml:space="preserve">Ook in gevallen die de wet niet voorzag werd door de dienst geopteerd voor een tegensprekelijke expertise. </w:t>
      </w:r>
      <w:r w:rsidRPr="008F2134">
        <w:rPr>
          <w:rFonts w:cs="Arial"/>
          <w:sz w:val="20"/>
        </w:rPr>
        <w:t>D</w:t>
      </w:r>
      <w:r w:rsidR="009E602F">
        <w:rPr>
          <w:rFonts w:cs="Arial"/>
          <w:sz w:val="20"/>
        </w:rPr>
        <w:t>eze tegensprekelijke expertises</w:t>
      </w:r>
      <w:r w:rsidRPr="008F2134">
        <w:rPr>
          <w:rFonts w:cs="Arial"/>
          <w:sz w:val="20"/>
        </w:rPr>
        <w:t xml:space="preserve"> gebeuren door externe experten in aanwezigheid van alle betrokken partijen. Alleen al de organisatie hiervan is een belangrijke vertragende factor. </w:t>
      </w:r>
    </w:p>
    <w:p w:rsidR="008F2134" w:rsidRPr="008F2134" w:rsidRDefault="008F2134" w:rsidP="0076010F">
      <w:pPr>
        <w:pStyle w:val="FootnoteText"/>
        <w:spacing w:after="0" w:line="240" w:lineRule="auto"/>
        <w:jc w:val="left"/>
        <w:rPr>
          <w:rFonts w:cs="Arial"/>
          <w:sz w:val="20"/>
        </w:rPr>
      </w:pPr>
    </w:p>
    <w:p w:rsidR="00A8020F" w:rsidRPr="008F2134" w:rsidRDefault="0048700E" w:rsidP="00A8020F">
      <w:pPr>
        <w:pStyle w:val="FootnoteText"/>
        <w:numPr>
          <w:ilvl w:val="0"/>
          <w:numId w:val="8"/>
        </w:numPr>
        <w:pBdr>
          <w:top w:val="single" w:sz="4" w:space="1" w:color="auto"/>
          <w:left w:val="single" w:sz="4" w:space="4" w:color="auto"/>
          <w:bottom w:val="single" w:sz="4" w:space="1" w:color="auto"/>
          <w:right w:val="single" w:sz="4" w:space="4" w:color="auto"/>
        </w:pBdr>
        <w:spacing w:after="0" w:line="240" w:lineRule="auto"/>
        <w:rPr>
          <w:rFonts w:cs="Arial"/>
          <w:b/>
          <w:bCs/>
          <w:sz w:val="20"/>
        </w:rPr>
      </w:pPr>
      <w:r w:rsidRPr="008F2134">
        <w:rPr>
          <w:rFonts w:cs="Arial"/>
          <w:b/>
          <w:bCs/>
          <w:sz w:val="20"/>
        </w:rPr>
        <w:t>Bij de start opgebouwde achterstand</w:t>
      </w:r>
    </w:p>
    <w:p w:rsidR="000052A1" w:rsidRPr="008F2134" w:rsidRDefault="000052A1" w:rsidP="00A8020F">
      <w:pPr>
        <w:pStyle w:val="FootnoteText"/>
        <w:spacing w:after="0" w:line="240" w:lineRule="auto"/>
        <w:jc w:val="left"/>
        <w:rPr>
          <w:rFonts w:cs="Arial"/>
          <w:sz w:val="20"/>
        </w:rPr>
      </w:pPr>
    </w:p>
    <w:p w:rsidR="000052A1" w:rsidRPr="008F2134" w:rsidRDefault="004A0E2A" w:rsidP="000052A1">
      <w:pPr>
        <w:pStyle w:val="FootnoteText"/>
        <w:spacing w:after="0" w:line="240" w:lineRule="auto"/>
        <w:jc w:val="center"/>
        <w:rPr>
          <w:rFonts w:cs="Arial"/>
          <w:sz w:val="20"/>
        </w:rPr>
      </w:pPr>
      <w:r>
        <w:rPr>
          <w:rFonts w:cs="Arial"/>
          <w:noProof/>
          <w:sz w:val="20"/>
          <w:lang w:val="en-GB" w:eastAsia="en-GB"/>
        </w:rPr>
        <w:drawing>
          <wp:inline distT="0" distB="0" distL="0" distR="0" wp14:anchorId="10F1050D" wp14:editId="095B7002">
            <wp:extent cx="4381500" cy="2414395"/>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9915" cy="2474136"/>
                    </a:xfrm>
                    <a:prstGeom prst="rect">
                      <a:avLst/>
                    </a:prstGeom>
                    <a:noFill/>
                  </pic:spPr>
                </pic:pic>
              </a:graphicData>
            </a:graphic>
          </wp:inline>
        </w:drawing>
      </w:r>
    </w:p>
    <w:p w:rsidR="000052A1" w:rsidRPr="008F2134" w:rsidRDefault="000052A1" w:rsidP="000052A1">
      <w:pPr>
        <w:spacing w:after="0"/>
        <w:jc w:val="left"/>
        <w:rPr>
          <w:rFonts w:cs="Arial"/>
          <w:sz w:val="20"/>
        </w:rPr>
      </w:pPr>
      <w:r w:rsidRPr="008F2134">
        <w:rPr>
          <w:rFonts w:cs="Arial"/>
          <w:sz w:val="20"/>
        </w:rPr>
        <w:t xml:space="preserve">De grafiek hierboven geeft een </w:t>
      </w:r>
      <w:r w:rsidRPr="00306784">
        <w:rPr>
          <w:rFonts w:cs="Arial"/>
          <w:sz w:val="20"/>
          <w:u w:val="single"/>
        </w:rPr>
        <w:t>beeld van de nieuwe aanvragen en de afge</w:t>
      </w:r>
      <w:r w:rsidR="00EC1D68" w:rsidRPr="00306784">
        <w:rPr>
          <w:rFonts w:cs="Arial"/>
          <w:sz w:val="20"/>
          <w:u w:val="single"/>
        </w:rPr>
        <w:t>handelde dossiers</w:t>
      </w:r>
      <w:r w:rsidRPr="008F2134">
        <w:rPr>
          <w:rFonts w:cs="Arial"/>
          <w:sz w:val="20"/>
        </w:rPr>
        <w:t xml:space="preserve">. </w:t>
      </w:r>
    </w:p>
    <w:p w:rsidR="000052A1" w:rsidRPr="008F2134" w:rsidRDefault="000052A1" w:rsidP="000052A1">
      <w:pPr>
        <w:pStyle w:val="ListParagraph"/>
        <w:numPr>
          <w:ilvl w:val="0"/>
          <w:numId w:val="30"/>
        </w:numPr>
        <w:spacing w:after="0" w:line="240" w:lineRule="auto"/>
        <w:rPr>
          <w:rFonts w:ascii="Arial" w:hAnsi="Arial" w:cs="Arial"/>
          <w:sz w:val="20"/>
          <w:szCs w:val="20"/>
        </w:rPr>
      </w:pPr>
      <w:r w:rsidRPr="008F2134">
        <w:rPr>
          <w:rFonts w:ascii="Arial" w:hAnsi="Arial" w:cs="Arial"/>
          <w:sz w:val="20"/>
          <w:szCs w:val="20"/>
        </w:rPr>
        <w:t xml:space="preserve">In 2012-2014 werden ca 2500 aanvragen ingediend en slechts een kleine 300 dossiers afgewerkt. In de periode tot 2016 werd een totale </w:t>
      </w:r>
      <w:r w:rsidRPr="0027101A">
        <w:rPr>
          <w:rFonts w:ascii="Arial" w:hAnsi="Arial" w:cs="Arial"/>
          <w:sz w:val="20"/>
          <w:szCs w:val="20"/>
          <w:u w:val="single"/>
        </w:rPr>
        <w:t>gecumuleerde achterstand van ca 2500 dossiers</w:t>
      </w:r>
      <w:r w:rsidR="0027101A">
        <w:rPr>
          <w:rFonts w:ascii="Arial" w:hAnsi="Arial" w:cs="Arial"/>
          <w:sz w:val="20"/>
          <w:szCs w:val="20"/>
        </w:rPr>
        <w:t xml:space="preserve"> opgebouwd.</w:t>
      </w:r>
    </w:p>
    <w:p w:rsidR="000052A1" w:rsidRPr="008F2134" w:rsidRDefault="000052A1" w:rsidP="000052A1">
      <w:pPr>
        <w:pStyle w:val="ListParagraph"/>
        <w:numPr>
          <w:ilvl w:val="0"/>
          <w:numId w:val="30"/>
        </w:numPr>
        <w:spacing w:after="0" w:line="240" w:lineRule="auto"/>
        <w:rPr>
          <w:rFonts w:ascii="Arial" w:hAnsi="Arial" w:cs="Arial"/>
          <w:sz w:val="20"/>
          <w:szCs w:val="20"/>
        </w:rPr>
      </w:pPr>
      <w:r w:rsidRPr="0027101A">
        <w:rPr>
          <w:rFonts w:ascii="Arial" w:hAnsi="Arial" w:cs="Arial"/>
          <w:sz w:val="20"/>
          <w:szCs w:val="20"/>
          <w:u w:val="single"/>
        </w:rPr>
        <w:t>Sinds 2017</w:t>
      </w:r>
      <w:r w:rsidRPr="008F2134">
        <w:rPr>
          <w:rFonts w:ascii="Arial" w:hAnsi="Arial" w:cs="Arial"/>
          <w:sz w:val="20"/>
          <w:szCs w:val="20"/>
        </w:rPr>
        <w:t xml:space="preserve"> werkt het FMO ca 600 dossiers per jaar af. Dat zijn er meer dan het aantal nieuwe aanvragen. Vanaf dan is de </w:t>
      </w:r>
      <w:r w:rsidRPr="0027101A">
        <w:rPr>
          <w:rFonts w:ascii="Arial" w:hAnsi="Arial" w:cs="Arial"/>
          <w:sz w:val="20"/>
          <w:szCs w:val="20"/>
          <w:u w:val="single"/>
        </w:rPr>
        <w:t>afbouw van de opgebouwde achterstand</w:t>
      </w:r>
      <w:r w:rsidRPr="008F2134">
        <w:rPr>
          <w:rFonts w:ascii="Arial" w:hAnsi="Arial" w:cs="Arial"/>
          <w:sz w:val="20"/>
          <w:szCs w:val="20"/>
        </w:rPr>
        <w:t xml:space="preserve"> begonnen (tempo ca 1</w:t>
      </w:r>
      <w:r w:rsidR="00FB2385">
        <w:rPr>
          <w:rFonts w:ascii="Arial" w:hAnsi="Arial" w:cs="Arial"/>
          <w:sz w:val="20"/>
          <w:szCs w:val="20"/>
        </w:rPr>
        <w:t>2</w:t>
      </w:r>
      <w:r w:rsidRPr="008F2134">
        <w:rPr>
          <w:rFonts w:ascii="Arial" w:hAnsi="Arial" w:cs="Arial"/>
          <w:sz w:val="20"/>
          <w:szCs w:val="20"/>
        </w:rPr>
        <w:t xml:space="preserve">0 dossiers per jaar). </w:t>
      </w:r>
      <w:r w:rsidR="00112424">
        <w:rPr>
          <w:rFonts w:ascii="Arial" w:hAnsi="Arial" w:cs="Arial"/>
          <w:sz w:val="20"/>
          <w:szCs w:val="20"/>
        </w:rPr>
        <w:t>Door efficiëntieverhoging kan dit wellicht verhoogd worden tot 146 meer out dan in per jaar.</w:t>
      </w:r>
    </w:p>
    <w:p w:rsidR="009E496C" w:rsidRDefault="000A5A5B" w:rsidP="008F2134">
      <w:pPr>
        <w:pStyle w:val="ListParagraph"/>
        <w:numPr>
          <w:ilvl w:val="0"/>
          <w:numId w:val="30"/>
        </w:numPr>
        <w:spacing w:after="0" w:line="240" w:lineRule="auto"/>
        <w:rPr>
          <w:rFonts w:ascii="Arial" w:hAnsi="Arial" w:cs="Arial"/>
          <w:sz w:val="20"/>
          <w:szCs w:val="20"/>
        </w:rPr>
      </w:pPr>
      <w:r>
        <w:rPr>
          <w:rFonts w:ascii="Arial" w:hAnsi="Arial" w:cs="Arial"/>
          <w:sz w:val="20"/>
          <w:szCs w:val="20"/>
        </w:rPr>
        <w:t xml:space="preserve">Er zijn </w:t>
      </w:r>
      <w:r w:rsidR="00025A3B">
        <w:rPr>
          <w:rFonts w:ascii="Arial" w:hAnsi="Arial" w:cs="Arial"/>
          <w:sz w:val="20"/>
          <w:szCs w:val="20"/>
        </w:rPr>
        <w:t>momenteel</w:t>
      </w:r>
      <w:r w:rsidR="004F163A">
        <w:rPr>
          <w:rStyle w:val="FootnoteReference"/>
          <w:rFonts w:ascii="Arial" w:hAnsi="Arial" w:cs="Arial"/>
          <w:sz w:val="20"/>
          <w:szCs w:val="20"/>
        </w:rPr>
        <w:footnoteReference w:id="6"/>
      </w:r>
      <w:r>
        <w:rPr>
          <w:rFonts w:ascii="Arial" w:hAnsi="Arial" w:cs="Arial"/>
          <w:sz w:val="20"/>
          <w:szCs w:val="20"/>
        </w:rPr>
        <w:t xml:space="preserve"> </w:t>
      </w:r>
      <w:r w:rsidR="00112424" w:rsidRPr="008F2134">
        <w:rPr>
          <w:rFonts w:ascii="Arial" w:hAnsi="Arial" w:cs="Arial"/>
          <w:sz w:val="20"/>
          <w:szCs w:val="20"/>
        </w:rPr>
        <w:t>1</w:t>
      </w:r>
      <w:r w:rsidR="00112424">
        <w:rPr>
          <w:rFonts w:ascii="Arial" w:hAnsi="Arial" w:cs="Arial"/>
          <w:sz w:val="20"/>
          <w:szCs w:val="20"/>
        </w:rPr>
        <w:t>892</w:t>
      </w:r>
      <w:r w:rsidR="00112424" w:rsidRPr="008F2134">
        <w:rPr>
          <w:rFonts w:ascii="Arial" w:hAnsi="Arial" w:cs="Arial"/>
          <w:sz w:val="20"/>
          <w:szCs w:val="20"/>
        </w:rPr>
        <w:t xml:space="preserve"> </w:t>
      </w:r>
      <w:r w:rsidR="000052A1" w:rsidRPr="008F2134">
        <w:rPr>
          <w:rFonts w:ascii="Arial" w:hAnsi="Arial" w:cs="Arial"/>
          <w:sz w:val="20"/>
          <w:szCs w:val="20"/>
        </w:rPr>
        <w:t xml:space="preserve">uitstaande dossiers. </w:t>
      </w:r>
      <w:r w:rsidR="00CC75A0">
        <w:rPr>
          <w:rFonts w:ascii="Arial" w:hAnsi="Arial" w:cs="Arial"/>
          <w:sz w:val="20"/>
          <w:szCs w:val="20"/>
        </w:rPr>
        <w:t xml:space="preserve">Gegeven de jaarproductie van ca 600 dossiers, </w:t>
      </w:r>
      <w:r w:rsidR="000052A1" w:rsidRPr="0027101A">
        <w:rPr>
          <w:rFonts w:ascii="Arial" w:hAnsi="Arial" w:cs="Arial"/>
          <w:sz w:val="20"/>
          <w:szCs w:val="20"/>
          <w:u w:val="single"/>
        </w:rPr>
        <w:t xml:space="preserve">verklaart </w:t>
      </w:r>
      <w:r w:rsidR="00CC75A0">
        <w:rPr>
          <w:rFonts w:ascii="Arial" w:hAnsi="Arial" w:cs="Arial"/>
          <w:sz w:val="20"/>
          <w:szCs w:val="20"/>
          <w:u w:val="single"/>
        </w:rPr>
        <w:t xml:space="preserve">dit </w:t>
      </w:r>
      <w:r w:rsidR="000052A1" w:rsidRPr="0027101A">
        <w:rPr>
          <w:rFonts w:ascii="Arial" w:hAnsi="Arial" w:cs="Arial"/>
          <w:sz w:val="20"/>
          <w:szCs w:val="20"/>
          <w:u w:val="single"/>
        </w:rPr>
        <w:t>meteen de gemiddelde doorlooptijd</w:t>
      </w:r>
      <w:r w:rsidR="000052A1" w:rsidRPr="008F2134">
        <w:rPr>
          <w:rFonts w:ascii="Arial" w:hAnsi="Arial" w:cs="Arial"/>
          <w:sz w:val="20"/>
          <w:szCs w:val="20"/>
        </w:rPr>
        <w:t xml:space="preserve"> van 4 jaar die het Rekenhof recent vaststelde</w:t>
      </w:r>
      <w:r w:rsidR="00CC75A0">
        <w:rPr>
          <w:rFonts w:ascii="Arial" w:hAnsi="Arial" w:cs="Arial"/>
          <w:sz w:val="20"/>
          <w:szCs w:val="20"/>
        </w:rPr>
        <w:t>. Er wordt immers gewerkt op basis van het principe First In First Out (uitzondering: de prioritaire dossiers met ernstige schade)</w:t>
      </w:r>
      <w:r w:rsidR="000052A1" w:rsidRPr="008F2134">
        <w:rPr>
          <w:rFonts w:ascii="Arial" w:hAnsi="Arial" w:cs="Arial"/>
          <w:sz w:val="20"/>
          <w:szCs w:val="20"/>
        </w:rPr>
        <w:t>.</w:t>
      </w:r>
    </w:p>
    <w:p w:rsidR="00D84DE5" w:rsidRPr="00A34A91" w:rsidRDefault="004E4EB5" w:rsidP="004057E6">
      <w:pPr>
        <w:pStyle w:val="Heading1"/>
        <w:spacing w:line="240" w:lineRule="auto"/>
      </w:pPr>
      <w:bookmarkStart w:id="12" w:name="_Toc68955687"/>
      <w:r w:rsidRPr="00A34A91">
        <w:lastRenderedPageBreak/>
        <w:t xml:space="preserve">Structurele </w:t>
      </w:r>
      <w:r w:rsidR="0005519E">
        <w:t>bijsturing in dossierbehandeling</w:t>
      </w:r>
      <w:bookmarkEnd w:id="12"/>
    </w:p>
    <w:p w:rsidR="007530DF" w:rsidRDefault="007530DF">
      <w:pPr>
        <w:spacing w:after="0"/>
        <w:jc w:val="left"/>
        <w:rPr>
          <w:rFonts w:cs="Arial"/>
          <w:b/>
          <w:spacing w:val="-4"/>
          <w:kern w:val="28"/>
          <w:sz w:val="20"/>
        </w:rPr>
      </w:pPr>
      <w:bookmarkStart w:id="13" w:name="_Hlk56451332"/>
    </w:p>
    <w:p w:rsidR="004E4EB5" w:rsidRPr="00A34A91" w:rsidRDefault="00E11857" w:rsidP="004057E6">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14" w:name="_Toc68955688"/>
      <w:r w:rsidRPr="00A34A91">
        <w:rPr>
          <w:rFonts w:cs="Arial"/>
          <w:sz w:val="20"/>
        </w:rPr>
        <w:t>Procedurele aanpak</w:t>
      </w:r>
      <w:bookmarkEnd w:id="14"/>
    </w:p>
    <w:p w:rsidR="004E4EB5" w:rsidRPr="00A34A91" w:rsidRDefault="004E4EB5" w:rsidP="002805D5">
      <w:pPr>
        <w:spacing w:after="0"/>
        <w:rPr>
          <w:rFonts w:cs="Arial"/>
          <w:b/>
          <w:bCs/>
          <w:sz w:val="20"/>
        </w:rPr>
      </w:pPr>
    </w:p>
    <w:p w:rsidR="0005519E" w:rsidRDefault="008F2134" w:rsidP="00F6115D">
      <w:pPr>
        <w:spacing w:after="0"/>
        <w:jc w:val="left"/>
        <w:rPr>
          <w:rFonts w:cs="Arial"/>
          <w:sz w:val="20"/>
        </w:rPr>
      </w:pPr>
      <w:r>
        <w:rPr>
          <w:rFonts w:cs="Arial"/>
          <w:sz w:val="20"/>
        </w:rPr>
        <w:t xml:space="preserve">Het FMO heeft ondertussen </w:t>
      </w:r>
      <w:r w:rsidR="00A02B3B">
        <w:rPr>
          <w:rFonts w:cs="Arial"/>
          <w:sz w:val="20"/>
        </w:rPr>
        <w:t>er</w:t>
      </w:r>
      <w:r>
        <w:rPr>
          <w:rFonts w:cs="Arial"/>
          <w:sz w:val="20"/>
        </w:rPr>
        <w:t xml:space="preserve">varing opgedaan en expertise opgebouwd. In dat licht </w:t>
      </w:r>
      <w:r w:rsidR="0005519E">
        <w:rPr>
          <w:rFonts w:cs="Arial"/>
          <w:sz w:val="20"/>
        </w:rPr>
        <w:t xml:space="preserve">is het tijd voor een bijsturing in de procedurele aanpak. Dit is wezenlijk voor een vlottere doorloop van de dossiers, waarbij de </w:t>
      </w:r>
      <w:r w:rsidR="0027101A">
        <w:rPr>
          <w:rFonts w:cs="Arial"/>
          <w:sz w:val="20"/>
        </w:rPr>
        <w:t xml:space="preserve">dossiers met ernstige schade </w:t>
      </w:r>
      <w:r w:rsidR="0005519E">
        <w:rPr>
          <w:rFonts w:cs="Arial"/>
          <w:sz w:val="20"/>
        </w:rPr>
        <w:t>een maximale focus kunnen krijgen.</w:t>
      </w:r>
    </w:p>
    <w:p w:rsidR="00E07E9D" w:rsidRDefault="00E07E9D" w:rsidP="00F6115D">
      <w:pPr>
        <w:pStyle w:val="FootnoteText"/>
        <w:spacing w:after="0" w:line="240" w:lineRule="auto"/>
        <w:jc w:val="left"/>
        <w:rPr>
          <w:rFonts w:cs="Arial"/>
          <w:sz w:val="20"/>
        </w:rPr>
      </w:pPr>
    </w:p>
    <w:p w:rsidR="00E07E9D" w:rsidRPr="002805D5" w:rsidRDefault="00E07E9D" w:rsidP="00F6115D">
      <w:pPr>
        <w:pStyle w:val="FootnoteText"/>
        <w:numPr>
          <w:ilvl w:val="0"/>
          <w:numId w:val="29"/>
        </w:numPr>
        <w:pBdr>
          <w:top w:val="single" w:sz="4" w:space="1" w:color="auto"/>
          <w:left w:val="single" w:sz="4" w:space="4" w:color="auto"/>
          <w:bottom w:val="single" w:sz="4" w:space="1" w:color="auto"/>
          <w:right w:val="single" w:sz="4" w:space="4" w:color="auto"/>
        </w:pBdr>
        <w:spacing w:after="0" w:line="240" w:lineRule="auto"/>
        <w:jc w:val="left"/>
        <w:rPr>
          <w:rFonts w:cs="Arial"/>
          <w:b/>
          <w:bCs/>
          <w:sz w:val="20"/>
        </w:rPr>
      </w:pPr>
      <w:r w:rsidRPr="002805D5">
        <w:rPr>
          <w:rFonts w:cs="Arial"/>
          <w:b/>
          <w:bCs/>
          <w:sz w:val="20"/>
        </w:rPr>
        <w:t>Meer proactieve verzameling van de stukken bij het begin van de procedure</w:t>
      </w:r>
    </w:p>
    <w:p w:rsidR="0005519E" w:rsidRDefault="0005519E" w:rsidP="00F6115D">
      <w:pPr>
        <w:pStyle w:val="FootnoteText"/>
        <w:spacing w:after="0" w:line="240" w:lineRule="auto"/>
        <w:jc w:val="left"/>
        <w:rPr>
          <w:rFonts w:cs="Arial"/>
          <w:sz w:val="20"/>
        </w:rPr>
      </w:pPr>
    </w:p>
    <w:p w:rsidR="00E07E9D" w:rsidRPr="00073E26" w:rsidRDefault="00E07E9D" w:rsidP="00F6115D">
      <w:pPr>
        <w:pStyle w:val="FootnoteText"/>
        <w:spacing w:after="0" w:line="240" w:lineRule="auto"/>
        <w:jc w:val="left"/>
        <w:rPr>
          <w:rFonts w:cs="Arial"/>
          <w:sz w:val="20"/>
        </w:rPr>
      </w:pPr>
      <w:r w:rsidRPr="00073E26">
        <w:rPr>
          <w:rFonts w:cs="Arial"/>
          <w:sz w:val="20"/>
        </w:rPr>
        <w:t xml:space="preserve">In de </w:t>
      </w:r>
      <w:r w:rsidRPr="00073E26">
        <w:rPr>
          <w:rFonts w:cs="Arial"/>
          <w:sz w:val="20"/>
          <w:u w:val="single"/>
        </w:rPr>
        <w:t>huidige aanpak</w:t>
      </w:r>
      <w:r w:rsidRPr="00073E26">
        <w:rPr>
          <w:rFonts w:cs="Arial"/>
          <w:sz w:val="20"/>
        </w:rPr>
        <w:t xml:space="preserve"> </w:t>
      </w:r>
      <w:r w:rsidR="00E9799E">
        <w:rPr>
          <w:rFonts w:cs="Arial"/>
          <w:sz w:val="20"/>
        </w:rPr>
        <w:t xml:space="preserve">wordt </w:t>
      </w:r>
      <w:r w:rsidRPr="00073E26">
        <w:rPr>
          <w:rFonts w:cs="Arial"/>
          <w:sz w:val="20"/>
        </w:rPr>
        <w:t xml:space="preserve">de informatie die </w:t>
      </w:r>
      <w:r w:rsidR="00E9799E">
        <w:rPr>
          <w:rFonts w:cs="Arial"/>
          <w:sz w:val="20"/>
        </w:rPr>
        <w:t xml:space="preserve">de aanvrager </w:t>
      </w:r>
      <w:r w:rsidRPr="00073E26">
        <w:rPr>
          <w:rFonts w:cs="Arial"/>
          <w:sz w:val="20"/>
        </w:rPr>
        <w:t xml:space="preserve">levert </w:t>
      </w:r>
      <w:r w:rsidR="00E9799E">
        <w:rPr>
          <w:rFonts w:cs="Arial"/>
          <w:sz w:val="20"/>
        </w:rPr>
        <w:t xml:space="preserve">bij zijn aanvraag </w:t>
      </w:r>
      <w:r w:rsidRPr="00073E26">
        <w:rPr>
          <w:rFonts w:cs="Arial"/>
          <w:sz w:val="20"/>
        </w:rPr>
        <w:t>niet verder gebruikt. Het FMO doet een eerste in</w:t>
      </w:r>
      <w:r w:rsidR="00484A68">
        <w:rPr>
          <w:rFonts w:cs="Arial"/>
          <w:sz w:val="20"/>
        </w:rPr>
        <w:t xml:space="preserve">terne medische analyse van de </w:t>
      </w:r>
      <w:r w:rsidRPr="00073E26">
        <w:rPr>
          <w:rFonts w:cs="Arial"/>
          <w:sz w:val="20"/>
        </w:rPr>
        <w:t xml:space="preserve">aanvraag en </w:t>
      </w:r>
      <w:r w:rsidRPr="00073E26">
        <w:rPr>
          <w:rFonts w:cs="Arial"/>
          <w:sz w:val="20"/>
          <w:u w:val="single"/>
        </w:rPr>
        <w:t>op die basis gaat het FMO alle stukken opvragen</w:t>
      </w:r>
      <w:r w:rsidRPr="00073E26">
        <w:rPr>
          <w:rFonts w:cs="Arial"/>
          <w:sz w:val="20"/>
        </w:rPr>
        <w:t xml:space="preserve">. Op basis van de ontvangen stukken gebeurt een tweede interne medische analyse. </w:t>
      </w:r>
    </w:p>
    <w:p w:rsidR="006530EE" w:rsidRDefault="006530EE" w:rsidP="00F6115D">
      <w:pPr>
        <w:spacing w:after="0"/>
        <w:jc w:val="left"/>
        <w:rPr>
          <w:rFonts w:cs="Arial"/>
          <w:sz w:val="20"/>
        </w:rPr>
      </w:pPr>
    </w:p>
    <w:p w:rsidR="004E4EB5" w:rsidRPr="00A34A91" w:rsidRDefault="004E4EB5" w:rsidP="00F6115D">
      <w:pPr>
        <w:spacing w:after="0"/>
        <w:jc w:val="left"/>
        <w:rPr>
          <w:rFonts w:cs="Arial"/>
          <w:sz w:val="20"/>
        </w:rPr>
      </w:pPr>
      <w:r w:rsidRPr="00A34A91">
        <w:rPr>
          <w:rFonts w:cs="Arial"/>
          <w:sz w:val="20"/>
        </w:rPr>
        <w:t>In de vernieuwde aanpak</w:t>
      </w:r>
      <w:r w:rsidR="007C2898">
        <w:rPr>
          <w:rFonts w:cs="Arial"/>
          <w:sz w:val="20"/>
        </w:rPr>
        <w:t xml:space="preserve"> </w:t>
      </w:r>
      <w:r w:rsidRPr="006530EE">
        <w:rPr>
          <w:rFonts w:cs="Arial"/>
          <w:sz w:val="20"/>
          <w:u w:val="single"/>
        </w:rPr>
        <w:t>start het F</w:t>
      </w:r>
      <w:r w:rsidR="006530EE" w:rsidRPr="006530EE">
        <w:rPr>
          <w:rFonts w:cs="Arial"/>
          <w:sz w:val="20"/>
          <w:u w:val="single"/>
        </w:rPr>
        <w:t xml:space="preserve">MO de procedure met een </w:t>
      </w:r>
      <w:r w:rsidR="00AD23AC">
        <w:rPr>
          <w:rFonts w:cs="Arial"/>
          <w:sz w:val="20"/>
          <w:u w:val="single"/>
        </w:rPr>
        <w:t xml:space="preserve">eerste </w:t>
      </w:r>
      <w:r w:rsidRPr="006530EE">
        <w:rPr>
          <w:rFonts w:cs="Arial"/>
          <w:sz w:val="20"/>
          <w:u w:val="single"/>
        </w:rPr>
        <w:t>analyse van een aanvraag op basis van</w:t>
      </w:r>
      <w:r w:rsidRPr="00A34A91">
        <w:rPr>
          <w:rFonts w:cs="Arial"/>
          <w:sz w:val="20"/>
        </w:rPr>
        <w:t xml:space="preserve">: </w:t>
      </w:r>
    </w:p>
    <w:p w:rsidR="004E4EB5" w:rsidRPr="00A34A91" w:rsidRDefault="00D97C40" w:rsidP="00F6115D">
      <w:pPr>
        <w:pStyle w:val="ListParagraph"/>
        <w:numPr>
          <w:ilvl w:val="0"/>
          <w:numId w:val="5"/>
        </w:numPr>
        <w:spacing w:after="0" w:line="240" w:lineRule="auto"/>
        <w:rPr>
          <w:rFonts w:ascii="Arial" w:hAnsi="Arial" w:cs="Arial"/>
          <w:sz w:val="20"/>
          <w:szCs w:val="20"/>
        </w:rPr>
      </w:pPr>
      <w:r>
        <w:rPr>
          <w:rFonts w:ascii="Arial" w:hAnsi="Arial" w:cs="Arial"/>
          <w:sz w:val="20"/>
          <w:szCs w:val="20"/>
        </w:rPr>
        <w:t>h</w:t>
      </w:r>
      <w:r w:rsidR="004E4EB5" w:rsidRPr="00A34A91">
        <w:rPr>
          <w:rFonts w:ascii="Arial" w:hAnsi="Arial" w:cs="Arial"/>
          <w:sz w:val="20"/>
          <w:szCs w:val="20"/>
        </w:rPr>
        <w:t xml:space="preserve">et </w:t>
      </w:r>
      <w:r w:rsidR="004E4EB5" w:rsidRPr="002805D5">
        <w:rPr>
          <w:rFonts w:ascii="Arial" w:hAnsi="Arial" w:cs="Arial"/>
          <w:i/>
          <w:iCs/>
          <w:sz w:val="20"/>
          <w:szCs w:val="20"/>
        </w:rPr>
        <w:t>aanvraagformulier</w:t>
      </w:r>
      <w:r w:rsidR="004E4EB5" w:rsidRPr="00A34A91">
        <w:rPr>
          <w:rFonts w:ascii="Arial" w:hAnsi="Arial" w:cs="Arial"/>
          <w:sz w:val="20"/>
          <w:szCs w:val="20"/>
        </w:rPr>
        <w:t xml:space="preserve">: dit wordt aangepast met </w:t>
      </w:r>
      <w:r w:rsidR="002E04B5">
        <w:rPr>
          <w:rFonts w:ascii="Arial" w:hAnsi="Arial" w:cs="Arial"/>
          <w:sz w:val="20"/>
          <w:szCs w:val="20"/>
        </w:rPr>
        <w:t>de uitdrukkelijke</w:t>
      </w:r>
      <w:r w:rsidR="004E4EB5" w:rsidRPr="00A34A91">
        <w:rPr>
          <w:rFonts w:ascii="Arial" w:hAnsi="Arial" w:cs="Arial"/>
          <w:sz w:val="20"/>
          <w:szCs w:val="20"/>
        </w:rPr>
        <w:t xml:space="preserve"> </w:t>
      </w:r>
      <w:r w:rsidR="006F7755">
        <w:rPr>
          <w:rFonts w:ascii="Arial" w:hAnsi="Arial" w:cs="Arial"/>
          <w:sz w:val="20"/>
          <w:szCs w:val="20"/>
        </w:rPr>
        <w:t>vraag</w:t>
      </w:r>
      <w:r w:rsidR="004E4EB5" w:rsidRPr="00A34A91">
        <w:rPr>
          <w:rFonts w:ascii="Arial" w:hAnsi="Arial" w:cs="Arial"/>
          <w:sz w:val="20"/>
          <w:szCs w:val="20"/>
        </w:rPr>
        <w:t xml:space="preserve"> voor meesturen van het medisch dossier en de gegevens arbeidsongeschiktheid</w:t>
      </w:r>
      <w:r w:rsidR="002E04B5">
        <w:rPr>
          <w:rFonts w:ascii="Arial" w:hAnsi="Arial" w:cs="Arial"/>
          <w:sz w:val="20"/>
          <w:szCs w:val="20"/>
        </w:rPr>
        <w:t>,</w:t>
      </w:r>
    </w:p>
    <w:p w:rsidR="004E4EB5" w:rsidRPr="00D633BC" w:rsidRDefault="00D97C40" w:rsidP="00F6115D">
      <w:pPr>
        <w:pStyle w:val="ListParagraph"/>
        <w:numPr>
          <w:ilvl w:val="0"/>
          <w:numId w:val="5"/>
        </w:numPr>
        <w:spacing w:after="0" w:line="240" w:lineRule="auto"/>
        <w:rPr>
          <w:rFonts w:ascii="Arial" w:hAnsi="Arial" w:cs="Arial"/>
          <w:bCs/>
          <w:i/>
          <w:iCs/>
          <w:sz w:val="20"/>
          <w:szCs w:val="20"/>
        </w:rPr>
      </w:pPr>
      <w:r>
        <w:rPr>
          <w:rFonts w:ascii="Arial" w:hAnsi="Arial" w:cs="Arial"/>
          <w:sz w:val="20"/>
          <w:szCs w:val="20"/>
        </w:rPr>
        <w:t>h</w:t>
      </w:r>
      <w:r w:rsidR="004E4EB5" w:rsidRPr="00A34A91">
        <w:rPr>
          <w:rFonts w:ascii="Arial" w:hAnsi="Arial" w:cs="Arial"/>
          <w:sz w:val="20"/>
          <w:szCs w:val="20"/>
        </w:rPr>
        <w:t xml:space="preserve">et </w:t>
      </w:r>
      <w:r w:rsidR="004E4EB5" w:rsidRPr="00D633BC">
        <w:rPr>
          <w:rFonts w:ascii="Arial" w:hAnsi="Arial" w:cs="Arial"/>
          <w:bCs/>
          <w:i/>
          <w:iCs/>
          <w:sz w:val="20"/>
          <w:szCs w:val="20"/>
        </w:rPr>
        <w:t>medisch dossier</w:t>
      </w:r>
      <w:r w:rsidR="004E4EB5" w:rsidRPr="00A34A91">
        <w:rPr>
          <w:rFonts w:ascii="Arial" w:hAnsi="Arial" w:cs="Arial"/>
          <w:sz w:val="20"/>
          <w:szCs w:val="20"/>
        </w:rPr>
        <w:t xml:space="preserve"> zoals </w:t>
      </w:r>
      <w:r w:rsidR="004E4EB5" w:rsidRPr="00826752">
        <w:rPr>
          <w:rFonts w:ascii="Arial" w:hAnsi="Arial" w:cs="Arial"/>
          <w:sz w:val="20"/>
          <w:szCs w:val="20"/>
        </w:rPr>
        <w:t xml:space="preserve">bezorgd door de </w:t>
      </w:r>
      <w:r w:rsidR="004E4EB5" w:rsidRPr="00826752">
        <w:rPr>
          <w:rFonts w:ascii="Arial" w:hAnsi="Arial" w:cs="Arial"/>
          <w:i/>
          <w:iCs/>
          <w:sz w:val="20"/>
          <w:szCs w:val="20"/>
        </w:rPr>
        <w:t>aanvrager</w:t>
      </w:r>
      <w:r w:rsidR="00E9799E">
        <w:rPr>
          <w:rFonts w:ascii="Arial" w:hAnsi="Arial" w:cs="Arial"/>
          <w:bCs/>
          <w:i/>
          <w:iCs/>
          <w:sz w:val="20"/>
          <w:szCs w:val="20"/>
        </w:rPr>
        <w:t>,</w:t>
      </w:r>
    </w:p>
    <w:p w:rsidR="004E4EB5" w:rsidRPr="00A34A91" w:rsidRDefault="00D97C40" w:rsidP="00F6115D">
      <w:pPr>
        <w:pStyle w:val="ListParagraph"/>
        <w:numPr>
          <w:ilvl w:val="0"/>
          <w:numId w:val="5"/>
        </w:numPr>
        <w:spacing w:after="0" w:line="240" w:lineRule="auto"/>
        <w:rPr>
          <w:rFonts w:ascii="Arial" w:hAnsi="Arial" w:cs="Arial"/>
          <w:sz w:val="20"/>
          <w:szCs w:val="20"/>
        </w:rPr>
      </w:pPr>
      <w:r>
        <w:rPr>
          <w:rFonts w:ascii="Arial" w:hAnsi="Arial" w:cs="Arial"/>
          <w:sz w:val="20"/>
          <w:szCs w:val="20"/>
        </w:rPr>
        <w:t>d</w:t>
      </w:r>
      <w:r w:rsidR="004E4EB5" w:rsidRPr="00A34A91">
        <w:rPr>
          <w:rFonts w:ascii="Arial" w:hAnsi="Arial" w:cs="Arial"/>
          <w:sz w:val="20"/>
          <w:szCs w:val="20"/>
        </w:rPr>
        <w:t xml:space="preserve">e </w:t>
      </w:r>
      <w:r w:rsidR="004E4EB5" w:rsidRPr="00D633BC">
        <w:rPr>
          <w:rFonts w:ascii="Arial" w:hAnsi="Arial" w:cs="Arial"/>
          <w:bCs/>
          <w:i/>
          <w:iCs/>
          <w:sz w:val="20"/>
          <w:szCs w:val="20"/>
        </w:rPr>
        <w:t>gegevens</w:t>
      </w:r>
      <w:r w:rsidR="004E4EB5" w:rsidRPr="00A34A91">
        <w:rPr>
          <w:rFonts w:ascii="Arial" w:hAnsi="Arial" w:cs="Arial"/>
          <w:sz w:val="20"/>
          <w:szCs w:val="20"/>
        </w:rPr>
        <w:t xml:space="preserve"> van de Verzekeringsinstelling in verband met de arbeidsongeschiktheid (personen </w:t>
      </w:r>
      <w:r w:rsidR="00824674">
        <w:rPr>
          <w:rFonts w:ascii="Arial" w:hAnsi="Arial" w:cs="Arial"/>
          <w:sz w:val="20"/>
          <w:szCs w:val="20"/>
        </w:rPr>
        <w:t>&lt;</w:t>
      </w:r>
      <w:r w:rsidR="004E4EB5" w:rsidRPr="00A34A91">
        <w:rPr>
          <w:rFonts w:ascii="Arial" w:hAnsi="Arial" w:cs="Arial"/>
          <w:sz w:val="20"/>
          <w:szCs w:val="20"/>
        </w:rPr>
        <w:t xml:space="preserve"> 65 jaar op moment ongeval)</w:t>
      </w:r>
    </w:p>
    <w:p w:rsidR="004E4EB5" w:rsidRPr="00A34A91" w:rsidRDefault="00D97C40" w:rsidP="00F6115D">
      <w:pPr>
        <w:pStyle w:val="ListParagraph"/>
        <w:numPr>
          <w:ilvl w:val="0"/>
          <w:numId w:val="5"/>
        </w:numPr>
        <w:spacing w:after="0" w:line="240" w:lineRule="auto"/>
        <w:rPr>
          <w:rFonts w:ascii="Arial" w:hAnsi="Arial" w:cs="Arial"/>
          <w:sz w:val="20"/>
          <w:szCs w:val="20"/>
        </w:rPr>
      </w:pPr>
      <w:r>
        <w:rPr>
          <w:rFonts w:ascii="Arial" w:hAnsi="Arial" w:cs="Arial"/>
          <w:sz w:val="20"/>
          <w:szCs w:val="20"/>
        </w:rPr>
        <w:t>e</w:t>
      </w:r>
      <w:r w:rsidR="004E4EB5" w:rsidRPr="00A34A91">
        <w:rPr>
          <w:rFonts w:ascii="Arial" w:hAnsi="Arial" w:cs="Arial"/>
          <w:sz w:val="20"/>
          <w:szCs w:val="20"/>
        </w:rPr>
        <w:t xml:space="preserve">en </w:t>
      </w:r>
      <w:r w:rsidR="004E4EB5" w:rsidRPr="00D633BC">
        <w:rPr>
          <w:rFonts w:ascii="Arial" w:hAnsi="Arial" w:cs="Arial"/>
          <w:bCs/>
          <w:i/>
          <w:iCs/>
          <w:sz w:val="20"/>
          <w:szCs w:val="20"/>
        </w:rPr>
        <w:t>medische vragenlijst</w:t>
      </w:r>
      <w:r w:rsidR="00146D0C">
        <w:rPr>
          <w:rStyle w:val="FootnoteReference"/>
          <w:rFonts w:ascii="Arial" w:hAnsi="Arial" w:cs="Arial"/>
          <w:bCs/>
          <w:i/>
          <w:iCs/>
          <w:sz w:val="20"/>
          <w:szCs w:val="20"/>
        </w:rPr>
        <w:footnoteReference w:id="7"/>
      </w:r>
      <w:r w:rsidR="00E27173">
        <w:rPr>
          <w:rFonts w:ascii="Arial" w:hAnsi="Arial" w:cs="Arial"/>
          <w:sz w:val="20"/>
          <w:szCs w:val="20"/>
        </w:rPr>
        <w:t xml:space="preserve"> </w:t>
      </w:r>
      <w:r w:rsidR="00E27173" w:rsidRPr="002805D5">
        <w:rPr>
          <w:rFonts w:ascii="Arial" w:hAnsi="Arial" w:cs="Arial"/>
          <w:sz w:val="20"/>
          <w:szCs w:val="20"/>
        </w:rPr>
        <w:t>met specifieke vragen in verband met de schade door het medisch ongeval</w:t>
      </w:r>
      <w:r w:rsidRPr="00492077">
        <w:rPr>
          <w:rFonts w:ascii="Arial" w:hAnsi="Arial" w:cs="Arial"/>
          <w:sz w:val="20"/>
          <w:szCs w:val="20"/>
        </w:rPr>
        <w:t>: die</w:t>
      </w:r>
      <w:r w:rsidR="00146D0C">
        <w:rPr>
          <w:rFonts w:ascii="Arial" w:hAnsi="Arial" w:cs="Arial"/>
          <w:sz w:val="20"/>
          <w:szCs w:val="20"/>
        </w:rPr>
        <w:t xml:space="preserve"> vragen</w:t>
      </w:r>
      <w:r w:rsidRPr="00492077">
        <w:rPr>
          <w:rFonts w:ascii="Arial" w:hAnsi="Arial" w:cs="Arial"/>
          <w:sz w:val="20"/>
          <w:szCs w:val="20"/>
        </w:rPr>
        <w:t>lijst wordt</w:t>
      </w:r>
      <w:r>
        <w:rPr>
          <w:rFonts w:ascii="Arial" w:hAnsi="Arial" w:cs="Arial"/>
          <w:sz w:val="20"/>
          <w:szCs w:val="20"/>
        </w:rPr>
        <w:t xml:space="preserve"> door het FMO</w:t>
      </w:r>
      <w:r w:rsidR="004E4EB5" w:rsidRPr="00A34A91">
        <w:rPr>
          <w:rFonts w:ascii="Arial" w:hAnsi="Arial" w:cs="Arial"/>
          <w:sz w:val="20"/>
          <w:szCs w:val="20"/>
        </w:rPr>
        <w:t xml:space="preserve"> aan alle aanvragers bezorgd wanneer een dossier ontvankelijk blijkt</w:t>
      </w:r>
      <w:r>
        <w:rPr>
          <w:rStyle w:val="FootnoteReference"/>
          <w:rFonts w:ascii="Arial" w:hAnsi="Arial" w:cs="Arial"/>
          <w:sz w:val="20"/>
          <w:szCs w:val="20"/>
        </w:rPr>
        <w:footnoteReference w:id="8"/>
      </w:r>
      <w:r>
        <w:rPr>
          <w:rFonts w:ascii="Arial" w:hAnsi="Arial" w:cs="Arial"/>
          <w:sz w:val="20"/>
          <w:szCs w:val="20"/>
        </w:rPr>
        <w:t xml:space="preserve"> en is</w:t>
      </w:r>
      <w:r w:rsidR="004E4EB5" w:rsidRPr="00A34A91">
        <w:rPr>
          <w:rFonts w:ascii="Arial" w:hAnsi="Arial" w:cs="Arial"/>
          <w:sz w:val="20"/>
          <w:szCs w:val="20"/>
        </w:rPr>
        <w:t xml:space="preserve"> in te vullen door een </w:t>
      </w:r>
      <w:r w:rsidR="004E4EB5" w:rsidRPr="00D633BC">
        <w:rPr>
          <w:rFonts w:ascii="Arial" w:hAnsi="Arial" w:cs="Arial"/>
          <w:bCs/>
          <w:i/>
          <w:iCs/>
          <w:sz w:val="20"/>
          <w:szCs w:val="20"/>
        </w:rPr>
        <w:t>arts naar keuze van de aanvrager</w:t>
      </w:r>
      <w:r w:rsidR="004E4EB5" w:rsidRPr="00A34A91">
        <w:rPr>
          <w:rFonts w:ascii="Arial" w:hAnsi="Arial" w:cs="Arial"/>
          <w:sz w:val="20"/>
          <w:szCs w:val="20"/>
        </w:rPr>
        <w:t xml:space="preserve"> tegen een vergoeding betaald door het F</w:t>
      </w:r>
      <w:r w:rsidR="00011942">
        <w:rPr>
          <w:rFonts w:ascii="Arial" w:hAnsi="Arial" w:cs="Arial"/>
          <w:sz w:val="20"/>
          <w:szCs w:val="20"/>
        </w:rPr>
        <w:t>MO</w:t>
      </w:r>
      <w:r w:rsidR="004E4EB5" w:rsidRPr="00A34A91">
        <w:rPr>
          <w:rFonts w:ascii="Arial" w:hAnsi="Arial" w:cs="Arial"/>
          <w:sz w:val="20"/>
          <w:szCs w:val="20"/>
        </w:rPr>
        <w:t xml:space="preserve">. </w:t>
      </w:r>
    </w:p>
    <w:p w:rsidR="002E04B5" w:rsidRDefault="002E04B5" w:rsidP="00F6115D">
      <w:pPr>
        <w:spacing w:after="0"/>
        <w:jc w:val="left"/>
        <w:rPr>
          <w:rFonts w:cs="Arial"/>
          <w:sz w:val="20"/>
        </w:rPr>
      </w:pPr>
    </w:p>
    <w:p w:rsidR="00E9799E" w:rsidRDefault="002E04B5" w:rsidP="00F6115D">
      <w:pPr>
        <w:spacing w:after="0"/>
        <w:jc w:val="left"/>
        <w:rPr>
          <w:rFonts w:cs="Arial"/>
          <w:sz w:val="20"/>
        </w:rPr>
      </w:pPr>
      <w:r w:rsidRPr="00A34A91">
        <w:rPr>
          <w:rFonts w:cs="Arial"/>
          <w:sz w:val="20"/>
        </w:rPr>
        <w:t>D</w:t>
      </w:r>
      <w:r>
        <w:rPr>
          <w:rFonts w:cs="Arial"/>
          <w:sz w:val="20"/>
        </w:rPr>
        <w:t xml:space="preserve">at beslissingen worden genomen </w:t>
      </w:r>
      <w:r w:rsidRPr="00A34A91">
        <w:rPr>
          <w:rFonts w:cs="Arial"/>
          <w:sz w:val="20"/>
        </w:rPr>
        <w:t xml:space="preserve">op basis van het </w:t>
      </w:r>
      <w:r w:rsidRPr="002F61EA">
        <w:rPr>
          <w:rFonts w:cs="Arial"/>
          <w:bCs/>
          <w:sz w:val="20"/>
          <w:u w:val="single"/>
        </w:rPr>
        <w:t xml:space="preserve">medisch dossier bezorgd door de </w:t>
      </w:r>
      <w:r>
        <w:rPr>
          <w:rFonts w:cs="Arial"/>
          <w:bCs/>
          <w:sz w:val="20"/>
          <w:u w:val="single"/>
        </w:rPr>
        <w:t>aanvrager</w:t>
      </w:r>
      <w:r>
        <w:rPr>
          <w:rFonts w:cs="Arial"/>
          <w:sz w:val="20"/>
        </w:rPr>
        <w:t xml:space="preserve"> laat toe om de </w:t>
      </w:r>
      <w:r w:rsidRPr="002805D5">
        <w:rPr>
          <w:rFonts w:cs="Arial"/>
          <w:sz w:val="20"/>
          <w:u w:val="single"/>
        </w:rPr>
        <w:t>eerste medische analyse zoals die nu bestaat over te slaan</w:t>
      </w:r>
      <w:r>
        <w:rPr>
          <w:rFonts w:cs="Arial"/>
          <w:sz w:val="20"/>
        </w:rPr>
        <w:t xml:space="preserve">. </w:t>
      </w:r>
    </w:p>
    <w:p w:rsidR="00E9799E" w:rsidRPr="002805D5" w:rsidRDefault="002E04B5" w:rsidP="00F6115D">
      <w:pPr>
        <w:pStyle w:val="ListParagraph"/>
        <w:numPr>
          <w:ilvl w:val="0"/>
          <w:numId w:val="5"/>
        </w:numPr>
        <w:spacing w:after="0" w:line="240" w:lineRule="auto"/>
        <w:rPr>
          <w:rFonts w:ascii="Arial" w:hAnsi="Arial" w:cs="Arial"/>
          <w:sz w:val="20"/>
          <w:szCs w:val="20"/>
        </w:rPr>
      </w:pPr>
      <w:r w:rsidRPr="002805D5">
        <w:rPr>
          <w:rFonts w:ascii="Arial" w:hAnsi="Arial" w:cs="Arial"/>
          <w:sz w:val="20"/>
          <w:szCs w:val="20"/>
        </w:rPr>
        <w:t xml:space="preserve">De patiënt kan </w:t>
      </w:r>
      <w:r w:rsidR="00E9799E" w:rsidRPr="002805D5">
        <w:rPr>
          <w:rFonts w:ascii="Arial" w:hAnsi="Arial" w:cs="Arial"/>
          <w:sz w:val="20"/>
          <w:szCs w:val="20"/>
        </w:rPr>
        <w:t xml:space="preserve">zijn medisch dossier bekomen </w:t>
      </w:r>
      <w:r w:rsidRPr="002805D5">
        <w:rPr>
          <w:rFonts w:ascii="Arial" w:hAnsi="Arial" w:cs="Arial"/>
          <w:sz w:val="20"/>
          <w:szCs w:val="20"/>
        </w:rPr>
        <w:t xml:space="preserve">op basis van de wet op de </w:t>
      </w:r>
      <w:proofErr w:type="spellStart"/>
      <w:r w:rsidRPr="002805D5">
        <w:rPr>
          <w:rFonts w:ascii="Arial" w:hAnsi="Arial" w:cs="Arial"/>
          <w:sz w:val="20"/>
          <w:szCs w:val="20"/>
        </w:rPr>
        <w:t>patiëntenrechten</w:t>
      </w:r>
      <w:proofErr w:type="spellEnd"/>
      <w:r w:rsidR="00E07E9D" w:rsidRPr="002805D5">
        <w:rPr>
          <w:rFonts w:ascii="Arial" w:hAnsi="Arial" w:cs="Arial"/>
          <w:sz w:val="20"/>
          <w:szCs w:val="20"/>
        </w:rPr>
        <w:t xml:space="preserve">, op eenvoudige schriftelijk vraag. In de meeste gevallen is dat via de medische directie of de </w:t>
      </w:r>
      <w:proofErr w:type="spellStart"/>
      <w:r w:rsidR="00E07E9D" w:rsidRPr="002805D5">
        <w:rPr>
          <w:rFonts w:ascii="Arial" w:hAnsi="Arial" w:cs="Arial"/>
          <w:sz w:val="20"/>
          <w:szCs w:val="20"/>
        </w:rPr>
        <w:t>ombudsdienst</w:t>
      </w:r>
      <w:proofErr w:type="spellEnd"/>
      <w:r w:rsidR="00E07E9D" w:rsidRPr="002805D5">
        <w:rPr>
          <w:rFonts w:ascii="Arial" w:hAnsi="Arial" w:cs="Arial"/>
          <w:sz w:val="20"/>
          <w:szCs w:val="20"/>
        </w:rPr>
        <w:t xml:space="preserve"> van het ziekenhuis.</w:t>
      </w:r>
      <w:r w:rsidRPr="002805D5">
        <w:rPr>
          <w:rFonts w:ascii="Arial" w:hAnsi="Arial" w:cs="Arial"/>
          <w:sz w:val="20"/>
          <w:szCs w:val="20"/>
        </w:rPr>
        <w:t xml:space="preserve"> </w:t>
      </w:r>
    </w:p>
    <w:p w:rsidR="00E9799E" w:rsidRPr="002805D5" w:rsidRDefault="002E04B5" w:rsidP="00F6115D">
      <w:pPr>
        <w:pStyle w:val="ListParagraph"/>
        <w:numPr>
          <w:ilvl w:val="0"/>
          <w:numId w:val="5"/>
        </w:numPr>
        <w:spacing w:after="0" w:line="240" w:lineRule="auto"/>
        <w:rPr>
          <w:rFonts w:ascii="Arial" w:hAnsi="Arial" w:cs="Arial"/>
          <w:sz w:val="20"/>
          <w:szCs w:val="20"/>
        </w:rPr>
      </w:pPr>
      <w:r w:rsidRPr="002805D5">
        <w:rPr>
          <w:rFonts w:ascii="Arial" w:hAnsi="Arial" w:cs="Arial"/>
          <w:sz w:val="20"/>
          <w:szCs w:val="20"/>
        </w:rPr>
        <w:t xml:space="preserve">Indien een interne arts voor een interne analyse </w:t>
      </w:r>
      <w:r w:rsidR="00E9799E">
        <w:rPr>
          <w:rFonts w:ascii="Arial" w:hAnsi="Arial" w:cs="Arial"/>
          <w:sz w:val="20"/>
          <w:szCs w:val="20"/>
        </w:rPr>
        <w:t xml:space="preserve">bijkomende </w:t>
      </w:r>
      <w:r w:rsidRPr="002805D5">
        <w:rPr>
          <w:rFonts w:ascii="Arial" w:hAnsi="Arial" w:cs="Arial"/>
          <w:sz w:val="20"/>
          <w:szCs w:val="20"/>
        </w:rPr>
        <w:t xml:space="preserve">stukken nodig heeft of als er tijdens een expertise bijkomende stukken nodig geacht worden, zal het FMO die opvragen. </w:t>
      </w:r>
    </w:p>
    <w:p w:rsidR="0027101A" w:rsidRDefault="0027101A" w:rsidP="00F6115D">
      <w:pPr>
        <w:spacing w:after="0"/>
        <w:jc w:val="left"/>
        <w:rPr>
          <w:rFonts w:cs="Arial"/>
          <w:sz w:val="20"/>
        </w:rPr>
      </w:pPr>
    </w:p>
    <w:p w:rsidR="002E04B5" w:rsidRPr="0027101A" w:rsidRDefault="002E04B5" w:rsidP="00F6115D">
      <w:pPr>
        <w:spacing w:after="0"/>
        <w:jc w:val="left"/>
        <w:rPr>
          <w:rFonts w:cs="Arial"/>
          <w:sz w:val="20"/>
        </w:rPr>
      </w:pPr>
      <w:r w:rsidRPr="0027101A">
        <w:rPr>
          <w:rFonts w:cs="Arial"/>
          <w:sz w:val="20"/>
        </w:rPr>
        <w:t xml:space="preserve">Indien de </w:t>
      </w:r>
      <w:r w:rsidRPr="0027101A">
        <w:rPr>
          <w:rFonts w:cs="Arial"/>
          <w:sz w:val="20"/>
          <w:u w:val="single"/>
        </w:rPr>
        <w:t>patiënt om een of andere reden niet in staat</w:t>
      </w:r>
      <w:r w:rsidRPr="0027101A">
        <w:rPr>
          <w:rFonts w:cs="Arial"/>
          <w:sz w:val="20"/>
        </w:rPr>
        <w:t xml:space="preserve"> is het dossier te bezorgen, zal het FMO dit – zoals nu – zelf opvragen.</w:t>
      </w:r>
      <w:r w:rsidR="0027101A">
        <w:rPr>
          <w:rFonts w:cs="Arial"/>
          <w:sz w:val="20"/>
        </w:rPr>
        <w:t xml:space="preserve"> Dat is ook het geval voor overleden patiënten.</w:t>
      </w:r>
    </w:p>
    <w:p w:rsidR="00E9799E" w:rsidRDefault="00E9799E" w:rsidP="00F6115D">
      <w:pPr>
        <w:spacing w:after="0"/>
        <w:jc w:val="left"/>
        <w:rPr>
          <w:rFonts w:cs="Arial"/>
          <w:b/>
          <w:bCs/>
          <w:sz w:val="20"/>
        </w:rPr>
      </w:pPr>
    </w:p>
    <w:p w:rsidR="002805D5" w:rsidRDefault="002805D5">
      <w:pPr>
        <w:spacing w:after="0"/>
        <w:jc w:val="left"/>
        <w:rPr>
          <w:rFonts w:cs="Arial"/>
          <w:b/>
          <w:bCs/>
          <w:sz w:val="20"/>
        </w:rPr>
      </w:pPr>
      <w:r>
        <w:rPr>
          <w:rFonts w:cs="Arial"/>
          <w:b/>
          <w:bCs/>
          <w:sz w:val="20"/>
        </w:rPr>
        <w:br w:type="page"/>
      </w:r>
    </w:p>
    <w:p w:rsidR="00253086" w:rsidRPr="002805D5" w:rsidRDefault="00E9799E" w:rsidP="0048700E">
      <w:pPr>
        <w:pStyle w:val="FootnoteText"/>
        <w:numPr>
          <w:ilvl w:val="0"/>
          <w:numId w:val="29"/>
        </w:numPr>
        <w:pBdr>
          <w:top w:val="single" w:sz="4" w:space="1" w:color="auto"/>
          <w:left w:val="single" w:sz="4" w:space="4" w:color="auto"/>
          <w:bottom w:val="single" w:sz="4" w:space="1" w:color="auto"/>
          <w:right w:val="single" w:sz="4" w:space="4" w:color="auto"/>
        </w:pBdr>
        <w:spacing w:after="0" w:line="240" w:lineRule="auto"/>
        <w:rPr>
          <w:rFonts w:cs="Arial"/>
          <w:b/>
          <w:bCs/>
          <w:sz w:val="20"/>
        </w:rPr>
      </w:pPr>
      <w:r w:rsidRPr="002805D5">
        <w:rPr>
          <w:rFonts w:cs="Arial"/>
          <w:b/>
          <w:bCs/>
          <w:sz w:val="20"/>
        </w:rPr>
        <w:lastRenderedPageBreak/>
        <w:t xml:space="preserve">Interne medische </w:t>
      </w:r>
      <w:r w:rsidR="002067F0">
        <w:rPr>
          <w:rFonts w:cs="Arial"/>
          <w:b/>
          <w:bCs/>
          <w:sz w:val="20"/>
        </w:rPr>
        <w:t>expertise</w:t>
      </w:r>
      <w:r w:rsidRPr="002805D5">
        <w:rPr>
          <w:rFonts w:cs="Arial"/>
          <w:b/>
          <w:bCs/>
          <w:sz w:val="20"/>
        </w:rPr>
        <w:t xml:space="preserve"> meer gevaloriseerd</w:t>
      </w:r>
    </w:p>
    <w:p w:rsidR="00253086" w:rsidRDefault="00253086" w:rsidP="004057E6">
      <w:pPr>
        <w:spacing w:after="0"/>
        <w:jc w:val="left"/>
        <w:rPr>
          <w:rFonts w:cs="Arial"/>
          <w:sz w:val="20"/>
        </w:rPr>
      </w:pPr>
    </w:p>
    <w:p w:rsidR="00CD1226" w:rsidRDefault="00E9799E" w:rsidP="00E9799E">
      <w:pPr>
        <w:spacing w:after="0"/>
        <w:jc w:val="left"/>
        <w:rPr>
          <w:rFonts w:cs="Arial"/>
          <w:sz w:val="20"/>
        </w:rPr>
      </w:pPr>
      <w:r w:rsidRPr="00AD23AC">
        <w:rPr>
          <w:rFonts w:cs="Arial"/>
          <w:sz w:val="20"/>
          <w:u w:val="single"/>
        </w:rPr>
        <w:t xml:space="preserve">Na de eerste </w:t>
      </w:r>
      <w:r>
        <w:rPr>
          <w:rFonts w:cs="Arial"/>
          <w:sz w:val="20"/>
          <w:u w:val="single"/>
        </w:rPr>
        <w:t xml:space="preserve">interne </w:t>
      </w:r>
      <w:r w:rsidR="002067F0">
        <w:rPr>
          <w:rFonts w:cs="Arial"/>
          <w:sz w:val="20"/>
          <w:u w:val="single"/>
        </w:rPr>
        <w:t xml:space="preserve">medische </w:t>
      </w:r>
      <w:r w:rsidRPr="00AD23AC">
        <w:rPr>
          <w:rFonts w:cs="Arial"/>
          <w:sz w:val="20"/>
          <w:u w:val="single"/>
        </w:rPr>
        <w:t>analyse</w:t>
      </w:r>
      <w:r w:rsidRPr="00AD23AC">
        <w:rPr>
          <w:rFonts w:cs="Arial"/>
          <w:sz w:val="20"/>
        </w:rPr>
        <w:t xml:space="preserve"> </w:t>
      </w:r>
      <w:r>
        <w:rPr>
          <w:rFonts w:cs="Arial"/>
          <w:sz w:val="20"/>
        </w:rPr>
        <w:t xml:space="preserve">(= door interne arts) </w:t>
      </w:r>
      <w:r w:rsidRPr="00AD23AC">
        <w:rPr>
          <w:rFonts w:cs="Arial"/>
          <w:sz w:val="20"/>
        </w:rPr>
        <w:t xml:space="preserve">wordt </w:t>
      </w:r>
      <w:r w:rsidRPr="00A34A91">
        <w:rPr>
          <w:rFonts w:cs="Arial"/>
          <w:sz w:val="20"/>
        </w:rPr>
        <w:t>op basis van de inschatting van de ernstgraad, indicaties van de aansprakelijkheid en de link met de zorgverlening</w:t>
      </w:r>
      <w:r>
        <w:rPr>
          <w:rFonts w:cs="Arial"/>
          <w:sz w:val="20"/>
        </w:rPr>
        <w:t xml:space="preserve"> een opdeling gemaakt </w:t>
      </w:r>
      <w:r w:rsidRPr="00A34A91">
        <w:rPr>
          <w:rFonts w:cs="Arial"/>
          <w:sz w:val="20"/>
        </w:rPr>
        <w:t xml:space="preserve">die de verdere behandeling </w:t>
      </w:r>
      <w:r>
        <w:rPr>
          <w:rFonts w:cs="Arial"/>
          <w:sz w:val="20"/>
        </w:rPr>
        <w:t>van het dossier stuurt.</w:t>
      </w:r>
      <w:r w:rsidRPr="00A34A91">
        <w:rPr>
          <w:rFonts w:cs="Arial"/>
          <w:sz w:val="20"/>
        </w:rPr>
        <w:t xml:space="preserve"> </w:t>
      </w:r>
      <w:r w:rsidR="009E602F">
        <w:rPr>
          <w:rFonts w:cs="Arial"/>
          <w:sz w:val="20"/>
        </w:rPr>
        <w:t>Bij twijfel kiest het FMO de meest gunstige weg voor de aanvrager.</w:t>
      </w:r>
    </w:p>
    <w:p w:rsidR="002805D5" w:rsidRDefault="002805D5" w:rsidP="00E9799E">
      <w:pPr>
        <w:spacing w:after="0"/>
        <w:jc w:val="left"/>
        <w:rPr>
          <w:rFonts w:cs="Arial"/>
          <w:sz w:val="20"/>
        </w:rPr>
      </w:pPr>
    </w:p>
    <w:p w:rsidR="002067F0" w:rsidRDefault="004F163A" w:rsidP="00E9799E">
      <w:pPr>
        <w:spacing w:after="0"/>
        <w:jc w:val="left"/>
        <w:rPr>
          <w:rFonts w:cs="Arial"/>
          <w:sz w:val="20"/>
        </w:rPr>
      </w:pPr>
      <w:r>
        <w:rPr>
          <w:rFonts w:cs="Arial"/>
          <w:sz w:val="20"/>
        </w:rPr>
        <w:t>Daarbij wordt uitgegaan van d</w:t>
      </w:r>
      <w:r w:rsidR="00E9799E">
        <w:rPr>
          <w:rFonts w:cs="Arial"/>
          <w:sz w:val="20"/>
        </w:rPr>
        <w:t xml:space="preserve">e </w:t>
      </w:r>
      <w:r w:rsidR="00E9799E" w:rsidRPr="00AD23AC">
        <w:rPr>
          <w:rFonts w:cs="Arial"/>
          <w:sz w:val="20"/>
          <w:u w:val="single"/>
        </w:rPr>
        <w:t>beslissingstabel</w:t>
      </w:r>
      <w:r w:rsidR="00E9799E" w:rsidRPr="00F6115D">
        <w:rPr>
          <w:rFonts w:cs="Arial"/>
          <w:sz w:val="20"/>
        </w:rPr>
        <w:t xml:space="preserve"> </w:t>
      </w:r>
      <w:r w:rsidR="00E9799E" w:rsidRPr="00294D31">
        <w:rPr>
          <w:rFonts w:cs="Arial"/>
          <w:sz w:val="20"/>
        </w:rPr>
        <w:t>hieronder</w:t>
      </w:r>
      <w:r>
        <w:rPr>
          <w:rFonts w:cs="Arial"/>
          <w:sz w:val="20"/>
        </w:rPr>
        <w:t xml:space="preserve">. Die </w:t>
      </w:r>
      <w:r w:rsidR="00E9799E">
        <w:rPr>
          <w:rFonts w:cs="Arial"/>
          <w:sz w:val="20"/>
        </w:rPr>
        <w:t>is bepalend</w:t>
      </w:r>
      <w:r w:rsidR="002067F0">
        <w:rPr>
          <w:rFonts w:cs="Arial"/>
          <w:sz w:val="20"/>
        </w:rPr>
        <w:t xml:space="preserve"> voor de volgende stappen</w:t>
      </w:r>
      <w:r w:rsidR="00E9799E">
        <w:rPr>
          <w:rFonts w:cs="Arial"/>
          <w:sz w:val="20"/>
        </w:rPr>
        <w:t xml:space="preserve">. </w:t>
      </w:r>
    </w:p>
    <w:p w:rsidR="002067F0" w:rsidRPr="002067F0" w:rsidRDefault="00E9799E" w:rsidP="002067F0">
      <w:pPr>
        <w:pStyle w:val="ListParagraph"/>
        <w:numPr>
          <w:ilvl w:val="0"/>
          <w:numId w:val="31"/>
        </w:numPr>
        <w:spacing w:after="0" w:line="240" w:lineRule="auto"/>
        <w:rPr>
          <w:rFonts w:ascii="Arial" w:hAnsi="Arial" w:cs="Arial"/>
          <w:sz w:val="20"/>
        </w:rPr>
      </w:pPr>
      <w:r w:rsidRPr="002067F0">
        <w:rPr>
          <w:rFonts w:ascii="Arial" w:hAnsi="Arial" w:cs="Arial"/>
          <w:sz w:val="20"/>
        </w:rPr>
        <w:t>De aard van de expertise door een extern expert is hierbij belangrijk: eenzijdig (“EE”</w:t>
      </w:r>
      <w:r w:rsidRPr="002067F0">
        <w:rPr>
          <w:rStyle w:val="FootnoteReference"/>
          <w:rFonts w:ascii="Arial" w:hAnsi="Arial" w:cs="Arial"/>
          <w:sz w:val="20"/>
        </w:rPr>
        <w:footnoteReference w:id="9"/>
      </w:r>
      <w:r w:rsidRPr="002067F0">
        <w:rPr>
          <w:rFonts w:ascii="Arial" w:hAnsi="Arial" w:cs="Arial"/>
          <w:sz w:val="20"/>
        </w:rPr>
        <w:t>) of tegensprekelijk (“TSE”</w:t>
      </w:r>
      <w:r w:rsidRPr="002067F0">
        <w:rPr>
          <w:rStyle w:val="FootnoteReference"/>
          <w:rFonts w:ascii="Arial" w:hAnsi="Arial" w:cs="Arial"/>
          <w:sz w:val="20"/>
        </w:rPr>
        <w:footnoteReference w:id="10"/>
      </w:r>
      <w:r w:rsidRPr="002067F0">
        <w:rPr>
          <w:rFonts w:ascii="Arial" w:hAnsi="Arial" w:cs="Arial"/>
          <w:sz w:val="20"/>
        </w:rPr>
        <w:t xml:space="preserve">). </w:t>
      </w:r>
      <w:r w:rsidR="002067F0" w:rsidRPr="002067F0">
        <w:rPr>
          <w:rFonts w:ascii="Arial" w:hAnsi="Arial" w:cs="Arial"/>
          <w:sz w:val="20"/>
        </w:rPr>
        <w:t xml:space="preserve">We doen </w:t>
      </w:r>
      <w:r w:rsidR="005D6772">
        <w:rPr>
          <w:rFonts w:ascii="Arial" w:hAnsi="Arial" w:cs="Arial"/>
          <w:sz w:val="20"/>
        </w:rPr>
        <w:t>hiermee</w:t>
      </w:r>
      <w:r w:rsidR="002067F0" w:rsidRPr="002067F0">
        <w:rPr>
          <w:rFonts w:ascii="Arial" w:hAnsi="Arial" w:cs="Arial"/>
          <w:sz w:val="20"/>
        </w:rPr>
        <w:t xml:space="preserve"> minder TSE dan nu.</w:t>
      </w:r>
    </w:p>
    <w:p w:rsidR="00E9799E" w:rsidRPr="002067F0" w:rsidRDefault="00AE4C63" w:rsidP="002067F0">
      <w:pPr>
        <w:pStyle w:val="ListParagraph"/>
        <w:numPr>
          <w:ilvl w:val="0"/>
          <w:numId w:val="31"/>
        </w:numPr>
        <w:spacing w:after="0" w:line="240" w:lineRule="auto"/>
        <w:rPr>
          <w:rFonts w:ascii="Arial" w:hAnsi="Arial" w:cs="Arial"/>
          <w:sz w:val="20"/>
        </w:rPr>
      </w:pPr>
      <w:r w:rsidRPr="002067F0">
        <w:rPr>
          <w:rFonts w:ascii="Arial" w:hAnsi="Arial" w:cs="Arial"/>
          <w:sz w:val="20"/>
        </w:rPr>
        <w:t>Op basis van deze tabel wordt de interne medische analyse meer gevaloriseerd</w:t>
      </w:r>
      <w:r w:rsidR="002067F0" w:rsidRPr="002067F0">
        <w:rPr>
          <w:rFonts w:ascii="Arial" w:hAnsi="Arial" w:cs="Arial"/>
          <w:sz w:val="20"/>
        </w:rPr>
        <w:t xml:space="preserve">, </w:t>
      </w:r>
      <w:proofErr w:type="spellStart"/>
      <w:r w:rsidR="002067F0" w:rsidRPr="002067F0">
        <w:rPr>
          <w:rFonts w:ascii="Arial" w:hAnsi="Arial" w:cs="Arial"/>
          <w:sz w:val="20"/>
        </w:rPr>
        <w:t>dwz</w:t>
      </w:r>
      <w:proofErr w:type="spellEnd"/>
      <w:r w:rsidR="002067F0" w:rsidRPr="002067F0">
        <w:rPr>
          <w:rFonts w:ascii="Arial" w:hAnsi="Arial" w:cs="Arial"/>
          <w:sz w:val="20"/>
        </w:rPr>
        <w:t xml:space="preserve"> als basis genomen voor een finaal advies</w:t>
      </w:r>
      <w:r w:rsidRPr="002067F0">
        <w:rPr>
          <w:rFonts w:ascii="Arial" w:hAnsi="Arial" w:cs="Arial"/>
          <w:sz w:val="20"/>
        </w:rPr>
        <w:t>.</w:t>
      </w:r>
    </w:p>
    <w:p w:rsidR="002805D5" w:rsidRDefault="002805D5">
      <w:pPr>
        <w:spacing w:after="0"/>
        <w:jc w:val="left"/>
        <w:rPr>
          <w:rFonts w:cs="Arial"/>
          <w:b/>
          <w:spacing w:val="-4"/>
          <w:kern w:val="28"/>
          <w:sz w:val="20"/>
        </w:rPr>
      </w:pPr>
    </w:p>
    <w:tbl>
      <w:tblPr>
        <w:tblStyle w:val="TableGrid"/>
        <w:tblW w:w="0" w:type="auto"/>
        <w:tblLook w:val="04A0" w:firstRow="1" w:lastRow="0" w:firstColumn="1" w:lastColumn="0" w:noHBand="0" w:noVBand="1"/>
      </w:tblPr>
      <w:tblGrid>
        <w:gridCol w:w="1838"/>
        <w:gridCol w:w="1276"/>
        <w:gridCol w:w="2126"/>
        <w:gridCol w:w="2268"/>
        <w:gridCol w:w="2977"/>
        <w:gridCol w:w="2835"/>
        <w:gridCol w:w="1092"/>
      </w:tblGrid>
      <w:tr w:rsidR="002805D5" w:rsidTr="002805D5">
        <w:tc>
          <w:tcPr>
            <w:tcW w:w="1838" w:type="dxa"/>
          </w:tcPr>
          <w:p w:rsidR="002805D5" w:rsidRPr="002805D5" w:rsidRDefault="002805D5" w:rsidP="00D61D12">
            <w:pPr>
              <w:spacing w:after="0"/>
              <w:jc w:val="left"/>
              <w:rPr>
                <w:rFonts w:cs="Arial"/>
                <w:b/>
                <w:bCs/>
                <w:szCs w:val="18"/>
              </w:rPr>
            </w:pPr>
            <w:r w:rsidRPr="002805D5">
              <w:rPr>
                <w:rFonts w:cs="Arial"/>
                <w:b/>
                <w:bCs/>
                <w:szCs w:val="18"/>
              </w:rPr>
              <w:t xml:space="preserve">Kennelijk </w:t>
            </w:r>
            <w:proofErr w:type="spellStart"/>
            <w:r w:rsidRPr="002805D5">
              <w:rPr>
                <w:rFonts w:cs="Arial"/>
                <w:b/>
                <w:bCs/>
                <w:szCs w:val="18"/>
              </w:rPr>
              <w:t>onontv</w:t>
            </w:r>
            <w:proofErr w:type="spellEnd"/>
            <w:r w:rsidRPr="002805D5">
              <w:rPr>
                <w:rFonts w:cs="Arial"/>
                <w:b/>
                <w:bCs/>
                <w:szCs w:val="18"/>
              </w:rPr>
              <w:t>. / ongegrond</w:t>
            </w:r>
          </w:p>
        </w:tc>
        <w:tc>
          <w:tcPr>
            <w:tcW w:w="1276" w:type="dxa"/>
          </w:tcPr>
          <w:p w:rsidR="002805D5" w:rsidRPr="002805D5" w:rsidRDefault="002805D5" w:rsidP="00D61D12">
            <w:pPr>
              <w:spacing w:after="0"/>
              <w:jc w:val="left"/>
              <w:rPr>
                <w:rFonts w:cs="Arial"/>
                <w:b/>
                <w:bCs/>
                <w:szCs w:val="18"/>
              </w:rPr>
            </w:pPr>
            <w:r w:rsidRPr="002805D5">
              <w:rPr>
                <w:rFonts w:cs="Arial"/>
                <w:b/>
                <w:bCs/>
                <w:szCs w:val="18"/>
              </w:rPr>
              <w:t xml:space="preserve">Indicatie </w:t>
            </w:r>
            <w:proofErr w:type="spellStart"/>
            <w:r w:rsidRPr="002805D5">
              <w:rPr>
                <w:rFonts w:cs="Arial"/>
                <w:b/>
                <w:bCs/>
                <w:szCs w:val="18"/>
              </w:rPr>
              <w:t>aansprakel</w:t>
            </w:r>
            <w:proofErr w:type="spellEnd"/>
            <w:r>
              <w:rPr>
                <w:rFonts w:cs="Arial"/>
                <w:b/>
                <w:bCs/>
                <w:szCs w:val="18"/>
              </w:rPr>
              <w:t>.</w:t>
            </w:r>
          </w:p>
        </w:tc>
        <w:tc>
          <w:tcPr>
            <w:tcW w:w="2126" w:type="dxa"/>
          </w:tcPr>
          <w:p w:rsidR="002805D5" w:rsidRPr="002805D5" w:rsidRDefault="002805D5" w:rsidP="00D61D12">
            <w:pPr>
              <w:spacing w:after="0"/>
              <w:jc w:val="left"/>
              <w:rPr>
                <w:rFonts w:cs="Arial"/>
                <w:b/>
                <w:bCs/>
                <w:szCs w:val="18"/>
              </w:rPr>
            </w:pPr>
            <w:r w:rsidRPr="002805D5">
              <w:rPr>
                <w:rFonts w:cs="Arial"/>
                <w:b/>
                <w:bCs/>
                <w:szCs w:val="18"/>
              </w:rPr>
              <w:t>Expertise - type</w:t>
            </w:r>
          </w:p>
        </w:tc>
        <w:tc>
          <w:tcPr>
            <w:tcW w:w="2268" w:type="dxa"/>
          </w:tcPr>
          <w:p w:rsidR="002805D5" w:rsidRPr="002805D5" w:rsidRDefault="002805D5" w:rsidP="00D61D12">
            <w:pPr>
              <w:spacing w:after="0"/>
              <w:jc w:val="left"/>
              <w:rPr>
                <w:rFonts w:cs="Arial"/>
                <w:b/>
                <w:bCs/>
                <w:szCs w:val="18"/>
              </w:rPr>
            </w:pPr>
            <w:r w:rsidRPr="002805D5">
              <w:rPr>
                <w:rFonts w:cs="Arial"/>
                <w:b/>
                <w:bCs/>
                <w:szCs w:val="18"/>
              </w:rPr>
              <w:t>Expertise - resultaat</w:t>
            </w:r>
          </w:p>
        </w:tc>
        <w:tc>
          <w:tcPr>
            <w:tcW w:w="2977" w:type="dxa"/>
          </w:tcPr>
          <w:p w:rsidR="002805D5" w:rsidRPr="002805D5" w:rsidRDefault="002805D5" w:rsidP="00D61D12">
            <w:pPr>
              <w:spacing w:after="0"/>
              <w:jc w:val="left"/>
              <w:rPr>
                <w:rFonts w:cs="Arial"/>
                <w:b/>
                <w:bCs/>
                <w:szCs w:val="18"/>
              </w:rPr>
            </w:pPr>
            <w:r w:rsidRPr="002805D5">
              <w:rPr>
                <w:rFonts w:cs="Arial"/>
                <w:b/>
                <w:bCs/>
                <w:szCs w:val="18"/>
              </w:rPr>
              <w:t>Voorbeelden</w:t>
            </w:r>
          </w:p>
        </w:tc>
        <w:tc>
          <w:tcPr>
            <w:tcW w:w="2835" w:type="dxa"/>
          </w:tcPr>
          <w:p w:rsidR="002805D5" w:rsidRPr="002805D5" w:rsidRDefault="008132EF" w:rsidP="00D61D12">
            <w:pPr>
              <w:spacing w:after="0"/>
              <w:jc w:val="left"/>
              <w:rPr>
                <w:rFonts w:cs="Arial"/>
                <w:b/>
                <w:bCs/>
                <w:szCs w:val="18"/>
              </w:rPr>
            </w:pPr>
            <w:r>
              <w:rPr>
                <w:rFonts w:cs="Arial"/>
                <w:b/>
                <w:bCs/>
                <w:szCs w:val="18"/>
              </w:rPr>
              <w:t>Uitkomst</w:t>
            </w:r>
          </w:p>
        </w:tc>
        <w:tc>
          <w:tcPr>
            <w:tcW w:w="1092" w:type="dxa"/>
          </w:tcPr>
          <w:p w:rsidR="002805D5" w:rsidRPr="002805D5" w:rsidRDefault="002805D5" w:rsidP="00D61D12">
            <w:pPr>
              <w:spacing w:after="0"/>
              <w:jc w:val="left"/>
              <w:rPr>
                <w:rFonts w:cs="Arial"/>
                <w:b/>
                <w:bCs/>
                <w:szCs w:val="18"/>
              </w:rPr>
            </w:pPr>
            <w:r w:rsidRPr="002805D5">
              <w:rPr>
                <w:rFonts w:cs="Arial"/>
                <w:b/>
                <w:bCs/>
                <w:szCs w:val="18"/>
              </w:rPr>
              <w:t>Procent dossiers</w:t>
            </w:r>
            <w:r w:rsidRPr="00492077">
              <w:rPr>
                <w:rStyle w:val="FootnoteReference"/>
                <w:rFonts w:cs="Arial"/>
                <w:b/>
                <w:bCs/>
                <w:szCs w:val="18"/>
                <w:lang w:val="nl-BE"/>
              </w:rPr>
              <w:footnoteReference w:id="11"/>
            </w:r>
          </w:p>
        </w:tc>
      </w:tr>
      <w:tr w:rsidR="002805D5" w:rsidTr="002805D5">
        <w:tc>
          <w:tcPr>
            <w:tcW w:w="14412" w:type="dxa"/>
            <w:gridSpan w:val="7"/>
            <w:shd w:val="clear" w:color="auto" w:fill="F2F2F2" w:themeFill="background1" w:themeFillShade="F2"/>
          </w:tcPr>
          <w:p w:rsidR="002805D5" w:rsidRPr="002805D5" w:rsidRDefault="002805D5" w:rsidP="002805D5">
            <w:pPr>
              <w:spacing w:after="0"/>
              <w:jc w:val="center"/>
              <w:rPr>
                <w:rFonts w:cs="Arial"/>
                <w:szCs w:val="18"/>
              </w:rPr>
            </w:pPr>
            <w:r w:rsidRPr="00492077">
              <w:rPr>
                <w:rFonts w:cs="Arial"/>
                <w:b/>
                <w:i/>
                <w:iCs/>
                <w:szCs w:val="18"/>
                <w:lang w:val="nl-BE"/>
              </w:rPr>
              <w:t>GEEN indicatie ernstgraad</w:t>
            </w:r>
            <w:r w:rsidR="00604807">
              <w:rPr>
                <w:rFonts w:cs="Arial"/>
                <w:b/>
                <w:i/>
                <w:iCs/>
                <w:szCs w:val="18"/>
                <w:lang w:val="nl-BE"/>
              </w:rPr>
              <w:t xml:space="preserve"> </w:t>
            </w:r>
            <w:r w:rsidR="00146D0C" w:rsidRPr="005E3142">
              <w:rPr>
                <w:rStyle w:val="FootnoteReference"/>
                <w:rFonts w:cs="Arial"/>
                <w:bCs/>
                <w:i/>
                <w:iCs/>
                <w:szCs w:val="18"/>
                <w:lang w:val="nl-BE"/>
              </w:rPr>
              <w:footnoteReference w:id="12"/>
            </w:r>
          </w:p>
        </w:tc>
      </w:tr>
      <w:tr w:rsidR="002805D5" w:rsidTr="002805D5">
        <w:tc>
          <w:tcPr>
            <w:tcW w:w="1838" w:type="dxa"/>
          </w:tcPr>
          <w:p w:rsidR="002805D5" w:rsidRPr="002805D5" w:rsidRDefault="002805D5" w:rsidP="00D61D12">
            <w:pPr>
              <w:spacing w:after="0"/>
              <w:jc w:val="left"/>
              <w:rPr>
                <w:rFonts w:cs="Arial"/>
                <w:szCs w:val="18"/>
              </w:rPr>
            </w:pPr>
            <w:r w:rsidRPr="006F7755">
              <w:rPr>
                <w:rFonts w:cs="Arial"/>
                <w:szCs w:val="18"/>
                <w:lang w:val="nl-BE"/>
              </w:rPr>
              <w:t xml:space="preserve">Ja </w:t>
            </w:r>
          </w:p>
        </w:tc>
        <w:tc>
          <w:tcPr>
            <w:tcW w:w="1276" w:type="dxa"/>
          </w:tcPr>
          <w:p w:rsidR="002805D5" w:rsidRPr="002805D5" w:rsidRDefault="002805D5" w:rsidP="00D61D12">
            <w:pPr>
              <w:spacing w:after="0"/>
              <w:jc w:val="left"/>
              <w:rPr>
                <w:rFonts w:cs="Arial"/>
                <w:szCs w:val="18"/>
              </w:rPr>
            </w:pPr>
            <w:r w:rsidRPr="006F7755">
              <w:rPr>
                <w:rFonts w:cs="Arial"/>
                <w:szCs w:val="18"/>
                <w:lang w:val="nl-BE"/>
              </w:rPr>
              <w:t>/</w:t>
            </w:r>
          </w:p>
        </w:tc>
        <w:tc>
          <w:tcPr>
            <w:tcW w:w="2126" w:type="dxa"/>
          </w:tcPr>
          <w:p w:rsidR="002805D5" w:rsidRPr="002805D5" w:rsidRDefault="002805D5" w:rsidP="00D61D12">
            <w:pPr>
              <w:spacing w:after="0"/>
              <w:jc w:val="left"/>
              <w:rPr>
                <w:rFonts w:cs="Arial"/>
                <w:szCs w:val="18"/>
              </w:rPr>
            </w:pPr>
            <w:r w:rsidRPr="006F7755">
              <w:rPr>
                <w:rFonts w:cs="Arial"/>
                <w:szCs w:val="18"/>
                <w:lang w:val="nl-BE"/>
              </w:rPr>
              <w:t>/</w:t>
            </w:r>
          </w:p>
        </w:tc>
        <w:tc>
          <w:tcPr>
            <w:tcW w:w="2268" w:type="dxa"/>
          </w:tcPr>
          <w:p w:rsidR="002805D5" w:rsidRPr="002805D5" w:rsidRDefault="002805D5" w:rsidP="00D61D12">
            <w:pPr>
              <w:spacing w:after="0"/>
              <w:jc w:val="left"/>
              <w:rPr>
                <w:rFonts w:cs="Arial"/>
                <w:szCs w:val="18"/>
              </w:rPr>
            </w:pPr>
            <w:r w:rsidRPr="006F7755">
              <w:rPr>
                <w:rFonts w:cs="Arial"/>
                <w:szCs w:val="18"/>
                <w:lang w:val="nl-BE"/>
              </w:rPr>
              <w:t>/</w:t>
            </w:r>
          </w:p>
        </w:tc>
        <w:tc>
          <w:tcPr>
            <w:tcW w:w="2977" w:type="dxa"/>
          </w:tcPr>
          <w:p w:rsidR="002805D5" w:rsidRPr="002805D5" w:rsidRDefault="002805D5" w:rsidP="00D61D12">
            <w:pPr>
              <w:spacing w:after="0"/>
              <w:jc w:val="left"/>
              <w:rPr>
                <w:rFonts w:cs="Arial"/>
                <w:szCs w:val="18"/>
              </w:rPr>
            </w:pPr>
            <w:r w:rsidRPr="006F7755">
              <w:rPr>
                <w:rFonts w:cs="Arial"/>
                <w:szCs w:val="18"/>
                <w:lang w:val="nl-BE"/>
              </w:rPr>
              <w:t>Geen verband met zorgverlening</w:t>
            </w:r>
          </w:p>
        </w:tc>
        <w:tc>
          <w:tcPr>
            <w:tcW w:w="2835" w:type="dxa"/>
          </w:tcPr>
          <w:p w:rsidR="002805D5" w:rsidRPr="002805D5" w:rsidRDefault="002805D5" w:rsidP="00637884">
            <w:pPr>
              <w:spacing w:after="0"/>
              <w:jc w:val="left"/>
              <w:rPr>
                <w:rFonts w:cs="Arial"/>
                <w:szCs w:val="18"/>
              </w:rPr>
            </w:pPr>
            <w:r>
              <w:rPr>
                <w:rFonts w:cs="Arial"/>
                <w:szCs w:val="18"/>
                <w:lang w:val="nl-BE"/>
              </w:rPr>
              <w:t xml:space="preserve">- </w:t>
            </w:r>
            <w:r w:rsidR="00AA253A">
              <w:rPr>
                <w:rFonts w:cs="Arial"/>
                <w:szCs w:val="18"/>
                <w:lang w:val="nl-BE"/>
              </w:rPr>
              <w:t>advies</w:t>
            </w:r>
            <w:r w:rsidRPr="006F7755">
              <w:rPr>
                <w:rFonts w:cs="Arial"/>
                <w:szCs w:val="18"/>
                <w:lang w:val="nl-BE"/>
              </w:rPr>
              <w:t xml:space="preserve"> geen tussenkomst FMO</w:t>
            </w:r>
          </w:p>
        </w:tc>
        <w:tc>
          <w:tcPr>
            <w:tcW w:w="1092" w:type="dxa"/>
            <w:vMerge w:val="restart"/>
          </w:tcPr>
          <w:p w:rsidR="002805D5" w:rsidRPr="002805D5" w:rsidRDefault="002805D5" w:rsidP="00D61D12">
            <w:pPr>
              <w:spacing w:after="0"/>
              <w:jc w:val="left"/>
              <w:rPr>
                <w:rFonts w:cs="Arial"/>
                <w:szCs w:val="18"/>
              </w:rPr>
            </w:pPr>
            <w:r w:rsidRPr="006F7755">
              <w:rPr>
                <w:rFonts w:cs="Arial"/>
                <w:szCs w:val="18"/>
                <w:lang w:val="nl-BE"/>
              </w:rPr>
              <w:t>25%</w:t>
            </w:r>
          </w:p>
        </w:tc>
      </w:tr>
      <w:tr w:rsidR="002805D5" w:rsidTr="002805D5">
        <w:tc>
          <w:tcPr>
            <w:tcW w:w="1838" w:type="dxa"/>
            <w:vMerge w:val="restart"/>
          </w:tcPr>
          <w:p w:rsidR="002805D5" w:rsidRPr="002805D5" w:rsidRDefault="002805D5" w:rsidP="00D61D12">
            <w:pPr>
              <w:spacing w:after="0"/>
              <w:jc w:val="left"/>
              <w:rPr>
                <w:rFonts w:cs="Arial"/>
                <w:szCs w:val="18"/>
              </w:rPr>
            </w:pPr>
            <w:r w:rsidRPr="006F7755">
              <w:rPr>
                <w:rFonts w:cs="Arial"/>
                <w:szCs w:val="18"/>
                <w:lang w:val="nl-BE"/>
              </w:rPr>
              <w:t>Neen</w:t>
            </w:r>
          </w:p>
        </w:tc>
        <w:tc>
          <w:tcPr>
            <w:tcW w:w="1276" w:type="dxa"/>
          </w:tcPr>
          <w:p w:rsidR="002805D5" w:rsidRPr="002805D5" w:rsidRDefault="002805D5" w:rsidP="00D61D12">
            <w:pPr>
              <w:spacing w:after="0"/>
              <w:jc w:val="left"/>
              <w:rPr>
                <w:rFonts w:cs="Arial"/>
                <w:szCs w:val="18"/>
              </w:rPr>
            </w:pPr>
            <w:r w:rsidRPr="006F7755">
              <w:rPr>
                <w:rFonts w:cs="Arial"/>
                <w:szCs w:val="18"/>
                <w:lang w:val="nl-BE"/>
              </w:rPr>
              <w:t>Neen</w:t>
            </w:r>
          </w:p>
        </w:tc>
        <w:tc>
          <w:tcPr>
            <w:tcW w:w="2126" w:type="dxa"/>
          </w:tcPr>
          <w:p w:rsidR="002805D5" w:rsidRPr="002805D5" w:rsidRDefault="002805D5" w:rsidP="00D61D12">
            <w:pPr>
              <w:spacing w:after="0"/>
              <w:jc w:val="left"/>
              <w:rPr>
                <w:rFonts w:cs="Arial"/>
                <w:szCs w:val="18"/>
              </w:rPr>
            </w:pPr>
            <w:r w:rsidRPr="006F7755">
              <w:rPr>
                <w:rFonts w:cs="Arial"/>
                <w:szCs w:val="18"/>
                <w:lang w:val="nl-BE"/>
              </w:rPr>
              <w:t>/</w:t>
            </w:r>
          </w:p>
        </w:tc>
        <w:tc>
          <w:tcPr>
            <w:tcW w:w="2268" w:type="dxa"/>
          </w:tcPr>
          <w:p w:rsidR="002805D5" w:rsidRPr="002805D5" w:rsidRDefault="002805D5" w:rsidP="00D61D12">
            <w:pPr>
              <w:spacing w:after="0"/>
              <w:jc w:val="left"/>
              <w:rPr>
                <w:rFonts w:cs="Arial"/>
                <w:szCs w:val="18"/>
              </w:rPr>
            </w:pPr>
            <w:r w:rsidRPr="006F7755">
              <w:rPr>
                <w:rFonts w:cs="Arial"/>
                <w:szCs w:val="18"/>
                <w:lang w:val="nl-BE"/>
              </w:rPr>
              <w:t>/</w:t>
            </w:r>
          </w:p>
        </w:tc>
        <w:tc>
          <w:tcPr>
            <w:tcW w:w="2977" w:type="dxa"/>
          </w:tcPr>
          <w:p w:rsidR="002805D5" w:rsidRPr="002805D5" w:rsidRDefault="002805D5" w:rsidP="00D61D12">
            <w:pPr>
              <w:spacing w:after="0"/>
              <w:jc w:val="left"/>
              <w:rPr>
                <w:rFonts w:cs="Arial"/>
                <w:szCs w:val="18"/>
              </w:rPr>
            </w:pPr>
            <w:r w:rsidRPr="006F7755">
              <w:rPr>
                <w:rFonts w:cs="Arial"/>
                <w:szCs w:val="18"/>
                <w:lang w:val="nl-BE"/>
              </w:rPr>
              <w:t xml:space="preserve">Gekende complicatie </w:t>
            </w:r>
          </w:p>
        </w:tc>
        <w:tc>
          <w:tcPr>
            <w:tcW w:w="2835" w:type="dxa"/>
          </w:tcPr>
          <w:p w:rsidR="002805D5" w:rsidRPr="002805D5" w:rsidRDefault="002805D5" w:rsidP="00637884">
            <w:pPr>
              <w:spacing w:after="0"/>
              <w:jc w:val="left"/>
              <w:rPr>
                <w:rFonts w:cs="Arial"/>
                <w:szCs w:val="18"/>
              </w:rPr>
            </w:pPr>
            <w:r>
              <w:rPr>
                <w:rFonts w:cs="Arial"/>
                <w:szCs w:val="18"/>
                <w:lang w:val="nl-BE"/>
              </w:rPr>
              <w:t xml:space="preserve">- </w:t>
            </w:r>
            <w:r w:rsidR="00AA253A">
              <w:rPr>
                <w:rFonts w:cs="Arial"/>
                <w:szCs w:val="18"/>
                <w:lang w:val="nl-BE"/>
              </w:rPr>
              <w:t>advies</w:t>
            </w:r>
            <w:r w:rsidRPr="006F7755">
              <w:rPr>
                <w:rFonts w:cs="Arial"/>
                <w:szCs w:val="18"/>
                <w:lang w:val="nl-BE"/>
              </w:rPr>
              <w:t xml:space="preserve"> geen tussenkomst FMO </w:t>
            </w:r>
          </w:p>
        </w:tc>
        <w:tc>
          <w:tcPr>
            <w:tcW w:w="1092" w:type="dxa"/>
            <w:vMerge/>
          </w:tcPr>
          <w:p w:rsidR="002805D5" w:rsidRPr="002805D5" w:rsidRDefault="002805D5" w:rsidP="00D61D12">
            <w:pPr>
              <w:spacing w:after="0"/>
              <w:jc w:val="left"/>
              <w:rPr>
                <w:rFonts w:cs="Arial"/>
                <w:szCs w:val="18"/>
              </w:rPr>
            </w:pPr>
          </w:p>
        </w:tc>
      </w:tr>
      <w:tr w:rsidR="002805D5" w:rsidTr="002805D5">
        <w:tc>
          <w:tcPr>
            <w:tcW w:w="1838" w:type="dxa"/>
            <w:vMerge/>
          </w:tcPr>
          <w:p w:rsidR="002805D5" w:rsidRPr="002805D5" w:rsidRDefault="002805D5" w:rsidP="00D61D12">
            <w:pPr>
              <w:spacing w:after="0"/>
              <w:jc w:val="left"/>
              <w:rPr>
                <w:rFonts w:cs="Arial"/>
                <w:szCs w:val="18"/>
              </w:rPr>
            </w:pPr>
          </w:p>
        </w:tc>
        <w:tc>
          <w:tcPr>
            <w:tcW w:w="1276" w:type="dxa"/>
            <w:vMerge w:val="restart"/>
          </w:tcPr>
          <w:p w:rsidR="002805D5" w:rsidRPr="002805D5" w:rsidRDefault="002805D5" w:rsidP="00D61D12">
            <w:pPr>
              <w:spacing w:after="0"/>
              <w:jc w:val="left"/>
              <w:rPr>
                <w:rFonts w:cs="Arial"/>
                <w:szCs w:val="18"/>
              </w:rPr>
            </w:pPr>
            <w:r w:rsidRPr="006F7755">
              <w:rPr>
                <w:rFonts w:cs="Arial"/>
                <w:szCs w:val="18"/>
                <w:lang w:val="nl-BE"/>
              </w:rPr>
              <w:t>Ja</w:t>
            </w:r>
          </w:p>
        </w:tc>
        <w:tc>
          <w:tcPr>
            <w:tcW w:w="2126" w:type="dxa"/>
            <w:vMerge w:val="restart"/>
          </w:tcPr>
          <w:p w:rsidR="002805D5" w:rsidRDefault="002805D5" w:rsidP="00D61D12">
            <w:pPr>
              <w:spacing w:after="0"/>
              <w:jc w:val="left"/>
              <w:rPr>
                <w:rFonts w:cs="Arial"/>
                <w:szCs w:val="18"/>
                <w:lang w:val="nl-BE"/>
              </w:rPr>
            </w:pPr>
            <w:r>
              <w:rPr>
                <w:rFonts w:cs="Arial"/>
                <w:szCs w:val="18"/>
                <w:lang w:val="nl-BE"/>
              </w:rPr>
              <w:t xml:space="preserve">- </w:t>
            </w:r>
            <w:r w:rsidRPr="006F7755">
              <w:rPr>
                <w:rFonts w:cs="Arial"/>
                <w:szCs w:val="18"/>
                <w:lang w:val="nl-BE"/>
              </w:rPr>
              <w:t>Tweede interne analyse (</w:t>
            </w:r>
            <w:proofErr w:type="spellStart"/>
            <w:r w:rsidRPr="006F7755">
              <w:rPr>
                <w:rFonts w:cs="Arial"/>
                <w:szCs w:val="18"/>
                <w:lang w:val="nl-BE"/>
              </w:rPr>
              <w:t>voorber</w:t>
            </w:r>
            <w:proofErr w:type="spellEnd"/>
            <w:r>
              <w:rPr>
                <w:rFonts w:cs="Arial"/>
                <w:szCs w:val="18"/>
                <w:lang w:val="nl-BE"/>
              </w:rPr>
              <w:t>.</w:t>
            </w:r>
            <w:r w:rsidRPr="006F7755">
              <w:rPr>
                <w:rFonts w:cs="Arial"/>
                <w:szCs w:val="18"/>
                <w:lang w:val="nl-BE"/>
              </w:rPr>
              <w:t xml:space="preserve"> EE)</w:t>
            </w:r>
          </w:p>
          <w:p w:rsidR="002805D5" w:rsidRPr="002805D5" w:rsidRDefault="002805D5" w:rsidP="00D61D12">
            <w:pPr>
              <w:spacing w:after="0"/>
              <w:jc w:val="left"/>
              <w:rPr>
                <w:rFonts w:cs="Arial"/>
                <w:szCs w:val="18"/>
              </w:rPr>
            </w:pPr>
            <w:r>
              <w:rPr>
                <w:rFonts w:cs="Arial"/>
                <w:szCs w:val="18"/>
                <w:lang w:val="nl-BE"/>
              </w:rPr>
              <w:t>- Eenzijdige externe expertise</w:t>
            </w:r>
          </w:p>
        </w:tc>
        <w:tc>
          <w:tcPr>
            <w:tcW w:w="2268" w:type="dxa"/>
          </w:tcPr>
          <w:p w:rsidR="002805D5" w:rsidRPr="002805D5" w:rsidRDefault="002805D5" w:rsidP="00D61D12">
            <w:pPr>
              <w:spacing w:after="0"/>
              <w:jc w:val="left"/>
              <w:rPr>
                <w:rFonts w:cs="Arial"/>
                <w:szCs w:val="18"/>
              </w:rPr>
            </w:pPr>
            <w:r>
              <w:rPr>
                <w:rFonts w:cs="Arial"/>
                <w:szCs w:val="18"/>
                <w:lang w:val="nl-BE"/>
              </w:rPr>
              <w:t xml:space="preserve">- </w:t>
            </w:r>
            <w:r w:rsidRPr="006F7755">
              <w:rPr>
                <w:rFonts w:cs="Arial"/>
                <w:szCs w:val="18"/>
                <w:lang w:val="nl-BE"/>
              </w:rPr>
              <w:t xml:space="preserve">Geen aansprakelijkheid </w:t>
            </w:r>
          </w:p>
        </w:tc>
        <w:tc>
          <w:tcPr>
            <w:tcW w:w="2977" w:type="dxa"/>
            <w:vMerge w:val="restart"/>
          </w:tcPr>
          <w:p w:rsidR="002805D5" w:rsidRPr="002805D5" w:rsidRDefault="002805D5" w:rsidP="00D61D12">
            <w:pPr>
              <w:spacing w:after="0"/>
              <w:jc w:val="left"/>
              <w:rPr>
                <w:rFonts w:cs="Arial"/>
                <w:szCs w:val="18"/>
              </w:rPr>
            </w:pPr>
          </w:p>
        </w:tc>
        <w:tc>
          <w:tcPr>
            <w:tcW w:w="2835" w:type="dxa"/>
          </w:tcPr>
          <w:p w:rsidR="002805D5" w:rsidRPr="006F7755" w:rsidRDefault="002805D5" w:rsidP="00D61D12">
            <w:pPr>
              <w:spacing w:after="0"/>
              <w:jc w:val="left"/>
              <w:rPr>
                <w:rFonts w:cs="Arial"/>
                <w:szCs w:val="18"/>
                <w:lang w:val="nl-BE"/>
              </w:rPr>
            </w:pPr>
            <w:r>
              <w:rPr>
                <w:rFonts w:cs="Arial"/>
                <w:szCs w:val="18"/>
                <w:lang w:val="nl-BE"/>
              </w:rPr>
              <w:t xml:space="preserve">- </w:t>
            </w:r>
            <w:r w:rsidR="00AA253A">
              <w:rPr>
                <w:rFonts w:cs="Arial"/>
                <w:szCs w:val="18"/>
                <w:lang w:val="nl-BE"/>
              </w:rPr>
              <w:t>advies</w:t>
            </w:r>
            <w:r w:rsidRPr="006F7755">
              <w:rPr>
                <w:rFonts w:cs="Arial"/>
                <w:szCs w:val="18"/>
                <w:lang w:val="nl-BE"/>
              </w:rPr>
              <w:t xml:space="preserve"> geen tussenkomst FMO </w:t>
            </w:r>
          </w:p>
          <w:p w:rsidR="002805D5" w:rsidRPr="002805D5" w:rsidRDefault="002805D5" w:rsidP="00D61D12">
            <w:pPr>
              <w:spacing w:after="0"/>
              <w:jc w:val="left"/>
              <w:rPr>
                <w:rFonts w:cs="Arial"/>
                <w:szCs w:val="18"/>
              </w:rPr>
            </w:pPr>
            <w:r>
              <w:rPr>
                <w:rFonts w:cs="Arial"/>
                <w:szCs w:val="18"/>
                <w:lang w:val="nl-BE"/>
              </w:rPr>
              <w:t>- V</w:t>
            </w:r>
            <w:r w:rsidRPr="006F7755">
              <w:rPr>
                <w:rFonts w:cs="Arial"/>
                <w:szCs w:val="18"/>
                <w:lang w:val="nl-BE"/>
              </w:rPr>
              <w:t>erslag EE in bijlage</w:t>
            </w:r>
          </w:p>
        </w:tc>
        <w:tc>
          <w:tcPr>
            <w:tcW w:w="1092" w:type="dxa"/>
            <w:vMerge w:val="restart"/>
          </w:tcPr>
          <w:p w:rsidR="002805D5" w:rsidRPr="002805D5" w:rsidRDefault="002805D5" w:rsidP="00D61D12">
            <w:pPr>
              <w:spacing w:after="0"/>
              <w:jc w:val="left"/>
              <w:rPr>
                <w:rFonts w:cs="Arial"/>
                <w:szCs w:val="18"/>
              </w:rPr>
            </w:pPr>
            <w:r>
              <w:rPr>
                <w:rFonts w:cs="Arial"/>
                <w:szCs w:val="18"/>
              </w:rPr>
              <w:t>8%</w:t>
            </w:r>
          </w:p>
        </w:tc>
      </w:tr>
      <w:tr w:rsidR="002805D5" w:rsidTr="002805D5">
        <w:tc>
          <w:tcPr>
            <w:tcW w:w="1838" w:type="dxa"/>
            <w:vMerge/>
          </w:tcPr>
          <w:p w:rsidR="002805D5" w:rsidRPr="002805D5" w:rsidRDefault="002805D5" w:rsidP="00D61D12">
            <w:pPr>
              <w:spacing w:after="0"/>
              <w:jc w:val="left"/>
              <w:rPr>
                <w:rFonts w:cs="Arial"/>
                <w:szCs w:val="18"/>
              </w:rPr>
            </w:pPr>
          </w:p>
        </w:tc>
        <w:tc>
          <w:tcPr>
            <w:tcW w:w="1276" w:type="dxa"/>
            <w:vMerge/>
          </w:tcPr>
          <w:p w:rsidR="002805D5" w:rsidRPr="002805D5" w:rsidRDefault="002805D5" w:rsidP="00D61D12">
            <w:pPr>
              <w:spacing w:after="0"/>
              <w:jc w:val="left"/>
              <w:rPr>
                <w:rFonts w:cs="Arial"/>
                <w:szCs w:val="18"/>
              </w:rPr>
            </w:pPr>
          </w:p>
        </w:tc>
        <w:tc>
          <w:tcPr>
            <w:tcW w:w="2126" w:type="dxa"/>
            <w:vMerge/>
          </w:tcPr>
          <w:p w:rsidR="002805D5" w:rsidRPr="002805D5" w:rsidRDefault="002805D5" w:rsidP="00D61D12">
            <w:pPr>
              <w:spacing w:after="0"/>
              <w:jc w:val="left"/>
              <w:rPr>
                <w:rFonts w:cs="Arial"/>
                <w:szCs w:val="18"/>
              </w:rPr>
            </w:pPr>
          </w:p>
        </w:tc>
        <w:tc>
          <w:tcPr>
            <w:tcW w:w="2268" w:type="dxa"/>
          </w:tcPr>
          <w:p w:rsidR="002805D5" w:rsidRPr="002805D5" w:rsidRDefault="002805D5" w:rsidP="00D61D12">
            <w:pPr>
              <w:spacing w:after="0"/>
              <w:jc w:val="left"/>
              <w:rPr>
                <w:rFonts w:cs="Arial"/>
                <w:szCs w:val="18"/>
              </w:rPr>
            </w:pPr>
            <w:r>
              <w:rPr>
                <w:rFonts w:cs="Arial"/>
                <w:szCs w:val="18"/>
                <w:lang w:val="nl-BE"/>
              </w:rPr>
              <w:t xml:space="preserve">- </w:t>
            </w:r>
            <w:r w:rsidRPr="006F7755">
              <w:rPr>
                <w:rFonts w:cs="Arial"/>
                <w:szCs w:val="18"/>
                <w:lang w:val="nl-BE"/>
              </w:rPr>
              <w:t>Wel aansprakelijkheid</w:t>
            </w:r>
          </w:p>
        </w:tc>
        <w:tc>
          <w:tcPr>
            <w:tcW w:w="2977" w:type="dxa"/>
            <w:vMerge/>
          </w:tcPr>
          <w:p w:rsidR="002805D5" w:rsidRPr="002805D5" w:rsidRDefault="002805D5" w:rsidP="00D61D12">
            <w:pPr>
              <w:spacing w:after="0"/>
              <w:jc w:val="left"/>
              <w:rPr>
                <w:rFonts w:cs="Arial"/>
                <w:szCs w:val="18"/>
              </w:rPr>
            </w:pPr>
          </w:p>
        </w:tc>
        <w:tc>
          <w:tcPr>
            <w:tcW w:w="2835" w:type="dxa"/>
          </w:tcPr>
          <w:p w:rsidR="002805D5" w:rsidRDefault="002805D5" w:rsidP="00D61D12">
            <w:pPr>
              <w:spacing w:after="0"/>
              <w:jc w:val="left"/>
              <w:rPr>
                <w:rFonts w:cs="Arial"/>
                <w:szCs w:val="18"/>
                <w:lang w:val="nl-BE"/>
              </w:rPr>
            </w:pPr>
            <w:r>
              <w:rPr>
                <w:rFonts w:cs="Arial"/>
                <w:szCs w:val="18"/>
                <w:lang w:val="nl-BE"/>
              </w:rPr>
              <w:t>- S</w:t>
            </w:r>
            <w:r w:rsidRPr="006F7755">
              <w:rPr>
                <w:rFonts w:cs="Arial"/>
                <w:szCs w:val="18"/>
                <w:lang w:val="nl-BE"/>
              </w:rPr>
              <w:t>chriftelijk verhoor (</w:t>
            </w:r>
            <w:proofErr w:type="spellStart"/>
            <w:r w:rsidRPr="006F7755">
              <w:rPr>
                <w:rFonts w:cs="Arial"/>
                <w:szCs w:val="18"/>
                <w:lang w:val="nl-BE"/>
              </w:rPr>
              <w:t>mogelijkh</w:t>
            </w:r>
            <w:proofErr w:type="spellEnd"/>
            <w:r>
              <w:rPr>
                <w:rFonts w:cs="Arial"/>
                <w:szCs w:val="18"/>
                <w:lang w:val="nl-BE"/>
              </w:rPr>
              <w:t>.</w:t>
            </w:r>
            <w:r w:rsidRPr="006F7755">
              <w:rPr>
                <w:rFonts w:cs="Arial"/>
                <w:szCs w:val="18"/>
                <w:lang w:val="nl-BE"/>
              </w:rPr>
              <w:t xml:space="preserve"> opmerkingen zorgverlener)</w:t>
            </w:r>
          </w:p>
          <w:p w:rsidR="002805D5" w:rsidRPr="002805D5" w:rsidRDefault="002805D5" w:rsidP="00D61D12">
            <w:pPr>
              <w:spacing w:after="0"/>
              <w:jc w:val="left"/>
              <w:rPr>
                <w:rFonts w:cs="Arial"/>
                <w:szCs w:val="18"/>
              </w:rPr>
            </w:pPr>
            <w:r>
              <w:rPr>
                <w:rFonts w:cs="Arial"/>
                <w:szCs w:val="18"/>
                <w:lang w:val="nl-BE"/>
              </w:rPr>
              <w:t xml:space="preserve">- </w:t>
            </w:r>
            <w:r w:rsidRPr="006F7755">
              <w:rPr>
                <w:rFonts w:cs="Arial"/>
                <w:szCs w:val="18"/>
                <w:lang w:val="nl-BE"/>
              </w:rPr>
              <w:t>Definitief advies</w:t>
            </w:r>
          </w:p>
        </w:tc>
        <w:tc>
          <w:tcPr>
            <w:tcW w:w="1092" w:type="dxa"/>
            <w:vMerge/>
          </w:tcPr>
          <w:p w:rsidR="002805D5" w:rsidRPr="002805D5" w:rsidRDefault="002805D5" w:rsidP="00D61D12">
            <w:pPr>
              <w:spacing w:after="0"/>
              <w:jc w:val="left"/>
              <w:rPr>
                <w:rFonts w:cs="Arial"/>
                <w:szCs w:val="18"/>
              </w:rPr>
            </w:pPr>
          </w:p>
        </w:tc>
      </w:tr>
      <w:tr w:rsidR="002805D5" w:rsidTr="002805D5">
        <w:tc>
          <w:tcPr>
            <w:tcW w:w="14412" w:type="dxa"/>
            <w:gridSpan w:val="7"/>
            <w:shd w:val="clear" w:color="auto" w:fill="F2F2F2" w:themeFill="background1" w:themeFillShade="F2"/>
          </w:tcPr>
          <w:p w:rsidR="002805D5" w:rsidRPr="002805D5" w:rsidRDefault="002805D5" w:rsidP="002805D5">
            <w:pPr>
              <w:spacing w:after="0"/>
              <w:jc w:val="center"/>
              <w:rPr>
                <w:rFonts w:cs="Arial"/>
                <w:b/>
                <w:bCs/>
                <w:i/>
                <w:iCs/>
                <w:szCs w:val="18"/>
              </w:rPr>
            </w:pPr>
            <w:r w:rsidRPr="002805D5">
              <w:rPr>
                <w:rFonts w:cs="Arial"/>
                <w:b/>
                <w:bCs/>
                <w:i/>
                <w:iCs/>
                <w:szCs w:val="18"/>
              </w:rPr>
              <w:t>WEL indicatie ernstgraad</w:t>
            </w:r>
          </w:p>
        </w:tc>
      </w:tr>
      <w:tr w:rsidR="002805D5" w:rsidTr="002805D5">
        <w:tc>
          <w:tcPr>
            <w:tcW w:w="1838" w:type="dxa"/>
          </w:tcPr>
          <w:p w:rsidR="002805D5" w:rsidRPr="002805D5" w:rsidRDefault="002805D5" w:rsidP="002805D5">
            <w:pPr>
              <w:spacing w:after="0"/>
              <w:jc w:val="left"/>
              <w:rPr>
                <w:rFonts w:cs="Arial"/>
                <w:szCs w:val="18"/>
              </w:rPr>
            </w:pPr>
            <w:r>
              <w:rPr>
                <w:rFonts w:cs="Arial"/>
                <w:szCs w:val="18"/>
              </w:rPr>
              <w:t>Ja</w:t>
            </w:r>
          </w:p>
        </w:tc>
        <w:tc>
          <w:tcPr>
            <w:tcW w:w="1276" w:type="dxa"/>
          </w:tcPr>
          <w:p w:rsidR="002805D5" w:rsidRPr="002805D5" w:rsidRDefault="002805D5" w:rsidP="002805D5">
            <w:pPr>
              <w:spacing w:after="0"/>
              <w:jc w:val="left"/>
              <w:rPr>
                <w:rFonts w:cs="Arial"/>
                <w:szCs w:val="18"/>
              </w:rPr>
            </w:pPr>
            <w:r>
              <w:rPr>
                <w:rFonts w:cs="Arial"/>
                <w:szCs w:val="18"/>
              </w:rPr>
              <w:t>/</w:t>
            </w:r>
          </w:p>
        </w:tc>
        <w:tc>
          <w:tcPr>
            <w:tcW w:w="2126" w:type="dxa"/>
          </w:tcPr>
          <w:p w:rsidR="002805D5" w:rsidRPr="002805D5" w:rsidRDefault="002805D5" w:rsidP="002805D5">
            <w:pPr>
              <w:spacing w:after="0"/>
              <w:jc w:val="left"/>
              <w:rPr>
                <w:rFonts w:cs="Arial"/>
                <w:szCs w:val="18"/>
              </w:rPr>
            </w:pPr>
            <w:r>
              <w:rPr>
                <w:rFonts w:cs="Arial"/>
                <w:szCs w:val="18"/>
                <w:lang w:val="nl-BE"/>
              </w:rPr>
              <w:t xml:space="preserve">- </w:t>
            </w:r>
            <w:r w:rsidRPr="006F7755">
              <w:rPr>
                <w:rFonts w:cs="Arial"/>
                <w:szCs w:val="18"/>
                <w:lang w:val="nl-BE"/>
              </w:rPr>
              <w:t>Tweede interne analyse</w:t>
            </w:r>
            <w:r w:rsidR="002067F0">
              <w:rPr>
                <w:rFonts w:cs="Arial"/>
                <w:szCs w:val="18"/>
                <w:lang w:val="nl-BE"/>
              </w:rPr>
              <w:t xml:space="preserve"> (geen externe)</w:t>
            </w:r>
          </w:p>
        </w:tc>
        <w:tc>
          <w:tcPr>
            <w:tcW w:w="2268" w:type="dxa"/>
          </w:tcPr>
          <w:p w:rsidR="002805D5" w:rsidRPr="002805D5" w:rsidRDefault="002805D5" w:rsidP="002805D5">
            <w:pPr>
              <w:spacing w:after="0"/>
              <w:jc w:val="left"/>
              <w:rPr>
                <w:rFonts w:cs="Arial"/>
                <w:szCs w:val="18"/>
              </w:rPr>
            </w:pPr>
            <w:r>
              <w:rPr>
                <w:rFonts w:cs="Arial"/>
                <w:szCs w:val="18"/>
                <w:lang w:val="nl-BE"/>
              </w:rPr>
              <w:t xml:space="preserve">- </w:t>
            </w:r>
            <w:r w:rsidRPr="006F7755">
              <w:rPr>
                <w:rFonts w:cs="Arial"/>
                <w:szCs w:val="18"/>
                <w:lang w:val="nl-BE"/>
              </w:rPr>
              <w:t>Ongegrond</w:t>
            </w:r>
          </w:p>
        </w:tc>
        <w:tc>
          <w:tcPr>
            <w:tcW w:w="2977" w:type="dxa"/>
          </w:tcPr>
          <w:p w:rsidR="002805D5" w:rsidRPr="006F7755" w:rsidRDefault="002805D5" w:rsidP="002805D5">
            <w:pPr>
              <w:spacing w:after="0"/>
              <w:jc w:val="left"/>
              <w:rPr>
                <w:rFonts w:cs="Arial"/>
                <w:szCs w:val="18"/>
                <w:lang w:val="nl-BE"/>
              </w:rPr>
            </w:pPr>
            <w:r>
              <w:rPr>
                <w:rFonts w:cs="Arial"/>
                <w:szCs w:val="18"/>
                <w:lang w:val="nl-BE"/>
              </w:rPr>
              <w:t xml:space="preserve">- </w:t>
            </w:r>
            <w:r w:rsidRPr="006F7755">
              <w:rPr>
                <w:rFonts w:cs="Arial"/>
                <w:szCs w:val="18"/>
                <w:lang w:val="nl-BE"/>
              </w:rPr>
              <w:t>Geen aansprakelijk</w:t>
            </w:r>
            <w:r>
              <w:rPr>
                <w:rFonts w:cs="Arial"/>
                <w:szCs w:val="18"/>
                <w:lang w:val="nl-BE"/>
              </w:rPr>
              <w:t>heid</w:t>
            </w:r>
          </w:p>
          <w:p w:rsidR="002805D5" w:rsidRPr="006F7755" w:rsidRDefault="002805D5" w:rsidP="002805D5">
            <w:pPr>
              <w:spacing w:after="0"/>
              <w:jc w:val="left"/>
              <w:rPr>
                <w:rFonts w:cs="Arial"/>
                <w:szCs w:val="18"/>
                <w:lang w:val="nl-BE"/>
              </w:rPr>
            </w:pPr>
            <w:r>
              <w:rPr>
                <w:rFonts w:cs="Arial"/>
                <w:szCs w:val="18"/>
                <w:lang w:val="nl-BE"/>
              </w:rPr>
              <w:t xml:space="preserve">- </w:t>
            </w:r>
            <w:r w:rsidRPr="006F7755">
              <w:rPr>
                <w:rFonts w:cs="Arial"/>
                <w:szCs w:val="18"/>
                <w:lang w:val="nl-BE"/>
              </w:rPr>
              <w:t xml:space="preserve">Geen </w:t>
            </w:r>
            <w:proofErr w:type="spellStart"/>
            <w:r>
              <w:rPr>
                <w:rFonts w:cs="Arial"/>
                <w:szCs w:val="18"/>
                <w:lang w:val="nl-BE"/>
              </w:rPr>
              <w:t>M</w:t>
            </w:r>
            <w:r w:rsidRPr="006F7755">
              <w:rPr>
                <w:rFonts w:cs="Arial"/>
                <w:szCs w:val="18"/>
                <w:lang w:val="nl-BE"/>
              </w:rPr>
              <w:t>oza</w:t>
            </w:r>
            <w:proofErr w:type="spellEnd"/>
          </w:p>
          <w:p w:rsidR="002805D5" w:rsidRPr="006F7755" w:rsidRDefault="002805D5" w:rsidP="002805D5">
            <w:pPr>
              <w:spacing w:after="0"/>
              <w:jc w:val="left"/>
              <w:rPr>
                <w:rFonts w:cs="Arial"/>
                <w:szCs w:val="18"/>
                <w:lang w:val="nl-BE"/>
              </w:rPr>
            </w:pPr>
            <w:r>
              <w:rPr>
                <w:rFonts w:cs="Arial"/>
                <w:szCs w:val="18"/>
                <w:lang w:val="nl-BE"/>
              </w:rPr>
              <w:t xml:space="preserve">- </w:t>
            </w:r>
            <w:r w:rsidRPr="006F7755">
              <w:rPr>
                <w:rFonts w:cs="Arial"/>
                <w:szCs w:val="18"/>
                <w:lang w:val="nl-BE"/>
              </w:rPr>
              <w:t xml:space="preserve">Geen </w:t>
            </w:r>
            <w:r>
              <w:rPr>
                <w:rFonts w:cs="Arial"/>
                <w:szCs w:val="18"/>
                <w:lang w:val="nl-BE"/>
              </w:rPr>
              <w:t xml:space="preserve">oorzakelijk </w:t>
            </w:r>
            <w:r w:rsidRPr="006F7755">
              <w:rPr>
                <w:rFonts w:cs="Arial"/>
                <w:szCs w:val="18"/>
                <w:lang w:val="nl-BE"/>
              </w:rPr>
              <w:t>verband</w:t>
            </w:r>
          </w:p>
          <w:p w:rsidR="002805D5" w:rsidRPr="006F7755" w:rsidRDefault="002805D5" w:rsidP="002805D5">
            <w:pPr>
              <w:spacing w:after="0"/>
              <w:jc w:val="left"/>
              <w:rPr>
                <w:rFonts w:cs="Arial"/>
                <w:szCs w:val="18"/>
                <w:lang w:val="nl-BE"/>
              </w:rPr>
            </w:pPr>
            <w:r>
              <w:rPr>
                <w:rFonts w:cs="Arial"/>
                <w:szCs w:val="18"/>
                <w:lang w:val="nl-BE"/>
              </w:rPr>
              <w:t xml:space="preserve">- </w:t>
            </w:r>
            <w:r w:rsidRPr="006F7755">
              <w:rPr>
                <w:rFonts w:cs="Arial"/>
                <w:szCs w:val="18"/>
                <w:lang w:val="nl-BE"/>
              </w:rPr>
              <w:t>Verkeerde diagnose zonder fout</w:t>
            </w:r>
          </w:p>
          <w:p w:rsidR="002805D5" w:rsidRPr="006F7755" w:rsidRDefault="002805D5" w:rsidP="002805D5">
            <w:pPr>
              <w:spacing w:after="0"/>
              <w:jc w:val="left"/>
              <w:rPr>
                <w:rFonts w:cs="Arial"/>
                <w:szCs w:val="18"/>
                <w:lang w:val="nl-BE"/>
              </w:rPr>
            </w:pPr>
            <w:r>
              <w:rPr>
                <w:rFonts w:cs="Arial"/>
                <w:szCs w:val="18"/>
                <w:lang w:val="nl-BE"/>
              </w:rPr>
              <w:t xml:space="preserve">- </w:t>
            </w:r>
            <w:r w:rsidRPr="006F7755">
              <w:rPr>
                <w:rFonts w:cs="Arial"/>
                <w:szCs w:val="18"/>
                <w:lang w:val="nl-BE"/>
              </w:rPr>
              <w:t>Evolutie van de patiënt</w:t>
            </w:r>
          </w:p>
          <w:p w:rsidR="002805D5" w:rsidRPr="002805D5" w:rsidRDefault="002805D5" w:rsidP="002805D5">
            <w:pPr>
              <w:spacing w:after="0"/>
              <w:jc w:val="left"/>
              <w:rPr>
                <w:rFonts w:cs="Arial"/>
                <w:szCs w:val="18"/>
              </w:rPr>
            </w:pPr>
            <w:r>
              <w:rPr>
                <w:rFonts w:cs="Arial"/>
                <w:szCs w:val="18"/>
                <w:lang w:val="nl-BE"/>
              </w:rPr>
              <w:t xml:space="preserve">- </w:t>
            </w:r>
            <w:r w:rsidRPr="006F7755">
              <w:rPr>
                <w:rFonts w:cs="Arial"/>
                <w:szCs w:val="18"/>
                <w:lang w:val="nl-BE"/>
              </w:rPr>
              <w:t xml:space="preserve">Therapeutisch falen </w:t>
            </w:r>
          </w:p>
        </w:tc>
        <w:tc>
          <w:tcPr>
            <w:tcW w:w="2835" w:type="dxa"/>
          </w:tcPr>
          <w:p w:rsidR="002805D5" w:rsidRPr="002805D5" w:rsidRDefault="00CD5D75" w:rsidP="00CD5D75">
            <w:pPr>
              <w:spacing w:after="0"/>
              <w:jc w:val="left"/>
              <w:rPr>
                <w:rFonts w:cs="Arial"/>
                <w:szCs w:val="18"/>
              </w:rPr>
            </w:pPr>
            <w:r>
              <w:rPr>
                <w:rFonts w:cs="Arial"/>
                <w:szCs w:val="18"/>
                <w:lang w:val="nl-BE"/>
              </w:rPr>
              <w:t>- A</w:t>
            </w:r>
            <w:r w:rsidR="002805D5" w:rsidRPr="006F7755">
              <w:rPr>
                <w:rFonts w:cs="Arial"/>
                <w:szCs w:val="18"/>
                <w:lang w:val="nl-BE"/>
              </w:rPr>
              <w:t>dvies</w:t>
            </w:r>
          </w:p>
        </w:tc>
        <w:tc>
          <w:tcPr>
            <w:tcW w:w="1092" w:type="dxa"/>
          </w:tcPr>
          <w:p w:rsidR="002805D5" w:rsidRPr="002805D5" w:rsidRDefault="002805D5" w:rsidP="002805D5">
            <w:pPr>
              <w:spacing w:after="0"/>
              <w:jc w:val="left"/>
              <w:rPr>
                <w:rFonts w:cs="Arial"/>
                <w:szCs w:val="18"/>
              </w:rPr>
            </w:pPr>
            <w:r w:rsidRPr="006F7755">
              <w:rPr>
                <w:rFonts w:cs="Arial"/>
                <w:szCs w:val="18"/>
                <w:lang w:val="nl-BE"/>
              </w:rPr>
              <w:t>20%</w:t>
            </w:r>
          </w:p>
        </w:tc>
      </w:tr>
      <w:tr w:rsidR="002805D5" w:rsidTr="002805D5">
        <w:tc>
          <w:tcPr>
            <w:tcW w:w="1838" w:type="dxa"/>
            <w:vMerge w:val="restart"/>
          </w:tcPr>
          <w:p w:rsidR="002805D5" w:rsidRPr="002805D5" w:rsidRDefault="002805D5" w:rsidP="002805D5">
            <w:pPr>
              <w:spacing w:after="0"/>
              <w:jc w:val="left"/>
              <w:rPr>
                <w:rFonts w:cs="Arial"/>
                <w:szCs w:val="18"/>
              </w:rPr>
            </w:pPr>
            <w:r>
              <w:rPr>
                <w:rFonts w:cs="Arial"/>
                <w:szCs w:val="18"/>
              </w:rPr>
              <w:t>Neen</w:t>
            </w:r>
          </w:p>
        </w:tc>
        <w:tc>
          <w:tcPr>
            <w:tcW w:w="1276" w:type="dxa"/>
            <w:vMerge w:val="restart"/>
          </w:tcPr>
          <w:p w:rsidR="002805D5" w:rsidRPr="002805D5" w:rsidRDefault="002805D5" w:rsidP="002805D5">
            <w:pPr>
              <w:spacing w:after="0"/>
              <w:jc w:val="left"/>
              <w:rPr>
                <w:rFonts w:cs="Arial"/>
                <w:szCs w:val="18"/>
              </w:rPr>
            </w:pPr>
            <w:r>
              <w:rPr>
                <w:rFonts w:cs="Arial"/>
                <w:szCs w:val="18"/>
              </w:rPr>
              <w:t>/</w:t>
            </w:r>
          </w:p>
        </w:tc>
        <w:tc>
          <w:tcPr>
            <w:tcW w:w="2126" w:type="dxa"/>
            <w:vMerge w:val="restart"/>
          </w:tcPr>
          <w:p w:rsidR="002805D5" w:rsidRPr="002805D5" w:rsidRDefault="002805D5" w:rsidP="002805D5">
            <w:pPr>
              <w:spacing w:after="0"/>
              <w:jc w:val="left"/>
              <w:rPr>
                <w:rFonts w:cs="Arial"/>
                <w:szCs w:val="18"/>
              </w:rPr>
            </w:pPr>
            <w:r>
              <w:rPr>
                <w:rFonts w:cs="Arial"/>
                <w:szCs w:val="18"/>
                <w:lang w:val="nl-BE"/>
              </w:rPr>
              <w:t xml:space="preserve">- </w:t>
            </w:r>
            <w:r w:rsidRPr="006F7755">
              <w:rPr>
                <w:rFonts w:cs="Arial"/>
                <w:szCs w:val="18"/>
                <w:lang w:val="nl-BE"/>
              </w:rPr>
              <w:t>Tweede interne analyse (</w:t>
            </w:r>
            <w:proofErr w:type="spellStart"/>
            <w:r w:rsidRPr="006F7755">
              <w:rPr>
                <w:rFonts w:cs="Arial"/>
                <w:szCs w:val="18"/>
                <w:lang w:val="nl-BE"/>
              </w:rPr>
              <w:t>voorber</w:t>
            </w:r>
            <w:proofErr w:type="spellEnd"/>
            <w:r>
              <w:rPr>
                <w:rFonts w:cs="Arial"/>
                <w:szCs w:val="18"/>
                <w:lang w:val="nl-BE"/>
              </w:rPr>
              <w:t>.</w:t>
            </w:r>
            <w:r w:rsidRPr="006F7755">
              <w:rPr>
                <w:rFonts w:cs="Arial"/>
                <w:szCs w:val="18"/>
                <w:lang w:val="nl-BE"/>
              </w:rPr>
              <w:t xml:space="preserve"> TSE)</w:t>
            </w:r>
            <w:r>
              <w:rPr>
                <w:rFonts w:cs="Arial"/>
                <w:szCs w:val="18"/>
                <w:lang w:val="nl-BE"/>
              </w:rPr>
              <w:t xml:space="preserve"> - Tegensprekelijke externe expertise</w:t>
            </w:r>
          </w:p>
        </w:tc>
        <w:tc>
          <w:tcPr>
            <w:tcW w:w="2268" w:type="dxa"/>
          </w:tcPr>
          <w:p w:rsidR="002805D5" w:rsidRPr="002805D5" w:rsidRDefault="002805D5" w:rsidP="002805D5">
            <w:pPr>
              <w:spacing w:after="0"/>
              <w:jc w:val="left"/>
              <w:rPr>
                <w:rFonts w:cs="Arial"/>
                <w:szCs w:val="18"/>
              </w:rPr>
            </w:pPr>
            <w:r>
              <w:rPr>
                <w:rFonts w:cs="Arial"/>
                <w:szCs w:val="18"/>
                <w:lang w:val="nl-BE"/>
              </w:rPr>
              <w:t xml:space="preserve">- </w:t>
            </w:r>
            <w:r w:rsidRPr="006F7755">
              <w:rPr>
                <w:rFonts w:cs="Arial"/>
                <w:szCs w:val="18"/>
                <w:lang w:val="nl-BE"/>
              </w:rPr>
              <w:t>Aansprakelijkheid</w:t>
            </w:r>
          </w:p>
        </w:tc>
        <w:tc>
          <w:tcPr>
            <w:tcW w:w="2977" w:type="dxa"/>
            <w:vMerge w:val="restart"/>
          </w:tcPr>
          <w:p w:rsidR="002805D5" w:rsidRPr="002805D5" w:rsidRDefault="002805D5" w:rsidP="002805D5">
            <w:pPr>
              <w:spacing w:after="0"/>
              <w:jc w:val="left"/>
              <w:rPr>
                <w:rFonts w:cs="Arial"/>
                <w:szCs w:val="18"/>
              </w:rPr>
            </w:pPr>
          </w:p>
        </w:tc>
        <w:tc>
          <w:tcPr>
            <w:tcW w:w="2835" w:type="dxa"/>
            <w:vMerge w:val="restart"/>
          </w:tcPr>
          <w:p w:rsidR="002805D5" w:rsidRPr="002805D5" w:rsidRDefault="002805D5" w:rsidP="002805D5">
            <w:pPr>
              <w:spacing w:after="0"/>
              <w:jc w:val="left"/>
              <w:rPr>
                <w:rFonts w:cs="Arial"/>
                <w:szCs w:val="18"/>
              </w:rPr>
            </w:pPr>
            <w:r>
              <w:rPr>
                <w:rFonts w:cs="Arial"/>
                <w:szCs w:val="18"/>
                <w:lang w:val="nl-BE"/>
              </w:rPr>
              <w:t>- A</w:t>
            </w:r>
            <w:r w:rsidRPr="006F7755">
              <w:rPr>
                <w:rFonts w:cs="Arial"/>
                <w:szCs w:val="18"/>
                <w:lang w:val="nl-BE"/>
              </w:rPr>
              <w:t>dvies</w:t>
            </w:r>
          </w:p>
        </w:tc>
        <w:tc>
          <w:tcPr>
            <w:tcW w:w="1092" w:type="dxa"/>
          </w:tcPr>
          <w:p w:rsidR="002805D5" w:rsidRPr="002805D5" w:rsidRDefault="002805D5" w:rsidP="002805D5">
            <w:pPr>
              <w:spacing w:after="0"/>
              <w:jc w:val="left"/>
              <w:rPr>
                <w:rFonts w:cs="Arial"/>
                <w:szCs w:val="18"/>
              </w:rPr>
            </w:pPr>
            <w:r>
              <w:rPr>
                <w:rFonts w:cs="Arial"/>
                <w:szCs w:val="18"/>
              </w:rPr>
              <w:t>10%</w:t>
            </w:r>
          </w:p>
        </w:tc>
      </w:tr>
      <w:tr w:rsidR="002805D5" w:rsidTr="002805D5">
        <w:tc>
          <w:tcPr>
            <w:tcW w:w="1838" w:type="dxa"/>
            <w:vMerge/>
          </w:tcPr>
          <w:p w:rsidR="002805D5" w:rsidRPr="002805D5" w:rsidRDefault="002805D5" w:rsidP="002805D5">
            <w:pPr>
              <w:spacing w:after="0"/>
              <w:jc w:val="left"/>
              <w:rPr>
                <w:rFonts w:cs="Arial"/>
                <w:szCs w:val="18"/>
              </w:rPr>
            </w:pPr>
          </w:p>
        </w:tc>
        <w:tc>
          <w:tcPr>
            <w:tcW w:w="1276" w:type="dxa"/>
            <w:vMerge/>
          </w:tcPr>
          <w:p w:rsidR="002805D5" w:rsidRPr="002805D5" w:rsidRDefault="002805D5" w:rsidP="002805D5">
            <w:pPr>
              <w:spacing w:after="0"/>
              <w:jc w:val="left"/>
              <w:rPr>
                <w:rFonts w:cs="Arial"/>
                <w:szCs w:val="18"/>
              </w:rPr>
            </w:pPr>
          </w:p>
        </w:tc>
        <w:tc>
          <w:tcPr>
            <w:tcW w:w="2126" w:type="dxa"/>
            <w:vMerge/>
          </w:tcPr>
          <w:p w:rsidR="002805D5" w:rsidRPr="002805D5" w:rsidRDefault="002805D5" w:rsidP="002805D5">
            <w:pPr>
              <w:spacing w:after="0"/>
              <w:jc w:val="left"/>
              <w:rPr>
                <w:rFonts w:cs="Arial"/>
                <w:szCs w:val="18"/>
              </w:rPr>
            </w:pPr>
          </w:p>
        </w:tc>
        <w:tc>
          <w:tcPr>
            <w:tcW w:w="2268" w:type="dxa"/>
          </w:tcPr>
          <w:p w:rsidR="002805D5" w:rsidRPr="002805D5" w:rsidRDefault="002805D5" w:rsidP="002805D5">
            <w:pPr>
              <w:spacing w:after="0"/>
              <w:jc w:val="left"/>
              <w:rPr>
                <w:rFonts w:cs="Arial"/>
                <w:szCs w:val="18"/>
              </w:rPr>
            </w:pPr>
            <w:r>
              <w:rPr>
                <w:rFonts w:cs="Arial"/>
                <w:szCs w:val="18"/>
                <w:lang w:val="nl-BE"/>
              </w:rPr>
              <w:t xml:space="preserve">- </w:t>
            </w:r>
            <w:proofErr w:type="spellStart"/>
            <w:r w:rsidRPr="006F7755">
              <w:rPr>
                <w:rFonts w:cs="Arial"/>
                <w:szCs w:val="18"/>
                <w:lang w:val="nl-BE"/>
              </w:rPr>
              <w:t>Moza</w:t>
            </w:r>
            <w:proofErr w:type="spellEnd"/>
          </w:p>
        </w:tc>
        <w:tc>
          <w:tcPr>
            <w:tcW w:w="2977" w:type="dxa"/>
            <w:vMerge/>
          </w:tcPr>
          <w:p w:rsidR="002805D5" w:rsidRPr="002805D5" w:rsidRDefault="002805D5" w:rsidP="002805D5">
            <w:pPr>
              <w:spacing w:after="0"/>
              <w:jc w:val="left"/>
              <w:rPr>
                <w:rFonts w:cs="Arial"/>
                <w:szCs w:val="18"/>
              </w:rPr>
            </w:pPr>
          </w:p>
        </w:tc>
        <w:tc>
          <w:tcPr>
            <w:tcW w:w="2835" w:type="dxa"/>
            <w:vMerge/>
          </w:tcPr>
          <w:p w:rsidR="002805D5" w:rsidRPr="002805D5" w:rsidRDefault="002805D5" w:rsidP="002805D5">
            <w:pPr>
              <w:spacing w:after="0"/>
              <w:jc w:val="left"/>
              <w:rPr>
                <w:rFonts w:cs="Arial"/>
                <w:szCs w:val="18"/>
              </w:rPr>
            </w:pPr>
          </w:p>
        </w:tc>
        <w:tc>
          <w:tcPr>
            <w:tcW w:w="1092" w:type="dxa"/>
          </w:tcPr>
          <w:p w:rsidR="002805D5" w:rsidRPr="002805D5" w:rsidRDefault="002805D5" w:rsidP="002805D5">
            <w:pPr>
              <w:spacing w:after="0"/>
              <w:jc w:val="left"/>
              <w:rPr>
                <w:rFonts w:cs="Arial"/>
                <w:szCs w:val="18"/>
              </w:rPr>
            </w:pPr>
            <w:r>
              <w:rPr>
                <w:rFonts w:cs="Arial"/>
                <w:szCs w:val="18"/>
              </w:rPr>
              <w:t>7%</w:t>
            </w:r>
          </w:p>
        </w:tc>
      </w:tr>
      <w:tr w:rsidR="002805D5" w:rsidTr="002805D5">
        <w:tc>
          <w:tcPr>
            <w:tcW w:w="1838" w:type="dxa"/>
            <w:vMerge/>
          </w:tcPr>
          <w:p w:rsidR="002805D5" w:rsidRPr="002805D5" w:rsidRDefault="002805D5" w:rsidP="002805D5">
            <w:pPr>
              <w:spacing w:after="0"/>
              <w:jc w:val="left"/>
              <w:rPr>
                <w:rFonts w:cs="Arial"/>
                <w:szCs w:val="18"/>
              </w:rPr>
            </w:pPr>
          </w:p>
        </w:tc>
        <w:tc>
          <w:tcPr>
            <w:tcW w:w="1276" w:type="dxa"/>
            <w:vMerge/>
          </w:tcPr>
          <w:p w:rsidR="002805D5" w:rsidRPr="002805D5" w:rsidRDefault="002805D5" w:rsidP="002805D5">
            <w:pPr>
              <w:spacing w:after="0"/>
              <w:jc w:val="left"/>
              <w:rPr>
                <w:rFonts w:cs="Arial"/>
                <w:szCs w:val="18"/>
              </w:rPr>
            </w:pPr>
          </w:p>
        </w:tc>
        <w:tc>
          <w:tcPr>
            <w:tcW w:w="2126" w:type="dxa"/>
            <w:vMerge/>
          </w:tcPr>
          <w:p w:rsidR="002805D5" w:rsidRPr="002805D5" w:rsidRDefault="002805D5" w:rsidP="002805D5">
            <w:pPr>
              <w:spacing w:after="0"/>
              <w:jc w:val="left"/>
              <w:rPr>
                <w:rFonts w:cs="Arial"/>
                <w:szCs w:val="18"/>
              </w:rPr>
            </w:pPr>
          </w:p>
        </w:tc>
        <w:tc>
          <w:tcPr>
            <w:tcW w:w="2268" w:type="dxa"/>
          </w:tcPr>
          <w:p w:rsidR="002805D5" w:rsidRPr="002805D5" w:rsidRDefault="002805D5" w:rsidP="002805D5">
            <w:pPr>
              <w:spacing w:after="0"/>
              <w:jc w:val="left"/>
              <w:rPr>
                <w:rFonts w:cs="Arial"/>
                <w:szCs w:val="18"/>
                <w:lang w:val="nl-BE"/>
              </w:rPr>
            </w:pPr>
            <w:r>
              <w:rPr>
                <w:rFonts w:cs="Arial"/>
                <w:szCs w:val="18"/>
                <w:lang w:val="nl-BE"/>
              </w:rPr>
              <w:t xml:space="preserve">- </w:t>
            </w:r>
            <w:r w:rsidRPr="002805D5">
              <w:rPr>
                <w:rFonts w:cs="Arial"/>
                <w:szCs w:val="18"/>
                <w:lang w:val="nl-BE"/>
              </w:rPr>
              <w:t xml:space="preserve">Geen </w:t>
            </w:r>
            <w:proofErr w:type="spellStart"/>
            <w:r w:rsidRPr="002805D5">
              <w:rPr>
                <w:rFonts w:cs="Arial"/>
                <w:szCs w:val="18"/>
                <w:lang w:val="nl-BE"/>
              </w:rPr>
              <w:t>aansprakelijk</w:t>
            </w:r>
            <w:r>
              <w:rPr>
                <w:rFonts w:cs="Arial"/>
                <w:szCs w:val="18"/>
                <w:lang w:val="nl-BE"/>
              </w:rPr>
              <w:t>h</w:t>
            </w:r>
            <w:proofErr w:type="spellEnd"/>
            <w:r>
              <w:rPr>
                <w:rFonts w:cs="Arial"/>
                <w:szCs w:val="18"/>
                <w:lang w:val="nl-BE"/>
              </w:rPr>
              <w:t>.</w:t>
            </w:r>
            <w:r w:rsidRPr="002805D5">
              <w:rPr>
                <w:rFonts w:cs="Arial"/>
                <w:szCs w:val="18"/>
                <w:lang w:val="nl-BE"/>
              </w:rPr>
              <w:t xml:space="preserve"> en geen </w:t>
            </w:r>
            <w:proofErr w:type="spellStart"/>
            <w:r>
              <w:rPr>
                <w:rFonts w:cs="Arial"/>
                <w:szCs w:val="18"/>
                <w:lang w:val="nl-BE"/>
              </w:rPr>
              <w:t>M</w:t>
            </w:r>
            <w:r w:rsidRPr="002805D5">
              <w:rPr>
                <w:rFonts w:cs="Arial"/>
                <w:szCs w:val="18"/>
                <w:lang w:val="nl-BE"/>
              </w:rPr>
              <w:t>oza</w:t>
            </w:r>
            <w:proofErr w:type="spellEnd"/>
            <w:r w:rsidRPr="002805D5">
              <w:rPr>
                <w:rFonts w:cs="Arial"/>
                <w:szCs w:val="18"/>
                <w:lang w:val="nl-BE"/>
              </w:rPr>
              <w:t xml:space="preserve"> </w:t>
            </w:r>
            <w:r>
              <w:rPr>
                <w:rFonts w:cs="Arial"/>
                <w:szCs w:val="18"/>
                <w:lang w:val="nl-BE"/>
              </w:rPr>
              <w:t>(“</w:t>
            </w:r>
            <w:proofErr w:type="spellStart"/>
            <w:r w:rsidRPr="002805D5">
              <w:rPr>
                <w:rFonts w:cs="Arial"/>
                <w:szCs w:val="18"/>
                <w:lang w:val="nl-BE"/>
              </w:rPr>
              <w:t>nini</w:t>
            </w:r>
            <w:proofErr w:type="spellEnd"/>
            <w:r>
              <w:rPr>
                <w:rFonts w:cs="Arial"/>
                <w:szCs w:val="18"/>
                <w:lang w:val="nl-BE"/>
              </w:rPr>
              <w:t>”)</w:t>
            </w:r>
          </w:p>
          <w:p w:rsidR="002805D5" w:rsidRPr="002805D5" w:rsidRDefault="002805D5" w:rsidP="002805D5">
            <w:pPr>
              <w:spacing w:after="0"/>
              <w:jc w:val="left"/>
              <w:rPr>
                <w:rFonts w:cs="Arial"/>
                <w:szCs w:val="18"/>
                <w:lang w:val="nl-BE"/>
              </w:rPr>
            </w:pPr>
            <w:r>
              <w:rPr>
                <w:rFonts w:cs="Arial"/>
                <w:szCs w:val="18"/>
                <w:lang w:val="nl-BE"/>
              </w:rPr>
              <w:t xml:space="preserve">- </w:t>
            </w:r>
            <w:r w:rsidRPr="002805D5">
              <w:rPr>
                <w:rFonts w:cs="Arial"/>
                <w:szCs w:val="18"/>
                <w:lang w:val="nl-BE"/>
              </w:rPr>
              <w:t>Ernstgraad niet bereikt</w:t>
            </w:r>
          </w:p>
          <w:p w:rsidR="002805D5" w:rsidRPr="002805D5" w:rsidRDefault="002805D5" w:rsidP="002805D5">
            <w:pPr>
              <w:spacing w:after="0"/>
              <w:jc w:val="left"/>
              <w:rPr>
                <w:rFonts w:cs="Arial"/>
                <w:szCs w:val="18"/>
              </w:rPr>
            </w:pPr>
            <w:r>
              <w:rPr>
                <w:rFonts w:cs="Arial"/>
                <w:szCs w:val="18"/>
                <w:lang w:val="nl-BE"/>
              </w:rPr>
              <w:t xml:space="preserve">- </w:t>
            </w:r>
            <w:r w:rsidRPr="002805D5">
              <w:rPr>
                <w:rFonts w:cs="Arial"/>
                <w:szCs w:val="18"/>
                <w:lang w:val="nl-BE"/>
              </w:rPr>
              <w:t>Niet gegrond</w:t>
            </w:r>
          </w:p>
        </w:tc>
        <w:tc>
          <w:tcPr>
            <w:tcW w:w="2977" w:type="dxa"/>
            <w:vMerge/>
          </w:tcPr>
          <w:p w:rsidR="002805D5" w:rsidRPr="002805D5" w:rsidRDefault="002805D5" w:rsidP="002805D5">
            <w:pPr>
              <w:spacing w:after="0"/>
              <w:jc w:val="left"/>
              <w:rPr>
                <w:rFonts w:cs="Arial"/>
                <w:szCs w:val="18"/>
              </w:rPr>
            </w:pPr>
          </w:p>
        </w:tc>
        <w:tc>
          <w:tcPr>
            <w:tcW w:w="2835" w:type="dxa"/>
            <w:vMerge/>
          </w:tcPr>
          <w:p w:rsidR="002805D5" w:rsidRPr="002805D5" w:rsidRDefault="002805D5" w:rsidP="002805D5">
            <w:pPr>
              <w:spacing w:after="0"/>
              <w:jc w:val="left"/>
              <w:rPr>
                <w:rFonts w:cs="Arial"/>
                <w:szCs w:val="18"/>
              </w:rPr>
            </w:pPr>
          </w:p>
        </w:tc>
        <w:tc>
          <w:tcPr>
            <w:tcW w:w="1092" w:type="dxa"/>
          </w:tcPr>
          <w:p w:rsidR="002805D5" w:rsidRPr="002805D5" w:rsidRDefault="002805D5" w:rsidP="002805D5">
            <w:pPr>
              <w:spacing w:after="0"/>
              <w:jc w:val="left"/>
              <w:rPr>
                <w:rFonts w:cs="Arial"/>
                <w:szCs w:val="18"/>
              </w:rPr>
            </w:pPr>
            <w:r>
              <w:rPr>
                <w:rFonts w:cs="Arial"/>
                <w:szCs w:val="18"/>
              </w:rPr>
              <w:t>30%</w:t>
            </w:r>
          </w:p>
        </w:tc>
      </w:tr>
    </w:tbl>
    <w:p w:rsidR="00E16998" w:rsidRDefault="00E16998">
      <w:pPr>
        <w:spacing w:after="0"/>
        <w:jc w:val="left"/>
        <w:rPr>
          <w:rFonts w:cs="Arial"/>
          <w:b/>
          <w:spacing w:val="-4"/>
          <w:kern w:val="28"/>
          <w:sz w:val="20"/>
        </w:rPr>
      </w:pPr>
      <w:r>
        <w:rPr>
          <w:rFonts w:cs="Arial"/>
          <w:sz w:val="20"/>
        </w:rPr>
        <w:br w:type="page"/>
      </w:r>
    </w:p>
    <w:p w:rsidR="00E11857" w:rsidRPr="00A34A91" w:rsidRDefault="00E11857" w:rsidP="004057E6">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15" w:name="_Toc68955689"/>
      <w:r w:rsidRPr="00A34A91">
        <w:rPr>
          <w:rFonts w:cs="Arial"/>
          <w:sz w:val="20"/>
        </w:rPr>
        <w:lastRenderedPageBreak/>
        <w:t>Communicatie</w:t>
      </w:r>
      <w:bookmarkEnd w:id="15"/>
    </w:p>
    <w:p w:rsidR="00E11857" w:rsidRPr="00A34A91" w:rsidRDefault="00E11857" w:rsidP="004057E6">
      <w:pPr>
        <w:spacing w:after="0"/>
        <w:jc w:val="left"/>
        <w:rPr>
          <w:rFonts w:cs="Arial"/>
          <w:sz w:val="20"/>
        </w:rPr>
      </w:pPr>
    </w:p>
    <w:p w:rsidR="00E11857" w:rsidRDefault="00E11857" w:rsidP="004057E6">
      <w:pPr>
        <w:spacing w:after="0"/>
        <w:jc w:val="left"/>
        <w:rPr>
          <w:rFonts w:cs="Arial"/>
          <w:sz w:val="20"/>
        </w:rPr>
      </w:pPr>
      <w:r w:rsidRPr="00A34A91">
        <w:rPr>
          <w:rFonts w:cs="Arial"/>
          <w:sz w:val="20"/>
        </w:rPr>
        <w:t>Bovenop de</w:t>
      </w:r>
      <w:r w:rsidR="00634989">
        <w:rPr>
          <w:rFonts w:cs="Arial"/>
          <w:sz w:val="20"/>
        </w:rPr>
        <w:t xml:space="preserve"> bijsturing hierboven </w:t>
      </w:r>
      <w:r w:rsidRPr="00A34A91">
        <w:rPr>
          <w:rFonts w:cs="Arial"/>
          <w:sz w:val="20"/>
        </w:rPr>
        <w:t>wil</w:t>
      </w:r>
      <w:r w:rsidR="00294D31">
        <w:rPr>
          <w:rFonts w:cs="Arial"/>
          <w:sz w:val="20"/>
        </w:rPr>
        <w:t xml:space="preserve"> het FMO </w:t>
      </w:r>
      <w:r w:rsidRPr="00A34A91">
        <w:rPr>
          <w:rFonts w:cs="Arial"/>
          <w:sz w:val="20"/>
        </w:rPr>
        <w:t xml:space="preserve">de communicatie met de aanvrager verbeteren. De </w:t>
      </w:r>
      <w:r w:rsidRPr="006F7755">
        <w:rPr>
          <w:rFonts w:cs="Arial"/>
          <w:sz w:val="20"/>
          <w:u w:val="single"/>
        </w:rPr>
        <w:t xml:space="preserve">mogelijkheid van een </w:t>
      </w:r>
      <w:r w:rsidR="00634989">
        <w:rPr>
          <w:rFonts w:cs="Arial"/>
          <w:sz w:val="20"/>
          <w:u w:val="single"/>
        </w:rPr>
        <w:t>digitale</w:t>
      </w:r>
      <w:r w:rsidRPr="006F7755">
        <w:rPr>
          <w:rFonts w:cs="Arial"/>
          <w:sz w:val="20"/>
          <w:u w:val="single"/>
        </w:rPr>
        <w:t xml:space="preserve"> aanvraag en </w:t>
      </w:r>
      <w:r w:rsidR="00634989">
        <w:rPr>
          <w:rFonts w:cs="Arial"/>
          <w:sz w:val="20"/>
          <w:u w:val="single"/>
        </w:rPr>
        <w:t xml:space="preserve">van het digitaal </w:t>
      </w:r>
      <w:r w:rsidRPr="006F7755">
        <w:rPr>
          <w:rFonts w:cs="Arial"/>
          <w:sz w:val="20"/>
          <w:u w:val="single"/>
        </w:rPr>
        <w:t>consulteren van het FMO</w:t>
      </w:r>
      <w:r w:rsidR="006F7755">
        <w:rPr>
          <w:rFonts w:cs="Arial"/>
          <w:sz w:val="20"/>
          <w:u w:val="single"/>
        </w:rPr>
        <w:t>-</w:t>
      </w:r>
      <w:r w:rsidRPr="006F7755">
        <w:rPr>
          <w:rFonts w:cs="Arial"/>
          <w:sz w:val="20"/>
          <w:u w:val="single"/>
        </w:rPr>
        <w:t>dossier</w:t>
      </w:r>
      <w:r w:rsidRPr="00A34A91">
        <w:rPr>
          <w:rFonts w:cs="Arial"/>
          <w:sz w:val="20"/>
        </w:rPr>
        <w:t xml:space="preserve"> door de betrokkene zullen zeker een verbetering zijn</w:t>
      </w:r>
      <w:r w:rsidR="00634989">
        <w:rPr>
          <w:rFonts w:cs="Arial"/>
          <w:sz w:val="20"/>
        </w:rPr>
        <w:t xml:space="preserve">. </w:t>
      </w:r>
      <w:r w:rsidR="009E602F">
        <w:rPr>
          <w:rFonts w:cs="Arial"/>
          <w:sz w:val="20"/>
        </w:rPr>
        <w:t>Het FMO stelt al</w:t>
      </w:r>
      <w:r w:rsidR="00CD1522">
        <w:rPr>
          <w:rFonts w:cs="Arial"/>
          <w:sz w:val="20"/>
        </w:rPr>
        <w:t>le</w:t>
      </w:r>
      <w:r w:rsidR="009E602F">
        <w:rPr>
          <w:rFonts w:cs="Arial"/>
          <w:sz w:val="20"/>
        </w:rPr>
        <w:t>s in het werk om dit zo snel mogelijk te realiseren</w:t>
      </w:r>
      <w:r w:rsidR="00FE656E">
        <w:rPr>
          <w:rFonts w:cs="Arial"/>
          <w:sz w:val="20"/>
        </w:rPr>
        <w:t xml:space="preserve"> (voorstel aanpassing van de wet</w:t>
      </w:r>
      <w:r w:rsidR="00CD1522">
        <w:rPr>
          <w:rFonts w:cs="Arial"/>
          <w:sz w:val="20"/>
        </w:rPr>
        <w:t>: zie punt 4.2.a en detail in bijlage 5.</w:t>
      </w:r>
      <w:r w:rsidR="00134CC1">
        <w:rPr>
          <w:rFonts w:cs="Arial"/>
          <w:sz w:val="20"/>
        </w:rPr>
        <w:t>4</w:t>
      </w:r>
      <w:r w:rsidR="00FE656E">
        <w:rPr>
          <w:rFonts w:cs="Arial"/>
          <w:sz w:val="20"/>
        </w:rPr>
        <w:t xml:space="preserve">). De technische analyse </w:t>
      </w:r>
      <w:r w:rsidR="00CD1522">
        <w:rPr>
          <w:rFonts w:cs="Arial"/>
          <w:sz w:val="20"/>
        </w:rPr>
        <w:t xml:space="preserve">is </w:t>
      </w:r>
      <w:r w:rsidR="00FE656E">
        <w:rPr>
          <w:rFonts w:cs="Arial"/>
          <w:sz w:val="20"/>
        </w:rPr>
        <w:t xml:space="preserve">gebeurd en de contacten in verband met een ‘uniek dossier’, met </w:t>
      </w:r>
      <w:r w:rsidR="00CD1522">
        <w:rPr>
          <w:rFonts w:cs="Arial"/>
          <w:sz w:val="20"/>
        </w:rPr>
        <w:t>de K</w:t>
      </w:r>
      <w:r w:rsidR="00FE656E">
        <w:rPr>
          <w:rFonts w:cs="Arial"/>
          <w:sz w:val="20"/>
        </w:rPr>
        <w:t xml:space="preserve">ruispuntbank en </w:t>
      </w:r>
      <w:r w:rsidR="00CD1522">
        <w:rPr>
          <w:rFonts w:cs="Arial"/>
          <w:sz w:val="20"/>
        </w:rPr>
        <w:t xml:space="preserve">met </w:t>
      </w:r>
      <w:proofErr w:type="spellStart"/>
      <w:r w:rsidR="00FE656E">
        <w:rPr>
          <w:rFonts w:cs="Arial"/>
          <w:sz w:val="20"/>
        </w:rPr>
        <w:t>ehealth</w:t>
      </w:r>
      <w:proofErr w:type="spellEnd"/>
      <w:r w:rsidR="00FE656E">
        <w:rPr>
          <w:rFonts w:cs="Arial"/>
          <w:sz w:val="20"/>
        </w:rPr>
        <w:t xml:space="preserve"> werden reeds gelegd.</w:t>
      </w:r>
    </w:p>
    <w:p w:rsidR="009533B6" w:rsidRDefault="009533B6" w:rsidP="004057E6">
      <w:pPr>
        <w:spacing w:after="0"/>
        <w:jc w:val="left"/>
        <w:rPr>
          <w:rFonts w:cs="Arial"/>
          <w:sz w:val="20"/>
        </w:rPr>
      </w:pPr>
    </w:p>
    <w:p w:rsidR="009533B6" w:rsidRDefault="00824674" w:rsidP="004057E6">
      <w:pPr>
        <w:spacing w:after="0"/>
        <w:jc w:val="left"/>
        <w:rPr>
          <w:rFonts w:cs="Arial"/>
          <w:sz w:val="20"/>
        </w:rPr>
      </w:pPr>
      <w:r>
        <w:rPr>
          <w:rFonts w:cs="Arial"/>
          <w:sz w:val="20"/>
        </w:rPr>
        <w:t xml:space="preserve">Voor de </w:t>
      </w:r>
      <w:r w:rsidRPr="00634989">
        <w:rPr>
          <w:rFonts w:cs="Arial"/>
          <w:sz w:val="20"/>
          <w:u w:val="single"/>
        </w:rPr>
        <w:t>dossiers met vertraging</w:t>
      </w:r>
      <w:r>
        <w:rPr>
          <w:rFonts w:cs="Arial"/>
          <w:sz w:val="20"/>
        </w:rPr>
        <w:t xml:space="preserve"> wordt een </w:t>
      </w:r>
      <w:r w:rsidRPr="00634989">
        <w:rPr>
          <w:rFonts w:cs="Arial"/>
          <w:sz w:val="20"/>
          <w:u w:val="single"/>
        </w:rPr>
        <w:t xml:space="preserve">specifieke communicatie </w:t>
      </w:r>
      <w:proofErr w:type="spellStart"/>
      <w:r w:rsidRPr="00634989">
        <w:rPr>
          <w:rFonts w:cs="Arial"/>
          <w:sz w:val="20"/>
          <w:u w:val="single"/>
        </w:rPr>
        <w:t>ivm</w:t>
      </w:r>
      <w:proofErr w:type="spellEnd"/>
      <w:r w:rsidRPr="00634989">
        <w:rPr>
          <w:rFonts w:cs="Arial"/>
          <w:sz w:val="20"/>
          <w:u w:val="single"/>
        </w:rPr>
        <w:t xml:space="preserve"> de stand van het dossier</w:t>
      </w:r>
      <w:r>
        <w:rPr>
          <w:rFonts w:cs="Arial"/>
          <w:sz w:val="20"/>
        </w:rPr>
        <w:t xml:space="preserve"> uitgewerkt. </w:t>
      </w:r>
    </w:p>
    <w:p w:rsidR="00824674" w:rsidRPr="00634989" w:rsidRDefault="00AA253A" w:rsidP="004B51B4">
      <w:pPr>
        <w:pStyle w:val="ListParagraph"/>
        <w:numPr>
          <w:ilvl w:val="0"/>
          <w:numId w:val="5"/>
        </w:numPr>
        <w:spacing w:after="0" w:line="240" w:lineRule="auto"/>
        <w:rPr>
          <w:rFonts w:ascii="Arial" w:hAnsi="Arial" w:cs="Arial"/>
          <w:sz w:val="20"/>
          <w:szCs w:val="20"/>
        </w:rPr>
      </w:pPr>
      <w:r>
        <w:rPr>
          <w:rFonts w:ascii="Arial" w:hAnsi="Arial" w:cs="Arial"/>
          <w:sz w:val="20"/>
          <w:szCs w:val="20"/>
          <w:lang w:val="nl-NL"/>
        </w:rPr>
        <w:t>H</w:t>
      </w:r>
      <w:proofErr w:type="spellStart"/>
      <w:r>
        <w:rPr>
          <w:rFonts w:ascii="Arial" w:hAnsi="Arial" w:cs="Arial"/>
          <w:sz w:val="20"/>
          <w:szCs w:val="20"/>
        </w:rPr>
        <w:t>ierbij</w:t>
      </w:r>
      <w:proofErr w:type="spellEnd"/>
      <w:r>
        <w:rPr>
          <w:rFonts w:ascii="Arial" w:hAnsi="Arial" w:cs="Arial"/>
          <w:sz w:val="20"/>
          <w:szCs w:val="20"/>
        </w:rPr>
        <w:t xml:space="preserve"> </w:t>
      </w:r>
      <w:r w:rsidR="00824674" w:rsidRPr="00634989">
        <w:rPr>
          <w:rFonts w:ascii="Arial" w:hAnsi="Arial" w:cs="Arial"/>
          <w:sz w:val="20"/>
          <w:szCs w:val="20"/>
        </w:rPr>
        <w:t xml:space="preserve">zal de nodige aandacht gegeven worden aan de stand van het dossier. </w:t>
      </w:r>
    </w:p>
    <w:p w:rsidR="00824674" w:rsidRDefault="00634989" w:rsidP="004B51B4">
      <w:pPr>
        <w:pStyle w:val="ListParagraph"/>
        <w:numPr>
          <w:ilvl w:val="0"/>
          <w:numId w:val="5"/>
        </w:numPr>
        <w:spacing w:after="0" w:line="240" w:lineRule="auto"/>
        <w:rPr>
          <w:rFonts w:ascii="Arial" w:hAnsi="Arial" w:cs="Arial"/>
          <w:sz w:val="20"/>
          <w:szCs w:val="20"/>
        </w:rPr>
      </w:pPr>
      <w:r w:rsidRPr="00634989">
        <w:rPr>
          <w:rFonts w:ascii="Arial" w:hAnsi="Arial" w:cs="Arial"/>
          <w:sz w:val="20"/>
          <w:szCs w:val="20"/>
        </w:rPr>
        <w:t xml:space="preserve">Daarna zal </w:t>
      </w:r>
      <w:r w:rsidR="0020358C" w:rsidRPr="00634989">
        <w:rPr>
          <w:rFonts w:ascii="Arial" w:hAnsi="Arial" w:cs="Arial"/>
          <w:sz w:val="20"/>
          <w:szCs w:val="20"/>
        </w:rPr>
        <w:t xml:space="preserve">de aanvrager op de hoogte </w:t>
      </w:r>
      <w:r w:rsidRPr="00634989">
        <w:rPr>
          <w:rFonts w:ascii="Arial" w:hAnsi="Arial" w:cs="Arial"/>
          <w:sz w:val="20"/>
          <w:szCs w:val="20"/>
        </w:rPr>
        <w:t xml:space="preserve">gebracht worden </w:t>
      </w:r>
      <w:r w:rsidR="0020358C" w:rsidRPr="00634989">
        <w:rPr>
          <w:rFonts w:ascii="Arial" w:hAnsi="Arial" w:cs="Arial"/>
          <w:sz w:val="20"/>
          <w:szCs w:val="20"/>
        </w:rPr>
        <w:t>van elke stap</w:t>
      </w:r>
      <w:r w:rsidRPr="00634989">
        <w:rPr>
          <w:rFonts w:ascii="Arial" w:hAnsi="Arial" w:cs="Arial"/>
          <w:sz w:val="20"/>
          <w:szCs w:val="20"/>
        </w:rPr>
        <w:t xml:space="preserve"> (</w:t>
      </w:r>
      <w:r w:rsidR="0020358C" w:rsidRPr="00634989">
        <w:rPr>
          <w:rFonts w:ascii="Arial" w:hAnsi="Arial" w:cs="Arial"/>
          <w:sz w:val="20"/>
          <w:szCs w:val="20"/>
        </w:rPr>
        <w:t>ook een interne</w:t>
      </w:r>
      <w:r w:rsidRPr="00634989">
        <w:rPr>
          <w:rFonts w:ascii="Arial" w:hAnsi="Arial" w:cs="Arial"/>
          <w:sz w:val="20"/>
          <w:szCs w:val="20"/>
        </w:rPr>
        <w:t>)</w:t>
      </w:r>
      <w:r w:rsidR="0020358C" w:rsidRPr="00634989">
        <w:rPr>
          <w:rFonts w:ascii="Arial" w:hAnsi="Arial" w:cs="Arial"/>
          <w:sz w:val="20"/>
          <w:szCs w:val="20"/>
        </w:rPr>
        <w:t xml:space="preserve"> die in het dossier gebeurt</w:t>
      </w:r>
      <w:r w:rsidRPr="00634989">
        <w:rPr>
          <w:rFonts w:ascii="Arial" w:hAnsi="Arial" w:cs="Arial"/>
          <w:sz w:val="20"/>
          <w:szCs w:val="20"/>
        </w:rPr>
        <w:t>,</w:t>
      </w:r>
      <w:r w:rsidR="0020358C" w:rsidRPr="00634989">
        <w:rPr>
          <w:rFonts w:ascii="Arial" w:hAnsi="Arial" w:cs="Arial"/>
          <w:sz w:val="20"/>
          <w:szCs w:val="20"/>
        </w:rPr>
        <w:t xml:space="preserve"> met een beschrijving van het verdere verloop van het dossier. Hiervoor zal het FMO </w:t>
      </w:r>
      <w:r w:rsidRPr="00634989">
        <w:rPr>
          <w:rFonts w:ascii="Arial" w:hAnsi="Arial" w:cs="Arial"/>
          <w:sz w:val="20"/>
          <w:szCs w:val="20"/>
        </w:rPr>
        <w:t xml:space="preserve">de nodige </w:t>
      </w:r>
      <w:r w:rsidR="0020358C" w:rsidRPr="00634989">
        <w:rPr>
          <w:rFonts w:ascii="Arial" w:hAnsi="Arial" w:cs="Arial"/>
          <w:sz w:val="20"/>
          <w:szCs w:val="20"/>
        </w:rPr>
        <w:t xml:space="preserve">specifieke </w:t>
      </w:r>
      <w:r w:rsidRPr="00634989">
        <w:rPr>
          <w:rFonts w:ascii="Arial" w:hAnsi="Arial" w:cs="Arial"/>
          <w:sz w:val="20"/>
          <w:szCs w:val="20"/>
        </w:rPr>
        <w:t>formaten van documenten</w:t>
      </w:r>
      <w:r w:rsidR="0020358C" w:rsidRPr="00634989">
        <w:rPr>
          <w:rFonts w:ascii="Arial" w:hAnsi="Arial" w:cs="Arial"/>
          <w:sz w:val="20"/>
          <w:szCs w:val="20"/>
        </w:rPr>
        <w:t xml:space="preserve"> uitwerken.</w:t>
      </w:r>
    </w:p>
    <w:p w:rsidR="000C0642" w:rsidRPr="00634989" w:rsidRDefault="000C0642" w:rsidP="004B51B4">
      <w:pPr>
        <w:pStyle w:val="ListParagraph"/>
        <w:numPr>
          <w:ilvl w:val="0"/>
          <w:numId w:val="5"/>
        </w:numPr>
        <w:spacing w:after="0" w:line="240" w:lineRule="auto"/>
        <w:rPr>
          <w:rFonts w:ascii="Arial" w:hAnsi="Arial" w:cs="Arial"/>
          <w:sz w:val="20"/>
          <w:szCs w:val="20"/>
        </w:rPr>
      </w:pPr>
      <w:r>
        <w:rPr>
          <w:rFonts w:ascii="Arial" w:hAnsi="Arial" w:cs="Arial"/>
          <w:sz w:val="20"/>
          <w:szCs w:val="20"/>
        </w:rPr>
        <w:t>Op regelmatige tijdstippen zal de aanvrager op de hoogte gebracht worden van de stand van het dossier</w:t>
      </w:r>
    </w:p>
    <w:p w:rsidR="00E11857" w:rsidRPr="00A34A91" w:rsidRDefault="00E11857" w:rsidP="004057E6">
      <w:pPr>
        <w:spacing w:after="0"/>
        <w:jc w:val="left"/>
        <w:rPr>
          <w:rFonts w:cs="Arial"/>
          <w:sz w:val="20"/>
        </w:rPr>
      </w:pPr>
    </w:p>
    <w:p w:rsidR="000B4903" w:rsidRDefault="00E11857" w:rsidP="004057E6">
      <w:pPr>
        <w:spacing w:after="0"/>
        <w:jc w:val="left"/>
        <w:rPr>
          <w:rFonts w:cs="Arial"/>
          <w:sz w:val="20"/>
        </w:rPr>
      </w:pPr>
      <w:r w:rsidRPr="00A34A91">
        <w:rPr>
          <w:rFonts w:cs="Arial"/>
          <w:sz w:val="20"/>
        </w:rPr>
        <w:t xml:space="preserve">Daarenboven </w:t>
      </w:r>
      <w:r w:rsidR="00294D31">
        <w:rPr>
          <w:rFonts w:cs="Arial"/>
          <w:sz w:val="20"/>
        </w:rPr>
        <w:t xml:space="preserve">wordt </w:t>
      </w:r>
      <w:r w:rsidRPr="00634989">
        <w:rPr>
          <w:rFonts w:cs="Arial"/>
          <w:sz w:val="20"/>
          <w:u w:val="single"/>
        </w:rPr>
        <w:t>de telefonische beschikbaarheid verhoogd door een getrapt systeem</w:t>
      </w:r>
      <w:r w:rsidR="00634989">
        <w:rPr>
          <w:rFonts w:cs="Arial"/>
          <w:sz w:val="20"/>
        </w:rPr>
        <w:t xml:space="preserve">, </w:t>
      </w:r>
      <w:r w:rsidRPr="00A34A91">
        <w:rPr>
          <w:rFonts w:cs="Arial"/>
          <w:sz w:val="20"/>
        </w:rPr>
        <w:t>waarbij administratieve medewerkers tijdens de kantooruren berei</w:t>
      </w:r>
      <w:r w:rsidR="00484A68">
        <w:rPr>
          <w:rFonts w:cs="Arial"/>
          <w:sz w:val="20"/>
        </w:rPr>
        <w:t>kbaar zijn voor algemene</w:t>
      </w:r>
      <w:r w:rsidR="000C0642">
        <w:rPr>
          <w:rFonts w:cs="Arial"/>
          <w:sz w:val="20"/>
        </w:rPr>
        <w:t xml:space="preserve"> vragen</w:t>
      </w:r>
      <w:r w:rsidR="00B3559D">
        <w:rPr>
          <w:rFonts w:cs="Arial"/>
          <w:sz w:val="20"/>
        </w:rPr>
        <w:t>, dus los van een concreet dossier</w:t>
      </w:r>
      <w:r w:rsidR="004D1488">
        <w:rPr>
          <w:rFonts w:cs="Arial"/>
          <w:sz w:val="20"/>
        </w:rPr>
        <w:t xml:space="preserve"> (b</w:t>
      </w:r>
      <w:r w:rsidR="00882EFF">
        <w:rPr>
          <w:rFonts w:cs="Arial"/>
          <w:sz w:val="20"/>
        </w:rPr>
        <w:t xml:space="preserve">ijv. </w:t>
      </w:r>
      <w:r w:rsidR="004D1488">
        <w:rPr>
          <w:rFonts w:cs="Arial"/>
          <w:sz w:val="20"/>
        </w:rPr>
        <w:t>hoe een procedure starten, verloop van een procedure)</w:t>
      </w:r>
      <w:r w:rsidRPr="00A34A91">
        <w:rPr>
          <w:rFonts w:cs="Arial"/>
          <w:sz w:val="20"/>
        </w:rPr>
        <w:t xml:space="preserve">. Wanneer zij geconfronteerd worden met specifieke </w:t>
      </w:r>
      <w:r w:rsidR="00484A68">
        <w:rPr>
          <w:rFonts w:cs="Arial"/>
          <w:sz w:val="20"/>
        </w:rPr>
        <w:t>of moeilijke</w:t>
      </w:r>
      <w:r w:rsidRPr="00A34A91">
        <w:rPr>
          <w:rFonts w:cs="Arial"/>
          <w:sz w:val="20"/>
        </w:rPr>
        <w:t xml:space="preserve"> vragen zullen zij de vraag en de coördinaten van de beller opnemen en de opdracht doorgeven aan een gespecialiseerde medewerker die deze vragen kan beantwoorden. </w:t>
      </w:r>
      <w:r w:rsidR="00634989">
        <w:rPr>
          <w:rFonts w:cs="Arial"/>
          <w:sz w:val="20"/>
        </w:rPr>
        <w:t xml:space="preserve">Enerzijds krijgt de aanvrager </w:t>
      </w:r>
      <w:r w:rsidRPr="00A34A91">
        <w:rPr>
          <w:rFonts w:cs="Arial"/>
          <w:sz w:val="20"/>
        </w:rPr>
        <w:t xml:space="preserve">waar mogelijk </w:t>
      </w:r>
      <w:r w:rsidR="0042592F">
        <w:rPr>
          <w:rFonts w:cs="Arial"/>
          <w:sz w:val="20"/>
        </w:rPr>
        <w:t xml:space="preserve">zo </w:t>
      </w:r>
      <w:r w:rsidRPr="00A34A91">
        <w:rPr>
          <w:rFonts w:cs="Arial"/>
          <w:sz w:val="20"/>
        </w:rPr>
        <w:t xml:space="preserve">een </w:t>
      </w:r>
      <w:r w:rsidRPr="00634989">
        <w:rPr>
          <w:rFonts w:cs="Arial"/>
          <w:i/>
          <w:iCs/>
          <w:sz w:val="20"/>
        </w:rPr>
        <w:t>snel antwoord</w:t>
      </w:r>
      <w:r w:rsidR="00634989">
        <w:rPr>
          <w:rFonts w:cs="Arial"/>
          <w:sz w:val="20"/>
        </w:rPr>
        <w:t xml:space="preserve">. Anderzijds </w:t>
      </w:r>
      <w:r w:rsidRPr="00A34A91">
        <w:rPr>
          <w:rFonts w:cs="Arial"/>
          <w:sz w:val="20"/>
        </w:rPr>
        <w:t xml:space="preserve">kunnen de dossierbeheerders, artsen en juristen het grootste deel van de tijd </w:t>
      </w:r>
      <w:r w:rsidRPr="00634989">
        <w:rPr>
          <w:rFonts w:cs="Arial"/>
          <w:i/>
          <w:iCs/>
          <w:sz w:val="20"/>
        </w:rPr>
        <w:t>ongestoord werken</w:t>
      </w:r>
      <w:r w:rsidRPr="00A34A91">
        <w:rPr>
          <w:rFonts w:cs="Arial"/>
          <w:sz w:val="20"/>
        </w:rPr>
        <w:t>.</w:t>
      </w:r>
      <w:r w:rsidR="00294D31">
        <w:rPr>
          <w:rFonts w:cs="Arial"/>
          <w:sz w:val="20"/>
        </w:rPr>
        <w:t xml:space="preserve"> (Op dit moment zijn de</w:t>
      </w:r>
      <w:r w:rsidR="006F7755">
        <w:rPr>
          <w:rFonts w:cs="Arial"/>
          <w:sz w:val="20"/>
        </w:rPr>
        <w:t xml:space="preserve"> medewerkers alleen beschikbaar in de voormiddag</w:t>
      </w:r>
      <w:r w:rsidR="00634989">
        <w:rPr>
          <w:rFonts w:cs="Arial"/>
          <w:sz w:val="20"/>
        </w:rPr>
        <w:t>, maar wordt door dossierbeheerders, artsen en juristen vaak geklaagd over storende telefoons</w:t>
      </w:r>
      <w:r w:rsidR="006F7755">
        <w:rPr>
          <w:rFonts w:cs="Arial"/>
          <w:sz w:val="20"/>
        </w:rPr>
        <w:t>.)</w:t>
      </w:r>
      <w:r w:rsidR="000C0642">
        <w:rPr>
          <w:rFonts w:cs="Arial"/>
          <w:sz w:val="20"/>
        </w:rPr>
        <w:t xml:space="preserve"> </w:t>
      </w:r>
      <w:r w:rsidR="004D1488">
        <w:rPr>
          <w:rFonts w:cs="Arial"/>
          <w:sz w:val="20"/>
        </w:rPr>
        <w:t xml:space="preserve">Er wordt </w:t>
      </w:r>
      <w:r w:rsidR="000A3037">
        <w:rPr>
          <w:rFonts w:cs="Arial"/>
          <w:sz w:val="20"/>
        </w:rPr>
        <w:t xml:space="preserve">in alle communicatie steeds nauwgezet </w:t>
      </w:r>
      <w:r w:rsidR="004D1488">
        <w:rPr>
          <w:rFonts w:cs="Arial"/>
          <w:sz w:val="20"/>
        </w:rPr>
        <w:t>rekening gehouden met de bescherming van de persoonsgegevens (GDPR).</w:t>
      </w:r>
    </w:p>
    <w:p w:rsidR="00882EFF" w:rsidRPr="00882EFF" w:rsidRDefault="00882EFF" w:rsidP="004057E6">
      <w:pPr>
        <w:spacing w:after="0"/>
        <w:jc w:val="left"/>
        <w:rPr>
          <w:rFonts w:cs="Arial"/>
          <w:sz w:val="20"/>
        </w:rPr>
      </w:pPr>
    </w:p>
    <w:p w:rsidR="000C0642" w:rsidRPr="00882EFF" w:rsidRDefault="00BA718D" w:rsidP="004057E6">
      <w:pPr>
        <w:spacing w:after="0"/>
        <w:jc w:val="left"/>
        <w:rPr>
          <w:rFonts w:cs="Arial"/>
          <w:sz w:val="20"/>
        </w:rPr>
      </w:pPr>
      <w:r>
        <w:rPr>
          <w:rFonts w:cs="Arial"/>
          <w:sz w:val="20"/>
        </w:rPr>
        <w:t>De basis van de communicatie met de aanvragers en andere stak</w:t>
      </w:r>
      <w:r w:rsidR="00B42FD6">
        <w:rPr>
          <w:rFonts w:cs="Arial"/>
          <w:sz w:val="20"/>
        </w:rPr>
        <w:t>eholders is de sch</w:t>
      </w:r>
      <w:r w:rsidR="00E8279A">
        <w:rPr>
          <w:rFonts w:cs="Arial"/>
          <w:sz w:val="20"/>
        </w:rPr>
        <w:t xml:space="preserve">riftelijke communicatie. </w:t>
      </w:r>
      <w:r w:rsidR="000C0642" w:rsidRPr="00882EFF">
        <w:rPr>
          <w:rFonts w:cs="Arial"/>
          <w:sz w:val="20"/>
        </w:rPr>
        <w:t xml:space="preserve">De </w:t>
      </w:r>
      <w:r w:rsidR="000C0642" w:rsidRPr="00E8279A">
        <w:rPr>
          <w:rFonts w:cs="Arial"/>
          <w:sz w:val="20"/>
          <w:u w:val="single"/>
        </w:rPr>
        <w:t xml:space="preserve">templates van de adviezen en </w:t>
      </w:r>
      <w:r w:rsidR="003C1212" w:rsidRPr="00E8279A">
        <w:rPr>
          <w:rFonts w:cs="Arial"/>
          <w:sz w:val="20"/>
          <w:u w:val="single"/>
        </w:rPr>
        <w:t>briefwisseling</w:t>
      </w:r>
      <w:r w:rsidR="003C1212" w:rsidRPr="00882EFF">
        <w:rPr>
          <w:rFonts w:cs="Arial"/>
          <w:sz w:val="20"/>
        </w:rPr>
        <w:t xml:space="preserve"> van het FMO</w:t>
      </w:r>
      <w:r w:rsidR="000C0642" w:rsidRPr="00882EFF">
        <w:rPr>
          <w:rFonts w:cs="Arial"/>
          <w:sz w:val="20"/>
        </w:rPr>
        <w:t xml:space="preserve"> worden in samenwerking met de communicatiedienst </w:t>
      </w:r>
      <w:r w:rsidR="003C1212" w:rsidRPr="00882EFF">
        <w:rPr>
          <w:rFonts w:cs="Arial"/>
          <w:sz w:val="20"/>
        </w:rPr>
        <w:t xml:space="preserve">Riziv </w:t>
      </w:r>
      <w:r w:rsidR="000C0642" w:rsidRPr="00882EFF">
        <w:rPr>
          <w:rFonts w:cs="Arial"/>
          <w:sz w:val="20"/>
        </w:rPr>
        <w:t xml:space="preserve">herzien met het oog op leesbaarheid en empathie.   </w:t>
      </w:r>
    </w:p>
    <w:p w:rsidR="00FF4697" w:rsidRPr="00882EFF" w:rsidRDefault="00FF4697">
      <w:pPr>
        <w:spacing w:after="0"/>
        <w:jc w:val="left"/>
        <w:rPr>
          <w:rFonts w:cs="Arial"/>
          <w:sz w:val="20"/>
        </w:rPr>
      </w:pPr>
      <w:r w:rsidRPr="00882EFF">
        <w:rPr>
          <w:rFonts w:cs="Arial"/>
          <w:sz w:val="20"/>
        </w:rPr>
        <w:br w:type="page"/>
      </w:r>
    </w:p>
    <w:p w:rsidR="00E11857" w:rsidRPr="00A34A91" w:rsidRDefault="00E11857" w:rsidP="004057E6">
      <w:pPr>
        <w:pStyle w:val="Heading1"/>
        <w:spacing w:line="240" w:lineRule="auto"/>
      </w:pPr>
      <w:bookmarkStart w:id="16" w:name="_Toc68955690"/>
      <w:r w:rsidRPr="00A34A91">
        <w:lastRenderedPageBreak/>
        <w:t xml:space="preserve">Inzet van een tijdelijke </w:t>
      </w:r>
      <w:proofErr w:type="spellStart"/>
      <w:r w:rsidRPr="00A34A91">
        <w:t>Task</w:t>
      </w:r>
      <w:proofErr w:type="spellEnd"/>
      <w:r w:rsidRPr="00A34A91">
        <w:t xml:space="preserve"> Force</w:t>
      </w:r>
      <w:bookmarkEnd w:id="16"/>
    </w:p>
    <w:p w:rsidR="0020358C" w:rsidRPr="00A34A91" w:rsidRDefault="0020358C" w:rsidP="004057E6">
      <w:pPr>
        <w:spacing w:after="0"/>
        <w:jc w:val="left"/>
        <w:rPr>
          <w:rFonts w:cs="Arial"/>
          <w:b/>
          <w:bCs/>
          <w:sz w:val="20"/>
        </w:rPr>
      </w:pPr>
    </w:p>
    <w:p w:rsidR="00E11857" w:rsidRPr="00A34A91" w:rsidRDefault="00CD1226" w:rsidP="004057E6">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17" w:name="_Toc68955691"/>
      <w:r>
        <w:rPr>
          <w:rFonts w:cs="Arial"/>
          <w:sz w:val="20"/>
        </w:rPr>
        <w:t>Basisprincipes</w:t>
      </w:r>
      <w:bookmarkEnd w:id="17"/>
    </w:p>
    <w:p w:rsidR="003C1212" w:rsidRDefault="003C1212" w:rsidP="004057E6">
      <w:pPr>
        <w:spacing w:after="0"/>
        <w:jc w:val="left"/>
        <w:rPr>
          <w:rFonts w:cs="Arial"/>
          <w:sz w:val="20"/>
        </w:rPr>
      </w:pPr>
    </w:p>
    <w:p w:rsidR="00382B11" w:rsidRDefault="007E13E8" w:rsidP="00880E6C">
      <w:pPr>
        <w:spacing w:after="0"/>
        <w:jc w:val="left"/>
        <w:rPr>
          <w:rFonts w:cs="Arial"/>
          <w:sz w:val="20"/>
          <w:lang w:val="nl-BE"/>
        </w:rPr>
      </w:pPr>
      <w:r w:rsidRPr="00084732">
        <w:rPr>
          <w:rFonts w:cs="Arial"/>
          <w:sz w:val="20"/>
          <w:lang w:val="nl-BE"/>
        </w:rPr>
        <w:t xml:space="preserve">De achterstand kan niet worden afgebouwd binnen een redelijke termijn zonder een </w:t>
      </w:r>
      <w:r w:rsidRPr="000A5A5B">
        <w:rPr>
          <w:rFonts w:cs="Arial"/>
          <w:sz w:val="20"/>
          <w:lang w:val="nl-BE"/>
        </w:rPr>
        <w:t>tijdelijke inzet van bijkomende resources</w:t>
      </w:r>
      <w:r w:rsidR="000A5A5B" w:rsidRPr="000A5A5B">
        <w:rPr>
          <w:rFonts w:cs="Arial"/>
          <w:sz w:val="20"/>
          <w:lang w:val="nl-BE"/>
        </w:rPr>
        <w:t>. Hiervoor</w:t>
      </w:r>
      <w:r w:rsidR="00CD5628">
        <w:rPr>
          <w:rFonts w:cs="Arial"/>
          <w:sz w:val="20"/>
          <w:lang w:val="nl-BE"/>
        </w:rPr>
        <w:t xml:space="preserve"> zetten</w:t>
      </w:r>
      <w:r w:rsidR="000A5A5B" w:rsidRPr="000A5A5B">
        <w:rPr>
          <w:rFonts w:cs="Arial"/>
          <w:sz w:val="20"/>
          <w:lang w:val="nl-BE"/>
        </w:rPr>
        <w:t xml:space="preserve"> we een </w:t>
      </w:r>
      <w:proofErr w:type="spellStart"/>
      <w:r w:rsidRPr="00084732">
        <w:rPr>
          <w:rFonts w:cs="Arial"/>
          <w:sz w:val="20"/>
          <w:u w:val="single"/>
          <w:lang w:val="nl-BE"/>
        </w:rPr>
        <w:t>Task</w:t>
      </w:r>
      <w:proofErr w:type="spellEnd"/>
      <w:r w:rsidRPr="00084732">
        <w:rPr>
          <w:rFonts w:cs="Arial"/>
          <w:sz w:val="20"/>
          <w:u w:val="single"/>
          <w:lang w:val="nl-BE"/>
        </w:rPr>
        <w:t xml:space="preserve"> Force</w:t>
      </w:r>
      <w:r w:rsidR="000A5A5B">
        <w:rPr>
          <w:rFonts w:cs="Arial"/>
          <w:sz w:val="20"/>
          <w:u w:val="single"/>
          <w:lang w:val="nl-BE"/>
        </w:rPr>
        <w:t xml:space="preserve"> (“TF”)</w:t>
      </w:r>
      <w:r w:rsidRPr="00084732">
        <w:rPr>
          <w:rFonts w:cs="Arial"/>
          <w:sz w:val="20"/>
          <w:lang w:val="nl-BE"/>
        </w:rPr>
        <w:t xml:space="preserve"> </w:t>
      </w:r>
      <w:r w:rsidR="000A5A5B">
        <w:rPr>
          <w:rFonts w:cs="Arial"/>
          <w:sz w:val="20"/>
          <w:lang w:val="nl-BE"/>
        </w:rPr>
        <w:t xml:space="preserve"> in. Dit is </w:t>
      </w:r>
      <w:r w:rsidR="00027608">
        <w:rPr>
          <w:rFonts w:cs="Arial"/>
          <w:sz w:val="20"/>
          <w:lang w:val="nl-BE"/>
        </w:rPr>
        <w:t xml:space="preserve">een </w:t>
      </w:r>
      <w:r w:rsidR="000A5A5B" w:rsidRPr="000A5A5B">
        <w:rPr>
          <w:rFonts w:cs="Arial"/>
          <w:sz w:val="20"/>
          <w:u w:val="single"/>
          <w:lang w:val="nl-BE"/>
        </w:rPr>
        <w:t xml:space="preserve">team </w:t>
      </w:r>
      <w:proofErr w:type="spellStart"/>
      <w:r w:rsidR="000A5A5B" w:rsidRPr="000A5A5B">
        <w:rPr>
          <w:rFonts w:cs="Arial"/>
          <w:sz w:val="20"/>
          <w:u w:val="single"/>
          <w:lang w:val="nl-BE"/>
        </w:rPr>
        <w:t>o</w:t>
      </w:r>
      <w:r w:rsidR="00DF34BA">
        <w:rPr>
          <w:rFonts w:cs="Arial"/>
          <w:sz w:val="20"/>
          <w:u w:val="single"/>
          <w:lang w:val="nl-BE"/>
        </w:rPr>
        <w:t>lv</w:t>
      </w:r>
      <w:proofErr w:type="spellEnd"/>
      <w:r w:rsidR="000A5A5B" w:rsidRPr="000A5A5B">
        <w:rPr>
          <w:rFonts w:cs="Arial"/>
          <w:sz w:val="20"/>
          <w:u w:val="single"/>
          <w:lang w:val="nl-BE"/>
        </w:rPr>
        <w:t xml:space="preserve"> een </w:t>
      </w:r>
      <w:proofErr w:type="spellStart"/>
      <w:r w:rsidR="000A5A5B" w:rsidRPr="000A5A5B">
        <w:rPr>
          <w:rFonts w:cs="Arial"/>
          <w:sz w:val="20"/>
          <w:u w:val="single"/>
          <w:lang w:val="nl-BE"/>
        </w:rPr>
        <w:t>Task</w:t>
      </w:r>
      <w:proofErr w:type="spellEnd"/>
      <w:r w:rsidR="000A5A5B" w:rsidRPr="000A5A5B">
        <w:rPr>
          <w:rFonts w:cs="Arial"/>
          <w:sz w:val="20"/>
          <w:u w:val="single"/>
          <w:lang w:val="nl-BE"/>
        </w:rPr>
        <w:t xml:space="preserve"> Force Manager (“TFM”) dat specifieke doelen en verantwoordelijkheden</w:t>
      </w:r>
      <w:r w:rsidR="000A5A5B">
        <w:rPr>
          <w:rFonts w:cs="Arial"/>
          <w:sz w:val="20"/>
          <w:lang w:val="nl-BE"/>
        </w:rPr>
        <w:t xml:space="preserve"> krijgt. </w:t>
      </w:r>
      <w:r w:rsidR="00382B11">
        <w:rPr>
          <w:rFonts w:cs="Arial"/>
          <w:sz w:val="20"/>
          <w:lang w:val="nl-BE"/>
        </w:rPr>
        <w:t xml:space="preserve">De TF is een welomschreven en aparte entiteit, die bepaalde activiteiten doet die ook gebeuren door </w:t>
      </w:r>
      <w:r w:rsidR="000A5A5B">
        <w:rPr>
          <w:rFonts w:cs="Arial"/>
          <w:sz w:val="20"/>
          <w:lang w:val="nl-BE"/>
        </w:rPr>
        <w:t xml:space="preserve">de </w:t>
      </w:r>
      <w:r w:rsidR="00DF34BA">
        <w:rPr>
          <w:rFonts w:cs="Arial"/>
          <w:sz w:val="20"/>
          <w:lang w:val="nl-BE"/>
        </w:rPr>
        <w:t>bestaande permanente teams van FMO-medewerkers (“</w:t>
      </w:r>
      <w:r w:rsidR="00FB2385">
        <w:rPr>
          <w:rFonts w:cs="Arial"/>
          <w:sz w:val="20"/>
          <w:lang w:val="nl-BE"/>
        </w:rPr>
        <w:t>P</w:t>
      </w:r>
      <w:r w:rsidR="00DF34BA">
        <w:rPr>
          <w:rFonts w:cs="Arial"/>
          <w:sz w:val="20"/>
          <w:lang w:val="nl-BE"/>
        </w:rPr>
        <w:t xml:space="preserve">FMO”). </w:t>
      </w:r>
      <w:r w:rsidR="00134CC1">
        <w:rPr>
          <w:rFonts w:cs="Arial"/>
          <w:sz w:val="20"/>
          <w:lang w:val="nl-BE"/>
        </w:rPr>
        <w:t>De TF is operationeel verantwoordelijk, maar aligneert zich inhoudelijk en procesmatig volledig op het FMO.</w:t>
      </w:r>
      <w:r w:rsidR="00AF7E4F">
        <w:rPr>
          <w:rFonts w:cs="Arial"/>
          <w:sz w:val="20"/>
          <w:lang w:val="nl-BE"/>
        </w:rPr>
        <w:t xml:space="preserve"> Beide équipes opereren onder dezelfde centrale verantwoordelijkheid.</w:t>
      </w:r>
    </w:p>
    <w:p w:rsidR="00BE1CD2" w:rsidRDefault="00BE1CD2" w:rsidP="00880E6C">
      <w:pPr>
        <w:spacing w:after="0"/>
        <w:jc w:val="left"/>
        <w:rPr>
          <w:rFonts w:cs="Arial"/>
          <w:sz w:val="20"/>
          <w:lang w:val="nl-BE"/>
        </w:rPr>
      </w:pPr>
    </w:p>
    <w:p w:rsidR="00BE1CD2" w:rsidRPr="00134CC1" w:rsidRDefault="00BB121F" w:rsidP="00382B11">
      <w:pPr>
        <w:spacing w:after="0"/>
        <w:jc w:val="left"/>
        <w:rPr>
          <w:rFonts w:cs="Arial"/>
          <w:sz w:val="20"/>
          <w:lang w:val="nl-BE"/>
        </w:rPr>
      </w:pPr>
      <w:r w:rsidRPr="00134CC1">
        <w:rPr>
          <w:rFonts w:cs="Arial"/>
          <w:sz w:val="20"/>
          <w:lang w:val="nl-BE"/>
        </w:rPr>
        <w:t xml:space="preserve">De </w:t>
      </w:r>
      <w:r w:rsidRPr="00134CC1">
        <w:rPr>
          <w:rFonts w:cs="Arial"/>
          <w:sz w:val="20"/>
          <w:u w:val="single"/>
          <w:lang w:val="nl-BE"/>
        </w:rPr>
        <w:t>samenwerking tussen de TF en het PFMO is vanzelfsprekend belangrijk</w:t>
      </w:r>
      <w:r w:rsidRPr="00134CC1">
        <w:rPr>
          <w:rFonts w:cs="Arial"/>
          <w:sz w:val="20"/>
          <w:lang w:val="nl-BE"/>
        </w:rPr>
        <w:t xml:space="preserve">. </w:t>
      </w:r>
      <w:r w:rsidR="00FE656E" w:rsidRPr="00134CC1">
        <w:rPr>
          <w:rFonts w:cs="Arial"/>
          <w:sz w:val="20"/>
          <w:lang w:val="nl-BE"/>
        </w:rPr>
        <w:t xml:space="preserve">De TF kan op elk ogenblik beroep doen op de hulp van PFMO. </w:t>
      </w:r>
      <w:r w:rsidR="008F1B32" w:rsidRPr="00134CC1">
        <w:rPr>
          <w:rFonts w:cs="Arial"/>
          <w:sz w:val="20"/>
          <w:lang w:val="nl-BE"/>
        </w:rPr>
        <w:t>Een evenwichtige verdeling van de w</w:t>
      </w:r>
      <w:r w:rsidR="000C3B32" w:rsidRPr="00134CC1">
        <w:rPr>
          <w:rFonts w:cs="Arial"/>
          <w:sz w:val="20"/>
          <w:lang w:val="nl-BE"/>
        </w:rPr>
        <w:t>erklast</w:t>
      </w:r>
      <w:r w:rsidR="008F1B32" w:rsidRPr="00134CC1">
        <w:rPr>
          <w:rFonts w:cs="Arial"/>
          <w:sz w:val="20"/>
          <w:lang w:val="nl-BE"/>
        </w:rPr>
        <w:t xml:space="preserve"> tussen </w:t>
      </w:r>
      <w:r w:rsidR="00644787" w:rsidRPr="00134CC1">
        <w:rPr>
          <w:rFonts w:cs="Arial"/>
          <w:sz w:val="20"/>
          <w:lang w:val="nl-BE"/>
        </w:rPr>
        <w:t xml:space="preserve">het </w:t>
      </w:r>
      <w:r w:rsidR="008F1B32" w:rsidRPr="00134CC1">
        <w:rPr>
          <w:rFonts w:cs="Arial"/>
          <w:sz w:val="20"/>
          <w:lang w:val="nl-BE"/>
        </w:rPr>
        <w:t xml:space="preserve">PFMO en de TF </w:t>
      </w:r>
      <w:r w:rsidR="00E3604A" w:rsidRPr="00134CC1">
        <w:rPr>
          <w:rFonts w:cs="Arial"/>
          <w:sz w:val="20"/>
          <w:lang w:val="nl-BE"/>
        </w:rPr>
        <w:t>wordt</w:t>
      </w:r>
      <w:r w:rsidR="008F1B32" w:rsidRPr="00134CC1">
        <w:rPr>
          <w:rFonts w:cs="Arial"/>
          <w:sz w:val="20"/>
          <w:lang w:val="nl-BE"/>
        </w:rPr>
        <w:t xml:space="preserve"> bewaakt in overleg tussen de TF</w:t>
      </w:r>
      <w:r w:rsidR="000C3B32" w:rsidRPr="00134CC1">
        <w:rPr>
          <w:rFonts w:cs="Arial"/>
          <w:sz w:val="20"/>
          <w:lang w:val="nl-BE"/>
        </w:rPr>
        <w:t>M</w:t>
      </w:r>
      <w:r w:rsidR="008F1B32" w:rsidRPr="00134CC1">
        <w:rPr>
          <w:rFonts w:cs="Arial"/>
          <w:sz w:val="20"/>
          <w:lang w:val="nl-BE"/>
        </w:rPr>
        <w:t xml:space="preserve"> en de </w:t>
      </w:r>
      <w:r w:rsidR="000C3B32" w:rsidRPr="00134CC1">
        <w:rPr>
          <w:rFonts w:cs="Arial"/>
          <w:sz w:val="20"/>
          <w:lang w:val="nl-BE"/>
        </w:rPr>
        <w:t>FMO-</w:t>
      </w:r>
      <w:r w:rsidR="008F1B32" w:rsidRPr="00134CC1">
        <w:rPr>
          <w:rFonts w:cs="Arial"/>
          <w:sz w:val="20"/>
          <w:lang w:val="nl-BE"/>
        </w:rPr>
        <w:t>directeur</w:t>
      </w:r>
      <w:r w:rsidR="000E3111" w:rsidRPr="00134CC1">
        <w:rPr>
          <w:rFonts w:cs="Arial"/>
          <w:sz w:val="20"/>
          <w:lang w:val="nl-BE"/>
        </w:rPr>
        <w:t>, zeker gegeven alle onzekere factoren.</w:t>
      </w:r>
      <w:r w:rsidR="00BE1CD2" w:rsidRPr="00134CC1">
        <w:rPr>
          <w:rFonts w:cs="Arial"/>
          <w:sz w:val="20"/>
          <w:lang w:val="nl-BE"/>
        </w:rPr>
        <w:t xml:space="preserve"> Uiteraard is de FMO-directeur mee verantwoordelijk voor de wegwerking van de achterstand. De TFM is een operationele directeur van de TF die het procesverloop opvolgt, stimuleert en intervenieert waar nodig in samenspraak met de FMO-directeur.</w:t>
      </w:r>
    </w:p>
    <w:p w:rsidR="00BB121F" w:rsidRDefault="00BB121F" w:rsidP="00BB121F">
      <w:pPr>
        <w:spacing w:after="0"/>
        <w:rPr>
          <w:rFonts w:cs="Arial"/>
          <w:sz w:val="20"/>
        </w:rPr>
      </w:pPr>
    </w:p>
    <w:p w:rsidR="00BB121F" w:rsidRPr="00635A06" w:rsidRDefault="00BB121F" w:rsidP="00635A06">
      <w:pPr>
        <w:spacing w:after="0"/>
        <w:rPr>
          <w:rFonts w:cs="Arial"/>
          <w:sz w:val="20"/>
        </w:rPr>
      </w:pPr>
      <w:r>
        <w:rPr>
          <w:rFonts w:cs="Arial"/>
          <w:sz w:val="20"/>
        </w:rPr>
        <w:t xml:space="preserve">De </w:t>
      </w:r>
      <w:r w:rsidRPr="00D32560">
        <w:rPr>
          <w:rFonts w:cs="Arial"/>
          <w:sz w:val="20"/>
          <w:u w:val="single"/>
        </w:rPr>
        <w:t>verantwoordelijkheden tussen de verschillende actoren</w:t>
      </w:r>
      <w:r>
        <w:rPr>
          <w:rFonts w:cs="Arial"/>
          <w:sz w:val="20"/>
        </w:rPr>
        <w:t xml:space="preserve"> dienen zich aan als volgt.</w:t>
      </w:r>
    </w:p>
    <w:p w:rsidR="00CD1226" w:rsidRPr="007A4A14" w:rsidRDefault="00CD1226" w:rsidP="00CD1226">
      <w:pPr>
        <w:spacing w:after="0"/>
        <w:jc w:val="left"/>
        <w:rPr>
          <w:rFonts w:cs="Arial"/>
          <w:sz w:val="20"/>
          <w:lang w:val="nl-BE"/>
        </w:rPr>
      </w:pPr>
    </w:p>
    <w:tbl>
      <w:tblPr>
        <w:tblStyle w:val="TableGrid"/>
        <w:tblW w:w="0" w:type="auto"/>
        <w:tblLook w:val="04A0" w:firstRow="1" w:lastRow="0" w:firstColumn="1" w:lastColumn="0" w:noHBand="0" w:noVBand="1"/>
      </w:tblPr>
      <w:tblGrid>
        <w:gridCol w:w="7206"/>
        <w:gridCol w:w="7206"/>
      </w:tblGrid>
      <w:tr w:rsidR="00CD1226" w:rsidRPr="005C6936" w:rsidTr="005935BC">
        <w:tc>
          <w:tcPr>
            <w:tcW w:w="7206" w:type="dxa"/>
          </w:tcPr>
          <w:p w:rsidR="00CD1226" w:rsidRPr="005C6936" w:rsidRDefault="00CD1226" w:rsidP="005935BC">
            <w:pPr>
              <w:spacing w:after="0"/>
              <w:jc w:val="center"/>
              <w:rPr>
                <w:rFonts w:cs="Arial"/>
                <w:b/>
                <w:bCs/>
                <w:szCs w:val="18"/>
                <w:lang w:val="nl-BE"/>
              </w:rPr>
            </w:pPr>
            <w:r w:rsidRPr="005C6936">
              <w:rPr>
                <w:rFonts w:cs="Arial"/>
                <w:b/>
                <w:bCs/>
                <w:szCs w:val="18"/>
                <w:lang w:val="nl-BE"/>
              </w:rPr>
              <w:t>TASK FORCE</w:t>
            </w:r>
          </w:p>
        </w:tc>
        <w:tc>
          <w:tcPr>
            <w:tcW w:w="7206" w:type="dxa"/>
          </w:tcPr>
          <w:p w:rsidR="00CD1226" w:rsidRPr="005C6936" w:rsidRDefault="00CD1226" w:rsidP="005935BC">
            <w:pPr>
              <w:spacing w:after="0"/>
              <w:jc w:val="center"/>
              <w:rPr>
                <w:rFonts w:cs="Arial"/>
                <w:b/>
                <w:bCs/>
                <w:szCs w:val="18"/>
                <w:lang w:val="nl-BE"/>
              </w:rPr>
            </w:pPr>
            <w:r w:rsidRPr="005C6936">
              <w:rPr>
                <w:rFonts w:cs="Arial"/>
                <w:b/>
                <w:bCs/>
                <w:szCs w:val="18"/>
                <w:lang w:val="nl-BE"/>
              </w:rPr>
              <w:t>Permanent FMO</w:t>
            </w:r>
          </w:p>
        </w:tc>
      </w:tr>
      <w:tr w:rsidR="00CD1226" w:rsidRPr="005C6936" w:rsidTr="005935BC">
        <w:tc>
          <w:tcPr>
            <w:tcW w:w="7206" w:type="dxa"/>
            <w:shd w:val="clear" w:color="auto" w:fill="F2F2F2" w:themeFill="background1" w:themeFillShade="F2"/>
          </w:tcPr>
          <w:p w:rsidR="00CD1226" w:rsidRPr="005C6936" w:rsidRDefault="00CD1226" w:rsidP="005935BC">
            <w:pPr>
              <w:spacing w:after="0"/>
              <w:jc w:val="center"/>
              <w:rPr>
                <w:rFonts w:cs="Arial"/>
                <w:b/>
                <w:bCs/>
                <w:i/>
                <w:iCs/>
                <w:szCs w:val="18"/>
                <w:lang w:val="nl-BE"/>
              </w:rPr>
            </w:pPr>
            <w:proofErr w:type="spellStart"/>
            <w:r w:rsidRPr="005C6936">
              <w:rPr>
                <w:rFonts w:cs="Arial"/>
                <w:b/>
                <w:bCs/>
                <w:i/>
                <w:iCs/>
                <w:szCs w:val="18"/>
                <w:lang w:val="nl-BE"/>
              </w:rPr>
              <w:t>Task</w:t>
            </w:r>
            <w:proofErr w:type="spellEnd"/>
            <w:r w:rsidRPr="005C6936">
              <w:rPr>
                <w:rFonts w:cs="Arial"/>
                <w:b/>
                <w:bCs/>
                <w:i/>
                <w:iCs/>
                <w:szCs w:val="18"/>
                <w:lang w:val="nl-BE"/>
              </w:rPr>
              <w:t xml:space="preserve"> Force Manager</w:t>
            </w:r>
          </w:p>
        </w:tc>
        <w:tc>
          <w:tcPr>
            <w:tcW w:w="7206" w:type="dxa"/>
            <w:shd w:val="clear" w:color="auto" w:fill="F2F2F2" w:themeFill="background1" w:themeFillShade="F2"/>
          </w:tcPr>
          <w:p w:rsidR="00CD1226" w:rsidRPr="005C6936" w:rsidRDefault="00CD1226" w:rsidP="005935BC">
            <w:pPr>
              <w:spacing w:after="0"/>
              <w:jc w:val="center"/>
              <w:rPr>
                <w:rFonts w:cs="Arial"/>
                <w:b/>
                <w:bCs/>
                <w:i/>
                <w:iCs/>
                <w:szCs w:val="18"/>
                <w:lang w:val="nl-BE"/>
              </w:rPr>
            </w:pPr>
            <w:r w:rsidRPr="005C6936">
              <w:rPr>
                <w:rFonts w:cs="Arial"/>
                <w:b/>
                <w:bCs/>
                <w:i/>
                <w:iCs/>
                <w:szCs w:val="18"/>
                <w:lang w:val="nl-BE"/>
              </w:rPr>
              <w:t>FMO-directeur</w:t>
            </w:r>
          </w:p>
        </w:tc>
      </w:tr>
      <w:tr w:rsidR="00CD1226" w:rsidRPr="005C6936" w:rsidTr="005935BC">
        <w:tc>
          <w:tcPr>
            <w:tcW w:w="7206" w:type="dxa"/>
            <w:vMerge w:val="restart"/>
          </w:tcPr>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Het is zijn</w:t>
            </w:r>
            <w:r>
              <w:rPr>
                <w:rFonts w:ascii="Arial" w:hAnsi="Arial" w:cs="Arial"/>
                <w:sz w:val="18"/>
                <w:szCs w:val="18"/>
              </w:rPr>
              <w:t xml:space="preserve"> (m/v) </w:t>
            </w:r>
            <w:r w:rsidRPr="005C6936">
              <w:rPr>
                <w:rFonts w:ascii="Arial" w:hAnsi="Arial" w:cs="Arial"/>
                <w:sz w:val="18"/>
                <w:szCs w:val="18"/>
              </w:rPr>
              <w:t>globale verantwoordelijkheid dat alle dossiers met een TF-label binnen twee jaar na de opstart van de TF zijn afgehandeld tot en met het advies (of de afsluiting). Dit is dus een cruciale figuur. Het eerste jaar is dit een voltijdse functie, het tweede jaar is dit te evalueren.</w:t>
            </w:r>
          </w:p>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 xml:space="preserve">Hij ressorteert rechtstreeks </w:t>
            </w:r>
            <w:r>
              <w:rPr>
                <w:rFonts w:ascii="Arial" w:hAnsi="Arial" w:cs="Arial"/>
                <w:sz w:val="18"/>
                <w:szCs w:val="18"/>
              </w:rPr>
              <w:t xml:space="preserve">onder </w:t>
            </w:r>
            <w:r w:rsidRPr="005C6936">
              <w:rPr>
                <w:rFonts w:ascii="Arial" w:hAnsi="Arial" w:cs="Arial"/>
                <w:sz w:val="18"/>
                <w:szCs w:val="18"/>
              </w:rPr>
              <w:t>de administrateur-generaal van het RIZIV. Hiervoor maakt hij een wekelijkse statusrapportering. Die wordt gedeeld met het kabinet van de minister en met de FMO-directeur. Hij zorgt dat er een heldere cijfermatige opvolging is van de TF-activiteiten.</w:t>
            </w:r>
          </w:p>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 xml:space="preserve">Hij heeft een optimale werkrelatie met de FMO-directeur en zorgt dat zijn hele team in een optimale relatie en interactie werkt met het hele PFMO. Hij neemt in principe deel aan de wekelijkse FMO-stafvergadering. </w:t>
            </w:r>
          </w:p>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 xml:space="preserve">Hij garandeert op inhoudelijk en procesmatig vlak de </w:t>
            </w:r>
            <w:proofErr w:type="spellStart"/>
            <w:r w:rsidRPr="005C6936">
              <w:rPr>
                <w:rFonts w:ascii="Arial" w:hAnsi="Arial" w:cs="Arial"/>
                <w:sz w:val="18"/>
                <w:szCs w:val="18"/>
              </w:rPr>
              <w:t>alignering</w:t>
            </w:r>
            <w:proofErr w:type="spellEnd"/>
            <w:r w:rsidRPr="005C6936">
              <w:rPr>
                <w:rFonts w:ascii="Arial" w:hAnsi="Arial" w:cs="Arial"/>
                <w:sz w:val="18"/>
                <w:szCs w:val="18"/>
              </w:rPr>
              <w:t xml:space="preserve"> van de TF-activiteiten met de FMO-werking.</w:t>
            </w:r>
          </w:p>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Hij fungeert (op zijn minst functioneel) als direct leidinggevende voor alle medewerkers die zijn toegewezen aan de TF (dossierbeheerders en juristen). Hij is in staat deze ploeg te motiveren en te sturen. Indien hij door zijn statuut niet formeel-</w:t>
            </w:r>
            <w:proofErr w:type="spellStart"/>
            <w:r w:rsidRPr="005C6936">
              <w:rPr>
                <w:rFonts w:ascii="Arial" w:hAnsi="Arial" w:cs="Arial"/>
                <w:sz w:val="18"/>
                <w:szCs w:val="18"/>
              </w:rPr>
              <w:t>hiërachisch</w:t>
            </w:r>
            <w:proofErr w:type="spellEnd"/>
            <w:r w:rsidRPr="005C6936">
              <w:rPr>
                <w:rFonts w:ascii="Arial" w:hAnsi="Arial" w:cs="Arial"/>
                <w:sz w:val="18"/>
                <w:szCs w:val="18"/>
              </w:rPr>
              <w:t xml:space="preserve"> leidinggevende kan zijn, staan de TF-medewerkers </w:t>
            </w:r>
            <w:proofErr w:type="spellStart"/>
            <w:r w:rsidRPr="005C6936">
              <w:rPr>
                <w:rFonts w:ascii="Arial" w:hAnsi="Arial" w:cs="Arial"/>
                <w:sz w:val="18"/>
                <w:szCs w:val="18"/>
              </w:rPr>
              <w:t>rechstreeks</w:t>
            </w:r>
            <w:proofErr w:type="spellEnd"/>
            <w:r w:rsidRPr="005C6936">
              <w:rPr>
                <w:rFonts w:ascii="Arial" w:hAnsi="Arial" w:cs="Arial"/>
                <w:sz w:val="18"/>
                <w:szCs w:val="18"/>
              </w:rPr>
              <w:t xml:space="preserve"> onder de hiërarchische leiding van de FMO-directeur die ervoor verantwoordelijk is dat de TFM maximale impact heeft op die medewerkers.</w:t>
            </w:r>
          </w:p>
          <w:p w:rsidR="00CD1226" w:rsidRPr="005D6772" w:rsidRDefault="00CD1226" w:rsidP="005935BC">
            <w:pPr>
              <w:pStyle w:val="ListParagraph"/>
              <w:numPr>
                <w:ilvl w:val="0"/>
                <w:numId w:val="33"/>
              </w:numPr>
              <w:spacing w:after="0" w:line="240" w:lineRule="auto"/>
              <w:rPr>
                <w:rFonts w:cs="Arial"/>
                <w:sz w:val="18"/>
                <w:szCs w:val="18"/>
              </w:rPr>
            </w:pPr>
            <w:r w:rsidRPr="005C6936">
              <w:rPr>
                <w:rFonts w:ascii="Arial" w:hAnsi="Arial" w:cs="Arial"/>
                <w:sz w:val="18"/>
                <w:szCs w:val="18"/>
              </w:rPr>
              <w:lastRenderedPageBreak/>
              <w:t>In de omgang met de externe artsen zoekt hij in overleg met de PFMO-mensen naar de optimale interactie.</w:t>
            </w:r>
          </w:p>
          <w:p w:rsidR="00CD1226" w:rsidRPr="005C6936" w:rsidRDefault="00CD1226" w:rsidP="005935BC">
            <w:pPr>
              <w:pStyle w:val="ListParagraph"/>
              <w:spacing w:after="0" w:line="240" w:lineRule="auto"/>
              <w:ind w:left="360"/>
              <w:rPr>
                <w:rFonts w:cs="Arial"/>
                <w:sz w:val="18"/>
                <w:szCs w:val="18"/>
              </w:rPr>
            </w:pPr>
          </w:p>
        </w:tc>
        <w:tc>
          <w:tcPr>
            <w:tcW w:w="7206" w:type="dxa"/>
          </w:tcPr>
          <w:p w:rsidR="00CD122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lastRenderedPageBreak/>
              <w:t>Stelt alles in het werk om de TFM en de TF te laten slagen. Heeft een optimale werkrelatie met de TFM. Zoekt bij knelpunten rond de TF een oplossing in overleg met de TFM.</w:t>
            </w:r>
          </w:p>
          <w:p w:rsidR="00CD1226" w:rsidRPr="005C6936" w:rsidRDefault="00CD1226" w:rsidP="005935BC">
            <w:pPr>
              <w:pStyle w:val="ListParagraph"/>
              <w:numPr>
                <w:ilvl w:val="0"/>
                <w:numId w:val="33"/>
              </w:numPr>
              <w:spacing w:after="0" w:line="240" w:lineRule="auto"/>
              <w:rPr>
                <w:rFonts w:ascii="Arial" w:hAnsi="Arial" w:cs="Arial"/>
                <w:sz w:val="18"/>
                <w:szCs w:val="18"/>
              </w:rPr>
            </w:pPr>
            <w:r>
              <w:rPr>
                <w:rFonts w:ascii="Arial" w:hAnsi="Arial" w:cs="Arial"/>
                <w:sz w:val="18"/>
                <w:szCs w:val="18"/>
              </w:rPr>
              <w:t>Overlegt continu met de TFM om het PFMO maximaal te laten bijdragen aan het welslagen van de opdracht van de TF.</w:t>
            </w:r>
          </w:p>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 xml:space="preserve">Motiveert de PFMO-medewerkers om maximaal ondersteuning te bieden aan de TF. Zorgt dat de validering van de TF-activiteiten binnen een redelijke termijn gebeurt. </w:t>
            </w:r>
          </w:p>
          <w:p w:rsidR="00CD122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Blijft volledig verantwoordelijk voor de werking van het FMO, in het bijzonder voor de implementatie van de niet-TF gebonden aanpassingen die onderdeel zijn van deze nota.</w:t>
            </w:r>
          </w:p>
          <w:p w:rsidR="00CD1226" w:rsidRDefault="00CD1226" w:rsidP="005935BC">
            <w:pPr>
              <w:pStyle w:val="ListParagraph"/>
              <w:numPr>
                <w:ilvl w:val="0"/>
                <w:numId w:val="33"/>
              </w:numPr>
              <w:spacing w:after="0" w:line="240" w:lineRule="auto"/>
              <w:rPr>
                <w:rFonts w:ascii="Arial" w:hAnsi="Arial" w:cs="Arial"/>
                <w:sz w:val="18"/>
                <w:szCs w:val="18"/>
              </w:rPr>
            </w:pPr>
            <w:r>
              <w:rPr>
                <w:rFonts w:ascii="Arial" w:hAnsi="Arial" w:cs="Arial"/>
                <w:sz w:val="18"/>
                <w:szCs w:val="18"/>
              </w:rPr>
              <w:t xml:space="preserve">Waakt over een verhoging van de efficiëntie van het FMO </w:t>
            </w:r>
          </w:p>
          <w:p w:rsidR="00CD1226" w:rsidRPr="005C6936" w:rsidRDefault="00CD1226" w:rsidP="005935BC">
            <w:pPr>
              <w:pStyle w:val="ListParagraph"/>
              <w:spacing w:after="0" w:line="240" w:lineRule="auto"/>
              <w:ind w:left="360"/>
              <w:rPr>
                <w:rFonts w:cs="Arial"/>
                <w:szCs w:val="18"/>
              </w:rPr>
            </w:pPr>
          </w:p>
        </w:tc>
      </w:tr>
      <w:tr w:rsidR="00CD1226" w:rsidRPr="005C6936" w:rsidTr="005935BC">
        <w:tc>
          <w:tcPr>
            <w:tcW w:w="7206" w:type="dxa"/>
            <w:vMerge/>
          </w:tcPr>
          <w:p w:rsidR="00CD1226" w:rsidRPr="005C6936" w:rsidRDefault="00CD1226" w:rsidP="005935BC">
            <w:pPr>
              <w:spacing w:after="0"/>
              <w:jc w:val="left"/>
              <w:rPr>
                <w:rFonts w:cs="Arial"/>
                <w:szCs w:val="18"/>
                <w:lang w:val="nl-BE"/>
              </w:rPr>
            </w:pPr>
          </w:p>
        </w:tc>
        <w:tc>
          <w:tcPr>
            <w:tcW w:w="7206" w:type="dxa"/>
            <w:shd w:val="clear" w:color="auto" w:fill="F2F2F2" w:themeFill="background1" w:themeFillShade="F2"/>
          </w:tcPr>
          <w:p w:rsidR="00CD1226" w:rsidRPr="005C6936" w:rsidRDefault="00CD1226" w:rsidP="005935BC">
            <w:pPr>
              <w:spacing w:after="0"/>
              <w:jc w:val="center"/>
              <w:rPr>
                <w:rFonts w:cs="Arial"/>
                <w:b/>
                <w:bCs/>
                <w:i/>
                <w:iCs/>
                <w:szCs w:val="18"/>
                <w:lang w:val="nl-BE"/>
              </w:rPr>
            </w:pPr>
            <w:r w:rsidRPr="005C6936">
              <w:rPr>
                <w:rFonts w:cs="Arial"/>
                <w:b/>
                <w:bCs/>
                <w:i/>
                <w:iCs/>
                <w:szCs w:val="18"/>
                <w:lang w:val="nl-BE"/>
              </w:rPr>
              <w:t>FMO-coördinatoren</w:t>
            </w:r>
          </w:p>
        </w:tc>
      </w:tr>
      <w:tr w:rsidR="00CD1226" w:rsidRPr="005C6936" w:rsidTr="005935BC">
        <w:tc>
          <w:tcPr>
            <w:tcW w:w="7206" w:type="dxa"/>
            <w:vMerge/>
          </w:tcPr>
          <w:p w:rsidR="00CD1226" w:rsidRPr="005C6936" w:rsidRDefault="00CD1226" w:rsidP="005935BC">
            <w:pPr>
              <w:spacing w:after="0"/>
              <w:jc w:val="left"/>
              <w:rPr>
                <w:rFonts w:cs="Arial"/>
                <w:szCs w:val="18"/>
                <w:lang w:val="nl-BE"/>
              </w:rPr>
            </w:pPr>
          </w:p>
        </w:tc>
        <w:tc>
          <w:tcPr>
            <w:tcW w:w="7206" w:type="dxa"/>
          </w:tcPr>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Stelt alles in het werk om de TFM en de TF te laten slagen, in het bijzonder door de TFM voor hun domein te ondersteunen.</w:t>
            </w:r>
          </w:p>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Valideren de opleveringen van de TF binnen een redelijke termijn. (Ze kunnen deze valideringen binnen hun teams delegeren.)</w:t>
            </w:r>
          </w:p>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 xml:space="preserve">Motiveren hun medewerkers om maximaal ondersteuning te bieden aan de TF. </w:t>
            </w:r>
          </w:p>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lastRenderedPageBreak/>
              <w:t>Blij</w:t>
            </w:r>
            <w:r>
              <w:rPr>
                <w:rFonts w:ascii="Arial" w:hAnsi="Arial" w:cs="Arial"/>
                <w:sz w:val="18"/>
                <w:szCs w:val="18"/>
              </w:rPr>
              <w:t>ven</w:t>
            </w:r>
            <w:r w:rsidRPr="005C6936">
              <w:rPr>
                <w:rFonts w:ascii="Arial" w:hAnsi="Arial" w:cs="Arial"/>
                <w:sz w:val="18"/>
                <w:szCs w:val="18"/>
              </w:rPr>
              <w:t xml:space="preserve"> volledig verantwoordelijk voor de werking van hun domein, in het bijzonder voor de implementatie van de niet-TF gebonden aanpassingen die onderdeel zijn van deze nota.</w:t>
            </w:r>
          </w:p>
          <w:p w:rsidR="00CD1226" w:rsidRPr="005C6936" w:rsidRDefault="00CD1226" w:rsidP="005935BC">
            <w:pPr>
              <w:spacing w:after="0"/>
              <w:jc w:val="left"/>
              <w:rPr>
                <w:rFonts w:cs="Arial"/>
                <w:szCs w:val="18"/>
                <w:lang w:val="nl-BE"/>
              </w:rPr>
            </w:pPr>
          </w:p>
        </w:tc>
      </w:tr>
      <w:tr w:rsidR="00CD1226" w:rsidRPr="005C6936" w:rsidTr="005935BC">
        <w:tc>
          <w:tcPr>
            <w:tcW w:w="7206" w:type="dxa"/>
            <w:shd w:val="clear" w:color="auto" w:fill="F2F2F2" w:themeFill="background1" w:themeFillShade="F2"/>
          </w:tcPr>
          <w:p w:rsidR="00CD1226" w:rsidRPr="005C6936" w:rsidRDefault="00CD1226" w:rsidP="005935BC">
            <w:pPr>
              <w:spacing w:after="0"/>
              <w:jc w:val="center"/>
              <w:rPr>
                <w:rFonts w:cs="Arial"/>
                <w:b/>
                <w:bCs/>
                <w:i/>
                <w:iCs/>
                <w:szCs w:val="18"/>
                <w:lang w:val="nl-BE"/>
              </w:rPr>
            </w:pPr>
            <w:proofErr w:type="spellStart"/>
            <w:r w:rsidRPr="005C6936">
              <w:rPr>
                <w:rFonts w:cs="Arial"/>
                <w:b/>
                <w:bCs/>
                <w:i/>
                <w:iCs/>
                <w:szCs w:val="18"/>
                <w:lang w:val="nl-BE"/>
              </w:rPr>
              <w:lastRenderedPageBreak/>
              <w:t>Task</w:t>
            </w:r>
            <w:proofErr w:type="spellEnd"/>
            <w:r w:rsidRPr="005C6936">
              <w:rPr>
                <w:rFonts w:cs="Arial"/>
                <w:b/>
                <w:bCs/>
                <w:i/>
                <w:iCs/>
                <w:szCs w:val="18"/>
                <w:lang w:val="nl-BE"/>
              </w:rPr>
              <w:t xml:space="preserve"> Force-medewerkers</w:t>
            </w:r>
          </w:p>
        </w:tc>
        <w:tc>
          <w:tcPr>
            <w:tcW w:w="7206" w:type="dxa"/>
            <w:shd w:val="clear" w:color="auto" w:fill="F2F2F2" w:themeFill="background1" w:themeFillShade="F2"/>
          </w:tcPr>
          <w:p w:rsidR="00CD1226" w:rsidRPr="005C6936" w:rsidRDefault="00CD1226" w:rsidP="005935BC">
            <w:pPr>
              <w:spacing w:after="0"/>
              <w:jc w:val="center"/>
              <w:rPr>
                <w:rFonts w:cs="Arial"/>
                <w:b/>
                <w:bCs/>
                <w:i/>
                <w:iCs/>
                <w:szCs w:val="18"/>
                <w:lang w:val="nl-BE"/>
              </w:rPr>
            </w:pPr>
            <w:r w:rsidRPr="005C6936">
              <w:rPr>
                <w:rFonts w:cs="Arial"/>
                <w:b/>
                <w:bCs/>
                <w:i/>
                <w:iCs/>
                <w:szCs w:val="18"/>
                <w:lang w:val="nl-BE"/>
              </w:rPr>
              <w:t>PFMO-medewerkers</w:t>
            </w:r>
          </w:p>
        </w:tc>
      </w:tr>
      <w:tr w:rsidR="00CD1226" w:rsidRPr="005C6936" w:rsidTr="005935BC">
        <w:tc>
          <w:tcPr>
            <w:tcW w:w="7206" w:type="dxa"/>
          </w:tcPr>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 xml:space="preserve">De dossierbeheerders en juristen werken onder de functionele leiding van de TFM. Voor de externe artsen </w:t>
            </w:r>
            <w:proofErr w:type="spellStart"/>
            <w:r w:rsidRPr="005C6936">
              <w:rPr>
                <w:rFonts w:ascii="Arial" w:hAnsi="Arial" w:cs="Arial"/>
                <w:sz w:val="18"/>
                <w:szCs w:val="18"/>
              </w:rPr>
              <w:t>cfr</w:t>
            </w:r>
            <w:proofErr w:type="spellEnd"/>
            <w:r w:rsidRPr="005C6936">
              <w:rPr>
                <w:rFonts w:ascii="Arial" w:hAnsi="Arial" w:cs="Arial"/>
                <w:sz w:val="18"/>
                <w:szCs w:val="18"/>
              </w:rPr>
              <w:t xml:space="preserve"> hier</w:t>
            </w:r>
            <w:r w:rsidR="00134CC1">
              <w:rPr>
                <w:rFonts w:ascii="Arial" w:hAnsi="Arial" w:cs="Arial"/>
                <w:sz w:val="18"/>
                <w:szCs w:val="18"/>
              </w:rPr>
              <w:t>onder</w:t>
            </w:r>
            <w:r w:rsidRPr="005C6936">
              <w:rPr>
                <w:rFonts w:ascii="Arial" w:hAnsi="Arial" w:cs="Arial"/>
                <w:sz w:val="18"/>
                <w:szCs w:val="18"/>
              </w:rPr>
              <w:t xml:space="preserve"> punt 3.</w:t>
            </w:r>
            <w:r w:rsidR="00134CC1">
              <w:rPr>
                <w:rFonts w:ascii="Arial" w:hAnsi="Arial" w:cs="Arial"/>
                <w:sz w:val="18"/>
                <w:szCs w:val="18"/>
              </w:rPr>
              <w:t>5</w:t>
            </w:r>
            <w:r w:rsidRPr="005C6936">
              <w:rPr>
                <w:rFonts w:ascii="Arial" w:hAnsi="Arial" w:cs="Arial"/>
                <w:sz w:val="18"/>
                <w:szCs w:val="18"/>
              </w:rPr>
              <w:t>.b.</w:t>
            </w:r>
          </w:p>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Alle TF-medewerkers aligneren zich inhoudelijk en procesmatig op de werking van het PFMO. Ze kunnen daarvoor steeds beroep doen op de PFMO-medewerkers.</w:t>
            </w:r>
          </w:p>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Alle TF-medewerkers zijn gehouden om hun finale stappen of opleveringen te laten valideren door de PFMO-coördinatoren.</w:t>
            </w:r>
          </w:p>
          <w:p w:rsidR="00CD1226" w:rsidRPr="005C6936" w:rsidRDefault="00CD1226" w:rsidP="005935BC">
            <w:pPr>
              <w:spacing w:after="0"/>
              <w:jc w:val="left"/>
              <w:rPr>
                <w:rFonts w:cs="Arial"/>
                <w:szCs w:val="18"/>
                <w:lang w:val="nl-BE"/>
              </w:rPr>
            </w:pPr>
          </w:p>
          <w:p w:rsidR="00CD1226" w:rsidRPr="005C6936" w:rsidRDefault="00CD1226" w:rsidP="005935BC">
            <w:pPr>
              <w:spacing w:after="0"/>
              <w:jc w:val="left"/>
              <w:rPr>
                <w:rFonts w:cs="Arial"/>
                <w:szCs w:val="18"/>
                <w:lang w:val="nl-BE"/>
              </w:rPr>
            </w:pPr>
          </w:p>
        </w:tc>
        <w:tc>
          <w:tcPr>
            <w:tcW w:w="7206" w:type="dxa"/>
          </w:tcPr>
          <w:p w:rsidR="00CD122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 xml:space="preserve">Stellen alles in het werk om de TF te laten slagen. Hebben een optimale werkrelatie met de TF-medewerkers en zijn steeds bereid hen te ondersteunen waar nodig. </w:t>
            </w:r>
          </w:p>
          <w:p w:rsidR="00CD1226" w:rsidRPr="005C6936" w:rsidRDefault="00CD1226" w:rsidP="005935BC">
            <w:pPr>
              <w:pStyle w:val="ListParagraph"/>
              <w:numPr>
                <w:ilvl w:val="0"/>
                <w:numId w:val="33"/>
              </w:numPr>
              <w:spacing w:after="0" w:line="240" w:lineRule="auto"/>
              <w:rPr>
                <w:rFonts w:ascii="Arial" w:hAnsi="Arial" w:cs="Arial"/>
                <w:sz w:val="18"/>
                <w:szCs w:val="18"/>
              </w:rPr>
            </w:pPr>
            <w:r>
              <w:rPr>
                <w:rFonts w:ascii="Arial" w:hAnsi="Arial" w:cs="Arial"/>
                <w:sz w:val="18"/>
                <w:szCs w:val="18"/>
              </w:rPr>
              <w:t>Zorgen voor de opleiding van de TF-medewerkers.</w:t>
            </w:r>
          </w:p>
          <w:p w:rsidR="00CD1226" w:rsidRPr="005C6936" w:rsidRDefault="00CD1226" w:rsidP="005935BC">
            <w:pPr>
              <w:pStyle w:val="ListParagraph"/>
              <w:numPr>
                <w:ilvl w:val="0"/>
                <w:numId w:val="33"/>
              </w:numPr>
              <w:spacing w:after="0" w:line="240" w:lineRule="auto"/>
              <w:rPr>
                <w:rFonts w:ascii="Arial" w:hAnsi="Arial" w:cs="Arial"/>
                <w:sz w:val="18"/>
                <w:szCs w:val="18"/>
              </w:rPr>
            </w:pPr>
            <w:r w:rsidRPr="005C6936">
              <w:rPr>
                <w:rFonts w:ascii="Arial" w:hAnsi="Arial" w:cs="Arial"/>
                <w:sz w:val="18"/>
                <w:szCs w:val="18"/>
              </w:rPr>
              <w:t>Blijven volledig verantwoordelijk voor hun normale werk in het FMO, met bijzondere aandacht voor de implementatie van de niet-TF gebonden aanpassingen die onderdeel zijn van deze nota.</w:t>
            </w:r>
          </w:p>
          <w:p w:rsidR="00CD1226" w:rsidRPr="005C6936" w:rsidRDefault="00CD1226" w:rsidP="005935BC">
            <w:pPr>
              <w:spacing w:after="0"/>
              <w:jc w:val="left"/>
              <w:rPr>
                <w:rFonts w:cs="Arial"/>
                <w:szCs w:val="18"/>
                <w:lang w:val="nl-BE"/>
              </w:rPr>
            </w:pPr>
          </w:p>
        </w:tc>
      </w:tr>
    </w:tbl>
    <w:p w:rsidR="00CD1226" w:rsidRDefault="00CD1226" w:rsidP="00CD1226">
      <w:pPr>
        <w:spacing w:after="0"/>
        <w:jc w:val="left"/>
        <w:rPr>
          <w:rFonts w:cs="Arial"/>
          <w:sz w:val="20"/>
        </w:rPr>
      </w:pPr>
    </w:p>
    <w:p w:rsidR="00CD1226" w:rsidRDefault="00CD1226" w:rsidP="00CD1226">
      <w:pPr>
        <w:spacing w:after="0"/>
        <w:jc w:val="left"/>
        <w:rPr>
          <w:rFonts w:cs="Arial"/>
          <w:sz w:val="20"/>
          <w:lang w:val="nl-BE"/>
        </w:rPr>
      </w:pPr>
      <w:r>
        <w:rPr>
          <w:rFonts w:cs="Arial"/>
          <w:sz w:val="20"/>
          <w:lang w:val="nl-BE"/>
        </w:rPr>
        <w:t>We hanteren als doelstelling dat deze TF</w:t>
      </w:r>
      <w:r w:rsidR="006A636A">
        <w:rPr>
          <w:rFonts w:cs="Arial"/>
          <w:sz w:val="20"/>
          <w:lang w:val="nl-BE"/>
        </w:rPr>
        <w:t xml:space="preserve"> </w:t>
      </w:r>
      <w:r w:rsidR="004E1BDF">
        <w:rPr>
          <w:rFonts w:cs="Arial"/>
          <w:sz w:val="20"/>
          <w:lang w:val="nl-BE"/>
        </w:rPr>
        <w:t xml:space="preserve">– </w:t>
      </w:r>
      <w:r w:rsidR="006A636A">
        <w:rPr>
          <w:rFonts w:cs="Arial"/>
          <w:sz w:val="20"/>
          <w:lang w:val="nl-BE"/>
        </w:rPr>
        <w:t>in samenwe</w:t>
      </w:r>
      <w:r w:rsidR="004E1BDF">
        <w:rPr>
          <w:rFonts w:cs="Arial"/>
          <w:sz w:val="20"/>
          <w:lang w:val="nl-BE"/>
        </w:rPr>
        <w:t>r</w:t>
      </w:r>
      <w:r w:rsidR="006A636A">
        <w:rPr>
          <w:rFonts w:cs="Arial"/>
          <w:sz w:val="20"/>
          <w:lang w:val="nl-BE"/>
        </w:rPr>
        <w:t xml:space="preserve">king met </w:t>
      </w:r>
      <w:r w:rsidR="004E1BDF">
        <w:rPr>
          <w:rFonts w:cs="Arial"/>
          <w:sz w:val="20"/>
          <w:lang w:val="nl-BE"/>
        </w:rPr>
        <w:t xml:space="preserve">de </w:t>
      </w:r>
      <w:r w:rsidR="006A636A">
        <w:rPr>
          <w:rFonts w:cs="Arial"/>
          <w:sz w:val="20"/>
          <w:lang w:val="nl-BE"/>
        </w:rPr>
        <w:t>PFMO</w:t>
      </w:r>
      <w:r>
        <w:rPr>
          <w:rFonts w:cs="Arial"/>
          <w:sz w:val="20"/>
          <w:lang w:val="nl-BE"/>
        </w:rPr>
        <w:t xml:space="preserve"> </w:t>
      </w:r>
      <w:r w:rsidR="004E1BDF">
        <w:rPr>
          <w:rFonts w:cs="Arial"/>
          <w:sz w:val="20"/>
          <w:lang w:val="nl-BE"/>
        </w:rPr>
        <w:t xml:space="preserve">– </w:t>
      </w:r>
      <w:r w:rsidRPr="00443AF4">
        <w:rPr>
          <w:rFonts w:cs="Arial"/>
          <w:sz w:val="20"/>
          <w:u w:val="single"/>
          <w:lang w:val="nl-BE"/>
        </w:rPr>
        <w:t>op een horizon van twee jaar</w:t>
      </w:r>
      <w:r>
        <w:rPr>
          <w:rFonts w:cs="Arial"/>
          <w:sz w:val="20"/>
          <w:u w:val="single"/>
          <w:lang w:val="nl-BE"/>
        </w:rPr>
        <w:t xml:space="preserve"> </w:t>
      </w:r>
      <w:r w:rsidRPr="00443AF4">
        <w:rPr>
          <w:rFonts w:cs="Arial"/>
          <w:sz w:val="20"/>
          <w:u w:val="single"/>
          <w:lang w:val="nl-BE"/>
        </w:rPr>
        <w:t>de achterstand volledig wegwerkt</w:t>
      </w:r>
      <w:r>
        <w:rPr>
          <w:rFonts w:cs="Arial"/>
          <w:sz w:val="20"/>
          <w:lang w:val="nl-BE"/>
        </w:rPr>
        <w:t>.</w:t>
      </w:r>
      <w:r>
        <w:rPr>
          <w:rStyle w:val="FootnoteReference"/>
          <w:rFonts w:cs="Arial"/>
          <w:sz w:val="20"/>
          <w:lang w:val="nl-BE"/>
        </w:rPr>
        <w:footnoteReference w:id="13"/>
      </w:r>
      <w:r>
        <w:rPr>
          <w:rFonts w:cs="Arial"/>
          <w:sz w:val="20"/>
          <w:lang w:val="nl-BE"/>
        </w:rPr>
        <w:t xml:space="preserve"> Deze twee jaar begint te lopen op het </w:t>
      </w:r>
      <w:r w:rsidRPr="0092380F">
        <w:rPr>
          <w:rFonts w:cs="Arial"/>
          <w:i/>
          <w:iCs/>
          <w:sz w:val="20"/>
          <w:lang w:val="nl-BE"/>
        </w:rPr>
        <w:t>moment dat de TF volledig operationeel</w:t>
      </w:r>
      <w:r>
        <w:rPr>
          <w:rFonts w:cs="Arial"/>
          <w:sz w:val="20"/>
          <w:lang w:val="nl-BE"/>
        </w:rPr>
        <w:t xml:space="preserve"> is (gepland medio 2021)</w:t>
      </w:r>
      <w:r>
        <w:rPr>
          <w:rStyle w:val="FootnoteReference"/>
          <w:rFonts w:cs="Arial"/>
          <w:sz w:val="20"/>
          <w:lang w:val="nl-BE"/>
        </w:rPr>
        <w:footnoteReference w:id="14"/>
      </w:r>
      <w:r>
        <w:rPr>
          <w:rFonts w:cs="Arial"/>
          <w:sz w:val="20"/>
          <w:lang w:val="nl-BE"/>
        </w:rPr>
        <w:t>. Dit dient gekoppeld aan een</w:t>
      </w:r>
      <w:r w:rsidR="00C739AA">
        <w:rPr>
          <w:rFonts w:cs="Arial"/>
          <w:sz w:val="20"/>
          <w:lang w:val="nl-BE"/>
        </w:rPr>
        <w:t xml:space="preserve"> welomschreven portefeuille met een </w:t>
      </w:r>
      <w:r w:rsidRPr="00443AF4">
        <w:rPr>
          <w:rFonts w:cs="Arial"/>
          <w:sz w:val="20"/>
          <w:u w:val="single"/>
          <w:lang w:val="nl-BE"/>
        </w:rPr>
        <w:t>precies aantal dossiers</w:t>
      </w:r>
      <w:r>
        <w:rPr>
          <w:rFonts w:cs="Arial"/>
          <w:sz w:val="20"/>
          <w:lang w:val="nl-BE"/>
        </w:rPr>
        <w:t xml:space="preserve">. Dit aantal is ook de basis voor de inschatting van het nodige aantal VTE in die twee jaar. </w:t>
      </w:r>
    </w:p>
    <w:p w:rsidR="00CD1226" w:rsidRDefault="00CD1226" w:rsidP="00CD1226">
      <w:pPr>
        <w:spacing w:after="0"/>
        <w:jc w:val="left"/>
        <w:rPr>
          <w:rFonts w:cs="Arial"/>
          <w:sz w:val="20"/>
          <w:lang w:val="nl-BE"/>
        </w:rPr>
      </w:pPr>
    </w:p>
    <w:p w:rsidR="00BE1CD2" w:rsidRDefault="00BE1CD2" w:rsidP="00BE1CD2">
      <w:pPr>
        <w:spacing w:after="0"/>
        <w:rPr>
          <w:rFonts w:cs="Arial"/>
          <w:sz w:val="20"/>
        </w:rPr>
      </w:pPr>
      <w:r>
        <w:rPr>
          <w:rFonts w:cs="Arial"/>
          <w:sz w:val="20"/>
        </w:rPr>
        <w:t xml:space="preserve">De essentiële punten rond de </w:t>
      </w:r>
      <w:r w:rsidRPr="007B22BA">
        <w:rPr>
          <w:rFonts w:cs="Arial"/>
          <w:sz w:val="20"/>
          <w:u w:val="single"/>
        </w:rPr>
        <w:t>verantwoordelijkheden van de TF</w:t>
      </w:r>
      <w:r>
        <w:rPr>
          <w:rFonts w:cs="Arial"/>
          <w:sz w:val="20"/>
          <w:u w:val="single"/>
        </w:rPr>
        <w:t>/TFM</w:t>
      </w:r>
      <w:r w:rsidRPr="007B22BA">
        <w:rPr>
          <w:rFonts w:cs="Arial"/>
          <w:sz w:val="20"/>
          <w:u w:val="single"/>
        </w:rPr>
        <w:t xml:space="preserve"> voor de dossiers</w:t>
      </w:r>
      <w:r>
        <w:rPr>
          <w:rFonts w:cs="Arial"/>
          <w:sz w:val="20"/>
          <w:u w:val="single"/>
        </w:rPr>
        <w:t xml:space="preserve"> in </w:t>
      </w:r>
      <w:r w:rsidR="00382B11">
        <w:rPr>
          <w:rFonts w:cs="Arial"/>
          <w:sz w:val="20"/>
          <w:u w:val="single"/>
        </w:rPr>
        <w:t>hun</w:t>
      </w:r>
      <w:r>
        <w:rPr>
          <w:rFonts w:cs="Arial"/>
          <w:sz w:val="20"/>
          <w:u w:val="single"/>
        </w:rPr>
        <w:t xml:space="preserve"> portefeuille zijn de volgende</w:t>
      </w:r>
      <w:r>
        <w:rPr>
          <w:rFonts w:cs="Arial"/>
          <w:sz w:val="20"/>
        </w:rPr>
        <w:t>.</w:t>
      </w:r>
    </w:p>
    <w:p w:rsidR="00BE1CD2" w:rsidRPr="005565B1" w:rsidRDefault="00BE1CD2" w:rsidP="00BE1CD2">
      <w:pPr>
        <w:pStyle w:val="ListParagraph"/>
        <w:numPr>
          <w:ilvl w:val="0"/>
          <w:numId w:val="33"/>
        </w:numPr>
        <w:spacing w:after="0" w:line="240" w:lineRule="auto"/>
        <w:rPr>
          <w:rFonts w:ascii="Arial" w:hAnsi="Arial" w:cs="Arial"/>
          <w:sz w:val="20"/>
        </w:rPr>
      </w:pPr>
      <w:r>
        <w:rPr>
          <w:rFonts w:ascii="Arial" w:hAnsi="Arial" w:cs="Arial"/>
          <w:sz w:val="20"/>
        </w:rPr>
        <w:t xml:space="preserve">De TFM met zijn TF zijn </w:t>
      </w:r>
      <w:r w:rsidRPr="005565B1">
        <w:rPr>
          <w:rFonts w:ascii="Arial" w:hAnsi="Arial" w:cs="Arial"/>
          <w:sz w:val="20"/>
        </w:rPr>
        <w:t xml:space="preserve">verantwoordelijk voor de volledige voleinding tot en met het advies (of afsluiting indien het niet tot een advies komt). </w:t>
      </w:r>
    </w:p>
    <w:p w:rsidR="00BE1CD2" w:rsidRPr="00CC0433" w:rsidRDefault="00BE1CD2" w:rsidP="00BE1CD2">
      <w:pPr>
        <w:pStyle w:val="ListParagraph"/>
        <w:numPr>
          <w:ilvl w:val="0"/>
          <w:numId w:val="33"/>
        </w:numPr>
        <w:spacing w:after="0" w:line="240" w:lineRule="auto"/>
        <w:rPr>
          <w:rFonts w:ascii="Arial" w:hAnsi="Arial" w:cs="Arial"/>
          <w:sz w:val="20"/>
        </w:rPr>
      </w:pPr>
      <w:r>
        <w:rPr>
          <w:rFonts w:ascii="Arial" w:hAnsi="Arial" w:cs="Arial"/>
          <w:sz w:val="20"/>
        </w:rPr>
        <w:t xml:space="preserve">Beroep </w:t>
      </w:r>
      <w:r w:rsidRPr="00CC0433">
        <w:rPr>
          <w:rFonts w:ascii="Arial" w:hAnsi="Arial" w:cs="Arial"/>
          <w:sz w:val="20"/>
        </w:rPr>
        <w:t xml:space="preserve">op de </w:t>
      </w:r>
      <w:r>
        <w:rPr>
          <w:rFonts w:ascii="Arial" w:hAnsi="Arial" w:cs="Arial"/>
          <w:sz w:val="20"/>
        </w:rPr>
        <w:t>PFMO-</w:t>
      </w:r>
      <w:r w:rsidRPr="00CC0433">
        <w:rPr>
          <w:rFonts w:ascii="Arial" w:hAnsi="Arial" w:cs="Arial"/>
          <w:sz w:val="20"/>
        </w:rPr>
        <w:t>medewerkers</w:t>
      </w:r>
      <w:r>
        <w:rPr>
          <w:rFonts w:ascii="Arial" w:hAnsi="Arial" w:cs="Arial"/>
          <w:sz w:val="20"/>
        </w:rPr>
        <w:t xml:space="preserve"> </w:t>
      </w:r>
      <w:r w:rsidRPr="00CC0433">
        <w:rPr>
          <w:rFonts w:ascii="Arial" w:hAnsi="Arial" w:cs="Arial"/>
          <w:sz w:val="20"/>
        </w:rPr>
        <w:t>doet geen afbreuk aan de TF-verantwoordelijkheid voor die dossiers.</w:t>
      </w:r>
    </w:p>
    <w:p w:rsidR="00BE1CD2" w:rsidRDefault="00BE1CD2" w:rsidP="00BE1CD2">
      <w:pPr>
        <w:pStyle w:val="ListParagraph"/>
        <w:numPr>
          <w:ilvl w:val="0"/>
          <w:numId w:val="33"/>
        </w:numPr>
        <w:spacing w:after="0" w:line="240" w:lineRule="auto"/>
        <w:rPr>
          <w:rFonts w:ascii="Arial" w:hAnsi="Arial" w:cs="Arial"/>
          <w:sz w:val="20"/>
        </w:rPr>
      </w:pPr>
      <w:r>
        <w:rPr>
          <w:rFonts w:ascii="Arial" w:hAnsi="Arial" w:cs="Arial"/>
          <w:sz w:val="20"/>
        </w:rPr>
        <w:t xml:space="preserve">De berekening van de schadevergoeding komt nooit bij de TF. De TF-verantwoordelijkheid eindigt bij het advies (of de afsluiting). </w:t>
      </w:r>
    </w:p>
    <w:p w:rsidR="00BE1CD2" w:rsidRPr="00FD09D8" w:rsidRDefault="00BE1CD2" w:rsidP="00BE1CD2">
      <w:pPr>
        <w:pStyle w:val="ListParagraph"/>
        <w:numPr>
          <w:ilvl w:val="0"/>
          <w:numId w:val="33"/>
        </w:numPr>
        <w:spacing w:after="0" w:line="240" w:lineRule="auto"/>
        <w:rPr>
          <w:rFonts w:ascii="Arial" w:hAnsi="Arial" w:cs="Arial"/>
          <w:sz w:val="20"/>
        </w:rPr>
      </w:pPr>
      <w:r w:rsidRPr="00FD09D8">
        <w:rPr>
          <w:rFonts w:ascii="Arial" w:hAnsi="Arial" w:cs="Arial"/>
          <w:sz w:val="20"/>
        </w:rPr>
        <w:t xml:space="preserve">Als in een opstartfase of op een ander moment PFMO-medewerkers tussenkomen bij de behandeling van die TF-dossiers (bijv. omdat ze ruimte hebben) blijven dit TF-dossiers met alles wat dit meebrengt aan verantwoordelijkheid van de TFM/TF. Ze veranderen niet van label. </w:t>
      </w:r>
      <w:r w:rsidRPr="00FD09D8">
        <w:rPr>
          <w:rFonts w:ascii="Arial" w:hAnsi="Arial" w:cs="Arial"/>
          <w:sz w:val="20"/>
        </w:rPr>
        <w:tab/>
      </w:r>
    </w:p>
    <w:p w:rsidR="00BE1CD2" w:rsidRDefault="00BE1CD2" w:rsidP="00CD1226">
      <w:pPr>
        <w:spacing w:after="0"/>
        <w:jc w:val="left"/>
        <w:rPr>
          <w:rFonts w:cs="Arial"/>
          <w:sz w:val="20"/>
          <w:lang w:val="nl-BE"/>
        </w:rPr>
      </w:pPr>
    </w:p>
    <w:p w:rsidR="00CD1226" w:rsidRDefault="00C739AA" w:rsidP="00880E6C">
      <w:pPr>
        <w:spacing w:after="0"/>
        <w:jc w:val="left"/>
        <w:rPr>
          <w:rFonts w:cs="Arial"/>
          <w:sz w:val="20"/>
          <w:lang w:val="nl-BE"/>
        </w:rPr>
      </w:pPr>
      <w:r>
        <w:rPr>
          <w:rFonts w:cs="Arial"/>
          <w:sz w:val="20"/>
          <w:lang w:val="nl-BE"/>
        </w:rPr>
        <w:t xml:space="preserve">Tijdens de </w:t>
      </w:r>
      <w:proofErr w:type="spellStart"/>
      <w:r>
        <w:rPr>
          <w:rFonts w:cs="Arial"/>
          <w:sz w:val="20"/>
          <w:lang w:val="nl-BE"/>
        </w:rPr>
        <w:t>activiteitsperiode</w:t>
      </w:r>
      <w:proofErr w:type="spellEnd"/>
      <w:r>
        <w:rPr>
          <w:rFonts w:cs="Arial"/>
          <w:sz w:val="20"/>
          <w:lang w:val="nl-BE"/>
        </w:rPr>
        <w:t xml:space="preserve"> van de TF, behandelt het PFMO alle nieuwe dossiers die binnenkomen plus alle meer recente lopende dossiers (die niet zijn toegewezen aan de TF).</w:t>
      </w:r>
      <w:r>
        <w:rPr>
          <w:rStyle w:val="FootnoteReference"/>
          <w:rFonts w:cs="Arial"/>
          <w:sz w:val="20"/>
          <w:lang w:val="nl-BE"/>
        </w:rPr>
        <w:footnoteReference w:id="15"/>
      </w:r>
      <w:r>
        <w:rPr>
          <w:rFonts w:cs="Arial"/>
          <w:sz w:val="20"/>
          <w:lang w:val="nl-BE"/>
        </w:rPr>
        <w:t xml:space="preserve"> Daarnaast doet het PFMO </w:t>
      </w:r>
      <w:r w:rsidR="00BE1CD2">
        <w:rPr>
          <w:rFonts w:cs="Arial"/>
          <w:sz w:val="20"/>
          <w:lang w:val="nl-BE"/>
        </w:rPr>
        <w:t>voor alle dossiers (zowel TF als PFMO) de</w:t>
      </w:r>
      <w:r>
        <w:rPr>
          <w:rFonts w:cs="Arial"/>
          <w:sz w:val="20"/>
          <w:lang w:val="nl-BE"/>
        </w:rPr>
        <w:t xml:space="preserve"> berekeningen van </w:t>
      </w:r>
      <w:proofErr w:type="spellStart"/>
      <w:r>
        <w:rPr>
          <w:rFonts w:cs="Arial"/>
          <w:sz w:val="20"/>
          <w:lang w:val="nl-BE"/>
        </w:rPr>
        <w:t>schadervergoedingen</w:t>
      </w:r>
      <w:proofErr w:type="spellEnd"/>
      <w:r w:rsidR="00BE1CD2">
        <w:rPr>
          <w:rFonts w:cs="Arial"/>
          <w:sz w:val="20"/>
          <w:lang w:val="nl-BE"/>
        </w:rPr>
        <w:t xml:space="preserve"> en de </w:t>
      </w:r>
      <w:r>
        <w:rPr>
          <w:rFonts w:cs="Arial"/>
          <w:sz w:val="20"/>
          <w:lang w:val="nl-BE"/>
        </w:rPr>
        <w:t>opvolging van de geschillen. Bovendien zal door het PFMO zeker tijd dienen besteed aan de ondersteuning van de TF.</w:t>
      </w:r>
      <w:r w:rsidR="00BE1CD2">
        <w:rPr>
          <w:rFonts w:cs="Arial"/>
          <w:sz w:val="20"/>
          <w:lang w:val="nl-BE"/>
        </w:rPr>
        <w:t xml:space="preserve"> Normaal zal het PFMO hiermee ruim voldoende opdrachten hebben. Waar mogelijk zal het PFMO bijdragen om de werking van de TF maximaal te versnellen (</w:t>
      </w:r>
      <w:proofErr w:type="spellStart"/>
      <w:r w:rsidR="00BE1CD2">
        <w:rPr>
          <w:rFonts w:cs="Arial"/>
          <w:sz w:val="20"/>
          <w:lang w:val="nl-BE"/>
        </w:rPr>
        <w:t>cfr</w:t>
      </w:r>
      <w:proofErr w:type="spellEnd"/>
      <w:r w:rsidR="00BE1CD2">
        <w:rPr>
          <w:rFonts w:cs="Arial"/>
          <w:sz w:val="20"/>
          <w:lang w:val="nl-BE"/>
        </w:rPr>
        <w:t xml:space="preserve"> overleg PFMO-directeur en TFM).</w:t>
      </w:r>
    </w:p>
    <w:p w:rsidR="00CD1226" w:rsidRDefault="00CD1226" w:rsidP="00880E6C">
      <w:pPr>
        <w:spacing w:after="0"/>
        <w:jc w:val="left"/>
        <w:rPr>
          <w:rFonts w:cs="Arial"/>
          <w:sz w:val="20"/>
          <w:lang w:val="nl-BE"/>
        </w:rPr>
      </w:pPr>
    </w:p>
    <w:p w:rsidR="00BB121F" w:rsidRDefault="00BB121F">
      <w:pPr>
        <w:spacing w:after="0"/>
        <w:jc w:val="left"/>
        <w:rPr>
          <w:rFonts w:cs="Arial"/>
          <w:b/>
          <w:spacing w:val="-4"/>
          <w:kern w:val="28"/>
          <w:sz w:val="20"/>
        </w:rPr>
      </w:pPr>
      <w:r>
        <w:rPr>
          <w:rFonts w:cs="Arial"/>
          <w:sz w:val="20"/>
        </w:rPr>
        <w:br w:type="page"/>
      </w:r>
    </w:p>
    <w:p w:rsidR="00CD1226" w:rsidRPr="00A34A91" w:rsidRDefault="00CD1226" w:rsidP="00CD1226">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18" w:name="_Toc68955692"/>
      <w:r>
        <w:rPr>
          <w:rFonts w:cs="Arial"/>
          <w:sz w:val="20"/>
        </w:rPr>
        <w:lastRenderedPageBreak/>
        <w:t>D</w:t>
      </w:r>
      <w:r w:rsidR="005935BC">
        <w:rPr>
          <w:rFonts w:cs="Arial"/>
          <w:sz w:val="20"/>
        </w:rPr>
        <w:t xml:space="preserve">oor TF </w:t>
      </w:r>
      <w:r>
        <w:rPr>
          <w:rFonts w:cs="Arial"/>
          <w:sz w:val="20"/>
        </w:rPr>
        <w:t>af te handelen dossiers</w:t>
      </w:r>
      <w:bookmarkEnd w:id="18"/>
    </w:p>
    <w:p w:rsidR="00CD1226" w:rsidRDefault="00CD1226" w:rsidP="00880E6C">
      <w:pPr>
        <w:spacing w:after="0"/>
        <w:jc w:val="left"/>
        <w:rPr>
          <w:rFonts w:cs="Arial"/>
          <w:sz w:val="20"/>
          <w:lang w:val="nl-BE"/>
        </w:rPr>
      </w:pPr>
    </w:p>
    <w:p w:rsidR="005935BC" w:rsidRPr="005935BC" w:rsidRDefault="005935BC" w:rsidP="005935BC">
      <w:pPr>
        <w:pStyle w:val="ListParagraph"/>
        <w:numPr>
          <w:ilvl w:val="0"/>
          <w:numId w:val="39"/>
        </w:numPr>
        <w:pBdr>
          <w:top w:val="single" w:sz="4" w:space="1" w:color="auto"/>
          <w:left w:val="single" w:sz="4" w:space="4" w:color="auto"/>
          <w:bottom w:val="single" w:sz="4" w:space="1" w:color="auto"/>
          <w:right w:val="single" w:sz="4" w:space="4" w:color="auto"/>
        </w:pBdr>
        <w:spacing w:after="0"/>
        <w:rPr>
          <w:rFonts w:ascii="Arial" w:hAnsi="Arial" w:cs="Arial"/>
          <w:b/>
          <w:bCs/>
          <w:sz w:val="20"/>
        </w:rPr>
      </w:pPr>
      <w:r w:rsidRPr="005935BC">
        <w:rPr>
          <w:rFonts w:ascii="Arial" w:hAnsi="Arial" w:cs="Arial"/>
          <w:b/>
          <w:bCs/>
          <w:sz w:val="20"/>
        </w:rPr>
        <w:t>Bepaling aantal</w:t>
      </w:r>
    </w:p>
    <w:p w:rsidR="005935BC" w:rsidRDefault="005935BC" w:rsidP="00880E6C">
      <w:pPr>
        <w:spacing w:after="0"/>
        <w:jc w:val="left"/>
        <w:rPr>
          <w:rFonts w:cs="Arial"/>
          <w:sz w:val="20"/>
          <w:lang w:val="nl-BE"/>
        </w:rPr>
      </w:pPr>
    </w:p>
    <w:p w:rsidR="00840EEE" w:rsidRDefault="00840EEE" w:rsidP="00880E6C">
      <w:pPr>
        <w:spacing w:after="0"/>
        <w:jc w:val="left"/>
        <w:rPr>
          <w:rFonts w:cs="Arial"/>
          <w:sz w:val="20"/>
          <w:lang w:val="nl-BE"/>
        </w:rPr>
      </w:pPr>
      <w:r>
        <w:rPr>
          <w:rFonts w:cs="Arial"/>
          <w:sz w:val="20"/>
          <w:lang w:val="nl-BE"/>
        </w:rPr>
        <w:t>Er zijn momenteel</w:t>
      </w:r>
      <w:r>
        <w:rPr>
          <w:rStyle w:val="FootnoteReference"/>
          <w:rFonts w:cs="Arial"/>
          <w:sz w:val="20"/>
          <w:lang w:val="nl-BE"/>
        </w:rPr>
        <w:footnoteReference w:id="16"/>
      </w:r>
      <w:r>
        <w:rPr>
          <w:rFonts w:cs="Arial"/>
          <w:sz w:val="20"/>
          <w:lang w:val="nl-BE"/>
        </w:rPr>
        <w:t xml:space="preserve"> </w:t>
      </w:r>
      <w:r w:rsidRPr="00840EEE">
        <w:rPr>
          <w:rFonts w:cs="Arial"/>
          <w:sz w:val="20"/>
          <w:lang w:val="nl-BE"/>
        </w:rPr>
        <w:t>1892 uitstaande dossiers</w:t>
      </w:r>
      <w:r>
        <w:rPr>
          <w:rFonts w:cs="Arial"/>
          <w:sz w:val="20"/>
          <w:lang w:val="nl-BE"/>
        </w:rPr>
        <w:t xml:space="preserve">. </w:t>
      </w:r>
      <w:r w:rsidR="008F07AA">
        <w:rPr>
          <w:rFonts w:cs="Arial"/>
          <w:sz w:val="20"/>
          <w:lang w:val="nl-BE"/>
        </w:rPr>
        <w:t xml:space="preserve">Hiervan leiden we een </w:t>
      </w:r>
      <w:r w:rsidR="008F07AA" w:rsidRPr="00306784">
        <w:rPr>
          <w:rFonts w:cs="Arial"/>
          <w:sz w:val="20"/>
          <w:u w:val="single"/>
          <w:lang w:val="nl-BE"/>
        </w:rPr>
        <w:t>weg te werken achterstand</w:t>
      </w:r>
      <w:r w:rsidR="008F07AA">
        <w:rPr>
          <w:rFonts w:cs="Arial"/>
          <w:sz w:val="20"/>
          <w:lang w:val="nl-BE"/>
        </w:rPr>
        <w:t xml:space="preserve"> af </w:t>
      </w:r>
      <w:r w:rsidR="008F07AA" w:rsidRPr="00306784">
        <w:rPr>
          <w:rFonts w:cs="Arial"/>
          <w:sz w:val="20"/>
          <w:u w:val="single"/>
          <w:lang w:val="nl-BE"/>
        </w:rPr>
        <w:t>van 1592 dossiers</w:t>
      </w:r>
      <w:r w:rsidR="008F07AA">
        <w:rPr>
          <w:rFonts w:cs="Arial"/>
          <w:sz w:val="20"/>
          <w:lang w:val="nl-BE"/>
        </w:rPr>
        <w:t>. Hoe komen we daartoe?</w:t>
      </w:r>
    </w:p>
    <w:p w:rsidR="00840EEE" w:rsidRDefault="004507A5" w:rsidP="00443AF4">
      <w:pPr>
        <w:pStyle w:val="ListParagraph"/>
        <w:numPr>
          <w:ilvl w:val="0"/>
          <w:numId w:val="5"/>
        </w:numPr>
        <w:spacing w:after="0" w:line="240" w:lineRule="auto"/>
        <w:rPr>
          <w:rFonts w:ascii="Arial" w:hAnsi="Arial" w:cs="Arial"/>
          <w:sz w:val="20"/>
        </w:rPr>
      </w:pPr>
      <w:r w:rsidRPr="00443AF4">
        <w:rPr>
          <w:rFonts w:ascii="Arial" w:hAnsi="Arial" w:cs="Arial"/>
          <w:sz w:val="20"/>
        </w:rPr>
        <w:t xml:space="preserve">Er is een </w:t>
      </w:r>
      <w:r w:rsidRPr="00725B40">
        <w:rPr>
          <w:rFonts w:ascii="Arial" w:hAnsi="Arial" w:cs="Arial"/>
          <w:i/>
          <w:iCs/>
          <w:sz w:val="20"/>
        </w:rPr>
        <w:t>permanente instroom en uitstroom van dossiers</w:t>
      </w:r>
      <w:r w:rsidRPr="00443AF4">
        <w:rPr>
          <w:rFonts w:ascii="Arial" w:hAnsi="Arial" w:cs="Arial"/>
          <w:sz w:val="20"/>
        </w:rPr>
        <w:t>.</w:t>
      </w:r>
      <w:r w:rsidR="00840EEE">
        <w:rPr>
          <w:rFonts w:ascii="Arial" w:hAnsi="Arial" w:cs="Arial"/>
          <w:sz w:val="20"/>
        </w:rPr>
        <w:t xml:space="preserve"> Dat maakt dat er altijd een aantal dossiers in behandeling is, zonder dat er daarom sprake is van een achterstand. De achterstand is dus het verschil tussen het aantal uitstaande dossiers en die rollende voorraad dossiers. Hoe groot is die?</w:t>
      </w:r>
    </w:p>
    <w:p w:rsidR="005B52DE" w:rsidRDefault="00840EEE" w:rsidP="00443AF4">
      <w:pPr>
        <w:pStyle w:val="ListParagraph"/>
        <w:numPr>
          <w:ilvl w:val="0"/>
          <w:numId w:val="5"/>
        </w:numPr>
        <w:spacing w:after="0" w:line="240" w:lineRule="auto"/>
        <w:rPr>
          <w:rFonts w:ascii="Arial" w:hAnsi="Arial" w:cs="Arial"/>
          <w:sz w:val="20"/>
        </w:rPr>
      </w:pPr>
      <w:r>
        <w:rPr>
          <w:rFonts w:ascii="Arial" w:hAnsi="Arial" w:cs="Arial"/>
          <w:sz w:val="20"/>
        </w:rPr>
        <w:t xml:space="preserve">Daarvoor moeten we </w:t>
      </w:r>
      <w:r w:rsidRPr="00725B40">
        <w:rPr>
          <w:rFonts w:ascii="Arial" w:hAnsi="Arial" w:cs="Arial"/>
          <w:i/>
          <w:iCs/>
          <w:sz w:val="20"/>
        </w:rPr>
        <w:t>uitgaan van assumpties</w:t>
      </w:r>
      <w:r>
        <w:rPr>
          <w:rFonts w:ascii="Arial" w:hAnsi="Arial" w:cs="Arial"/>
          <w:sz w:val="20"/>
        </w:rPr>
        <w:t xml:space="preserve"> rond het aantal afgehandelde dossiers per jaar en de gemiddelde doorlooptijd van de dossiers. </w:t>
      </w:r>
    </w:p>
    <w:p w:rsidR="005B52DE" w:rsidRDefault="00840EEE" w:rsidP="005B52DE">
      <w:pPr>
        <w:pStyle w:val="ListParagraph"/>
        <w:numPr>
          <w:ilvl w:val="0"/>
          <w:numId w:val="36"/>
        </w:numPr>
        <w:spacing w:after="0" w:line="240" w:lineRule="auto"/>
        <w:rPr>
          <w:rFonts w:ascii="Arial" w:hAnsi="Arial" w:cs="Arial"/>
          <w:sz w:val="20"/>
        </w:rPr>
      </w:pPr>
      <w:r>
        <w:rPr>
          <w:rFonts w:ascii="Arial" w:hAnsi="Arial" w:cs="Arial"/>
          <w:sz w:val="20"/>
        </w:rPr>
        <w:t>We gaan uit van 600 afgehandelde dossiers per jaar</w:t>
      </w:r>
      <w:r w:rsidR="005B52DE">
        <w:rPr>
          <w:rFonts w:ascii="Arial" w:hAnsi="Arial" w:cs="Arial"/>
          <w:sz w:val="20"/>
        </w:rPr>
        <w:t xml:space="preserve"> (afronding van het historisch gemiddelde 2017-2020 van 609 dossiers per jaar).</w:t>
      </w:r>
    </w:p>
    <w:p w:rsidR="005B52DE" w:rsidRDefault="005B52DE" w:rsidP="005B52DE">
      <w:pPr>
        <w:pStyle w:val="ListParagraph"/>
        <w:numPr>
          <w:ilvl w:val="0"/>
          <w:numId w:val="36"/>
        </w:numPr>
        <w:spacing w:after="0" w:line="240" w:lineRule="auto"/>
        <w:rPr>
          <w:rFonts w:ascii="Arial" w:hAnsi="Arial" w:cs="Arial"/>
          <w:sz w:val="20"/>
        </w:rPr>
      </w:pPr>
      <w:r>
        <w:rPr>
          <w:rFonts w:ascii="Arial" w:hAnsi="Arial" w:cs="Arial"/>
          <w:sz w:val="20"/>
        </w:rPr>
        <w:t>We gaan uit van een doorlooptijd per dossier van 6 maanden. De huidige gemiddelde doorlooptijd k</w:t>
      </w:r>
      <w:r w:rsidR="00865A12">
        <w:rPr>
          <w:rFonts w:ascii="Arial" w:hAnsi="Arial" w:cs="Arial"/>
          <w:sz w:val="20"/>
        </w:rPr>
        <w:t>an</w:t>
      </w:r>
      <w:r>
        <w:rPr>
          <w:rFonts w:ascii="Arial" w:hAnsi="Arial" w:cs="Arial"/>
          <w:sz w:val="20"/>
        </w:rPr>
        <w:t xml:space="preserve"> door de impact van de achterstand niet als representatief genomen worden voor een normale FMO-werking. We vallen daarom terug op wat in de wet staat. </w:t>
      </w:r>
    </w:p>
    <w:p w:rsidR="006F1032" w:rsidRPr="00306784" w:rsidRDefault="005B52DE" w:rsidP="00306784">
      <w:pPr>
        <w:pStyle w:val="ListParagraph"/>
        <w:numPr>
          <w:ilvl w:val="0"/>
          <w:numId w:val="5"/>
        </w:numPr>
        <w:spacing w:after="0" w:line="240" w:lineRule="auto"/>
        <w:rPr>
          <w:rFonts w:ascii="Arial" w:hAnsi="Arial" w:cs="Arial"/>
          <w:sz w:val="20"/>
        </w:rPr>
      </w:pPr>
      <w:r w:rsidRPr="00306784">
        <w:rPr>
          <w:rFonts w:ascii="Arial" w:hAnsi="Arial" w:cs="Arial"/>
          <w:sz w:val="20"/>
        </w:rPr>
        <w:t xml:space="preserve">Met deze assumpties is er een rollende voorraad van 300 dossiers </w:t>
      </w:r>
      <w:r w:rsidR="00991E81" w:rsidRPr="00306784">
        <w:rPr>
          <w:rFonts w:ascii="Arial" w:hAnsi="Arial" w:cs="Arial"/>
          <w:sz w:val="20"/>
        </w:rPr>
        <w:t>(</w:t>
      </w:r>
      <w:r w:rsidR="007F0ED5" w:rsidRPr="00306784">
        <w:rPr>
          <w:rFonts w:ascii="Arial" w:hAnsi="Arial" w:cs="Arial"/>
          <w:sz w:val="20"/>
        </w:rPr>
        <w:t xml:space="preserve">gevolg van </w:t>
      </w:r>
      <w:r w:rsidR="00991E81" w:rsidRPr="00306784">
        <w:rPr>
          <w:rFonts w:ascii="Arial" w:hAnsi="Arial" w:cs="Arial"/>
          <w:sz w:val="20"/>
        </w:rPr>
        <w:t xml:space="preserve">600 afgehandelde dossiers per jaar en </w:t>
      </w:r>
      <w:r w:rsidR="007F0ED5" w:rsidRPr="00306784">
        <w:rPr>
          <w:rFonts w:ascii="Arial" w:hAnsi="Arial" w:cs="Arial"/>
          <w:sz w:val="20"/>
        </w:rPr>
        <w:t xml:space="preserve">een half jaar per dossier). </w:t>
      </w:r>
      <w:r w:rsidRPr="00306784">
        <w:rPr>
          <w:rFonts w:ascii="Arial" w:hAnsi="Arial" w:cs="Arial"/>
          <w:sz w:val="20"/>
        </w:rPr>
        <w:t xml:space="preserve">Dat aantal </w:t>
      </w:r>
      <w:r w:rsidRPr="00306784">
        <w:rPr>
          <w:rFonts w:ascii="Arial" w:hAnsi="Arial" w:cs="Arial"/>
          <w:i/>
          <w:iCs/>
          <w:sz w:val="20"/>
        </w:rPr>
        <w:t>trekken we dus af van de uitstaande dossiers</w:t>
      </w:r>
      <w:r w:rsidRPr="00306784">
        <w:rPr>
          <w:rFonts w:ascii="Arial" w:hAnsi="Arial" w:cs="Arial"/>
          <w:sz w:val="20"/>
        </w:rPr>
        <w:t xml:space="preserve"> om tot het aantal van de achterstand te komen.</w:t>
      </w:r>
      <w:r w:rsidR="00A935C0">
        <w:rPr>
          <w:rFonts w:ascii="Arial" w:hAnsi="Arial" w:cs="Arial"/>
          <w:sz w:val="20"/>
        </w:rPr>
        <w:t xml:space="preserve"> </w:t>
      </w:r>
      <w:r w:rsidR="00A720F0">
        <w:rPr>
          <w:rFonts w:ascii="Arial" w:hAnsi="Arial" w:cs="Arial"/>
          <w:sz w:val="20"/>
        </w:rPr>
        <w:t>(Je zou kunnen zeggen dat de nieuwe dossiers hierin komen.)</w:t>
      </w:r>
    </w:p>
    <w:p w:rsidR="006F1032" w:rsidRDefault="006F1032">
      <w:pPr>
        <w:spacing w:after="0"/>
        <w:jc w:val="left"/>
        <w:rPr>
          <w:rFonts w:cs="Arial"/>
          <w:sz w:val="20"/>
        </w:rPr>
      </w:pPr>
    </w:p>
    <w:p w:rsidR="005B52DE" w:rsidRPr="005B52DE" w:rsidRDefault="005B52DE" w:rsidP="00306784">
      <w:pPr>
        <w:spacing w:after="0"/>
        <w:jc w:val="left"/>
        <w:rPr>
          <w:rFonts w:cs="Arial"/>
          <w:sz w:val="20"/>
        </w:rPr>
      </w:pPr>
      <w:r>
        <w:rPr>
          <w:rFonts w:cs="Arial"/>
          <w:sz w:val="20"/>
        </w:rPr>
        <w:t xml:space="preserve">Die </w:t>
      </w:r>
      <w:r w:rsidRPr="005B52DE">
        <w:rPr>
          <w:rFonts w:cs="Arial"/>
          <w:sz w:val="20"/>
          <w:u w:val="single"/>
        </w:rPr>
        <w:t xml:space="preserve">achterstand </w:t>
      </w:r>
      <w:r w:rsidR="00725B40">
        <w:rPr>
          <w:rFonts w:cs="Arial"/>
          <w:sz w:val="20"/>
          <w:u w:val="single"/>
        </w:rPr>
        <w:t xml:space="preserve">van 1592 dossiers </w:t>
      </w:r>
      <w:r w:rsidRPr="005B52DE">
        <w:rPr>
          <w:rFonts w:cs="Arial"/>
          <w:sz w:val="20"/>
          <w:u w:val="single"/>
        </w:rPr>
        <w:t>wegwerken op de beoogde twee jaar</w:t>
      </w:r>
      <w:r>
        <w:rPr>
          <w:rFonts w:cs="Arial"/>
          <w:sz w:val="20"/>
        </w:rPr>
        <w:t xml:space="preserve"> moet gebeuren </w:t>
      </w:r>
      <w:r w:rsidRPr="005B52DE">
        <w:rPr>
          <w:rFonts w:cs="Arial"/>
          <w:sz w:val="20"/>
          <w:u w:val="single"/>
        </w:rPr>
        <w:t>op twee manieren</w:t>
      </w:r>
      <w:r>
        <w:rPr>
          <w:rFonts w:cs="Arial"/>
          <w:sz w:val="20"/>
        </w:rPr>
        <w:t>.</w:t>
      </w:r>
    </w:p>
    <w:p w:rsidR="00725B40" w:rsidRDefault="005B52DE" w:rsidP="00725B40">
      <w:pPr>
        <w:pStyle w:val="ListParagraph"/>
        <w:numPr>
          <w:ilvl w:val="0"/>
          <w:numId w:val="5"/>
        </w:numPr>
        <w:spacing w:after="0" w:line="240" w:lineRule="auto"/>
        <w:rPr>
          <w:rFonts w:ascii="Arial" w:hAnsi="Arial" w:cs="Arial"/>
          <w:sz w:val="20"/>
        </w:rPr>
      </w:pPr>
      <w:r>
        <w:rPr>
          <w:rFonts w:ascii="Arial" w:hAnsi="Arial" w:cs="Arial"/>
          <w:sz w:val="20"/>
        </w:rPr>
        <w:t xml:space="preserve">In de eerste plaats moet het </w:t>
      </w:r>
      <w:r w:rsidRPr="00725B40">
        <w:rPr>
          <w:rFonts w:ascii="Arial" w:hAnsi="Arial" w:cs="Arial"/>
          <w:i/>
          <w:iCs/>
          <w:sz w:val="20"/>
        </w:rPr>
        <w:t>PFMO gewoon doorwerken</w:t>
      </w:r>
      <w:r w:rsidR="00725B40">
        <w:rPr>
          <w:rFonts w:ascii="Arial" w:hAnsi="Arial" w:cs="Arial"/>
          <w:sz w:val="20"/>
        </w:rPr>
        <w:t xml:space="preserve">. Als we </w:t>
      </w:r>
      <w:r w:rsidR="00725B40" w:rsidRPr="00443AF4">
        <w:rPr>
          <w:rFonts w:ascii="Arial" w:hAnsi="Arial" w:cs="Arial"/>
          <w:sz w:val="20"/>
        </w:rPr>
        <w:t>de periode 2017-2019</w:t>
      </w:r>
      <w:r w:rsidR="00725B40" w:rsidRPr="00443AF4">
        <w:rPr>
          <w:rStyle w:val="FootnoteReference"/>
          <w:rFonts w:ascii="Arial" w:hAnsi="Arial" w:cs="Arial"/>
          <w:sz w:val="20"/>
        </w:rPr>
        <w:footnoteReference w:id="17"/>
      </w:r>
      <w:r w:rsidR="00725B40">
        <w:rPr>
          <w:rFonts w:ascii="Arial" w:hAnsi="Arial" w:cs="Arial"/>
          <w:sz w:val="20"/>
        </w:rPr>
        <w:t xml:space="preserve"> als referentie nemen, leidt dit op twee jaar tot een afbouw van de achterstand van </w:t>
      </w:r>
      <w:r w:rsidR="00725B40" w:rsidRPr="00725B40">
        <w:rPr>
          <w:rFonts w:ascii="Arial" w:hAnsi="Arial" w:cs="Arial"/>
          <w:i/>
          <w:iCs/>
          <w:sz w:val="20"/>
        </w:rPr>
        <w:t>244 dossiers</w:t>
      </w:r>
      <w:r w:rsidR="00725B40">
        <w:rPr>
          <w:rFonts w:ascii="Arial" w:hAnsi="Arial" w:cs="Arial"/>
          <w:sz w:val="20"/>
        </w:rPr>
        <w:t xml:space="preserve"> (</w:t>
      </w:r>
      <w:r w:rsidR="00725B40" w:rsidRPr="00443AF4">
        <w:rPr>
          <w:rFonts w:ascii="Arial" w:hAnsi="Arial" w:cs="Arial"/>
          <w:sz w:val="20"/>
        </w:rPr>
        <w:t xml:space="preserve">gemiddelde uitstroom van 606 dossiers </w:t>
      </w:r>
      <w:r w:rsidR="00725B40">
        <w:rPr>
          <w:rFonts w:ascii="Arial" w:hAnsi="Arial" w:cs="Arial"/>
          <w:sz w:val="20"/>
        </w:rPr>
        <w:t>tegen</w:t>
      </w:r>
      <w:r w:rsidR="00725B40" w:rsidRPr="00443AF4">
        <w:rPr>
          <w:rFonts w:ascii="Arial" w:hAnsi="Arial" w:cs="Arial"/>
          <w:sz w:val="20"/>
        </w:rPr>
        <w:t xml:space="preserve"> een gemiddelde instroom van 484 dossiers, dus een jaarlijkse afbouw van achterstand van gemiddeld 122 dossiers</w:t>
      </w:r>
      <w:r w:rsidR="00725B40">
        <w:rPr>
          <w:rFonts w:ascii="Arial" w:hAnsi="Arial" w:cs="Arial"/>
          <w:sz w:val="20"/>
        </w:rPr>
        <w:t>)</w:t>
      </w:r>
      <w:r w:rsidR="00725B40" w:rsidRPr="00443AF4">
        <w:rPr>
          <w:rFonts w:ascii="Arial" w:hAnsi="Arial" w:cs="Arial"/>
          <w:sz w:val="20"/>
        </w:rPr>
        <w:t>.</w:t>
      </w:r>
      <w:r w:rsidR="008F07AA">
        <w:rPr>
          <w:rFonts w:ascii="Arial" w:hAnsi="Arial" w:cs="Arial"/>
          <w:sz w:val="20"/>
        </w:rPr>
        <w:t xml:space="preserve"> </w:t>
      </w:r>
      <w:r w:rsidR="00C35C11">
        <w:rPr>
          <w:rFonts w:ascii="Arial" w:hAnsi="Arial" w:cs="Arial"/>
          <w:sz w:val="20"/>
        </w:rPr>
        <w:t>Met de nieuwe manier van werken kan dit</w:t>
      </w:r>
      <w:r w:rsidR="008F07AA">
        <w:rPr>
          <w:rFonts w:ascii="Arial" w:hAnsi="Arial" w:cs="Arial"/>
          <w:sz w:val="20"/>
        </w:rPr>
        <w:t xml:space="preserve"> </w:t>
      </w:r>
      <w:r w:rsidR="00C35C11">
        <w:rPr>
          <w:rFonts w:ascii="Arial" w:hAnsi="Arial" w:cs="Arial"/>
          <w:sz w:val="20"/>
        </w:rPr>
        <w:t xml:space="preserve">verhoogd worden </w:t>
      </w:r>
      <w:r w:rsidR="00297AFD">
        <w:rPr>
          <w:rFonts w:ascii="Arial" w:hAnsi="Arial" w:cs="Arial"/>
          <w:sz w:val="20"/>
        </w:rPr>
        <w:t>tot</w:t>
      </w:r>
      <w:r w:rsidR="00C35C11">
        <w:rPr>
          <w:rFonts w:ascii="Arial" w:hAnsi="Arial" w:cs="Arial"/>
          <w:sz w:val="20"/>
        </w:rPr>
        <w:t xml:space="preserve"> 146 per jaar of 292 voor 2 jaar. </w:t>
      </w:r>
    </w:p>
    <w:p w:rsidR="008F07AA" w:rsidRPr="00306784" w:rsidRDefault="008F07AA">
      <w:pPr>
        <w:pStyle w:val="ListParagraph"/>
        <w:numPr>
          <w:ilvl w:val="0"/>
          <w:numId w:val="5"/>
        </w:numPr>
        <w:spacing w:after="0" w:line="240" w:lineRule="auto"/>
        <w:rPr>
          <w:rFonts w:ascii="Arial" w:hAnsi="Arial" w:cs="Arial"/>
          <w:sz w:val="20"/>
        </w:rPr>
      </w:pPr>
      <w:r w:rsidRPr="006F1032">
        <w:rPr>
          <w:rFonts w:ascii="Arial" w:hAnsi="Arial" w:cs="Arial"/>
          <w:sz w:val="20"/>
        </w:rPr>
        <w:t xml:space="preserve">De </w:t>
      </w:r>
      <w:proofErr w:type="spellStart"/>
      <w:r w:rsidRPr="00635A06">
        <w:rPr>
          <w:rFonts w:ascii="Arial" w:hAnsi="Arial" w:cs="Arial"/>
          <w:i/>
          <w:iCs/>
          <w:sz w:val="20"/>
          <w:u w:val="single"/>
        </w:rPr>
        <w:t>Task</w:t>
      </w:r>
      <w:proofErr w:type="spellEnd"/>
      <w:r w:rsidRPr="00635A06">
        <w:rPr>
          <w:rFonts w:ascii="Arial" w:hAnsi="Arial" w:cs="Arial"/>
          <w:i/>
          <w:iCs/>
          <w:sz w:val="20"/>
          <w:u w:val="single"/>
        </w:rPr>
        <w:t xml:space="preserve"> Force</w:t>
      </w:r>
      <w:r w:rsidRPr="006F1032">
        <w:rPr>
          <w:rFonts w:ascii="Arial" w:hAnsi="Arial" w:cs="Arial"/>
          <w:sz w:val="20"/>
        </w:rPr>
        <w:t xml:space="preserve"> moet dus h</w:t>
      </w:r>
      <w:r w:rsidR="00725B40" w:rsidRPr="00306784">
        <w:rPr>
          <w:rFonts w:ascii="Arial" w:hAnsi="Arial" w:cs="Arial"/>
          <w:sz w:val="20"/>
        </w:rPr>
        <w:t xml:space="preserve">et </w:t>
      </w:r>
      <w:r w:rsidR="00725B40" w:rsidRPr="00F6115D">
        <w:rPr>
          <w:rFonts w:ascii="Arial" w:hAnsi="Arial" w:cs="Arial"/>
          <w:sz w:val="20"/>
        </w:rPr>
        <w:t>resterende aanta</w:t>
      </w:r>
      <w:r w:rsidR="00A720F0" w:rsidRPr="00F6115D">
        <w:rPr>
          <w:rFonts w:ascii="Arial" w:hAnsi="Arial" w:cs="Arial"/>
          <w:sz w:val="20"/>
        </w:rPr>
        <w:t>l</w:t>
      </w:r>
      <w:r w:rsidR="00725B40" w:rsidRPr="00F6115D">
        <w:rPr>
          <w:rFonts w:ascii="Arial" w:hAnsi="Arial" w:cs="Arial"/>
          <w:sz w:val="20"/>
        </w:rPr>
        <w:t xml:space="preserve"> (1592</w:t>
      </w:r>
      <w:r w:rsidRPr="00306784">
        <w:rPr>
          <w:rFonts w:ascii="Arial" w:hAnsi="Arial" w:cs="Arial"/>
          <w:sz w:val="20"/>
        </w:rPr>
        <w:t xml:space="preserve"> achterstand – </w:t>
      </w:r>
      <w:r w:rsidR="00725B40" w:rsidRPr="00306784">
        <w:rPr>
          <w:rFonts w:ascii="Arial" w:hAnsi="Arial" w:cs="Arial"/>
          <w:sz w:val="20"/>
        </w:rPr>
        <w:t>2</w:t>
      </w:r>
      <w:r w:rsidR="00C35C11" w:rsidRPr="00306784">
        <w:rPr>
          <w:rFonts w:ascii="Arial" w:hAnsi="Arial" w:cs="Arial"/>
          <w:sz w:val="20"/>
        </w:rPr>
        <w:t>92</w:t>
      </w:r>
      <w:r w:rsidRPr="00306784">
        <w:rPr>
          <w:rFonts w:ascii="Arial" w:hAnsi="Arial" w:cs="Arial"/>
          <w:sz w:val="20"/>
        </w:rPr>
        <w:t xml:space="preserve"> voor P</w:t>
      </w:r>
      <w:r w:rsidR="00A935C0">
        <w:rPr>
          <w:rFonts w:ascii="Arial" w:hAnsi="Arial" w:cs="Arial"/>
          <w:sz w:val="20"/>
        </w:rPr>
        <w:t>F</w:t>
      </w:r>
      <w:r w:rsidRPr="00306784">
        <w:rPr>
          <w:rFonts w:ascii="Arial" w:hAnsi="Arial" w:cs="Arial"/>
          <w:sz w:val="20"/>
        </w:rPr>
        <w:t>MO</w:t>
      </w:r>
      <w:r w:rsidR="00725B40" w:rsidRPr="00306784">
        <w:rPr>
          <w:rFonts w:ascii="Arial" w:hAnsi="Arial" w:cs="Arial"/>
          <w:sz w:val="20"/>
        </w:rPr>
        <w:t xml:space="preserve">) </w:t>
      </w:r>
      <w:r w:rsidRPr="00306784">
        <w:rPr>
          <w:rFonts w:ascii="Arial" w:hAnsi="Arial" w:cs="Arial"/>
          <w:sz w:val="20"/>
        </w:rPr>
        <w:t>afhandelen</w:t>
      </w:r>
      <w:r w:rsidR="00A720F0">
        <w:rPr>
          <w:rFonts w:ascii="Arial" w:hAnsi="Arial" w:cs="Arial"/>
          <w:sz w:val="20"/>
        </w:rPr>
        <w:t xml:space="preserve">, zijnde </w:t>
      </w:r>
      <w:r w:rsidR="00A720F0" w:rsidRPr="00635A06">
        <w:rPr>
          <w:rFonts w:ascii="Arial" w:hAnsi="Arial" w:cs="Arial"/>
          <w:i/>
          <w:iCs/>
          <w:sz w:val="20"/>
          <w:u w:val="single"/>
        </w:rPr>
        <w:t>1300 dossiers</w:t>
      </w:r>
      <w:r w:rsidRPr="00306784">
        <w:rPr>
          <w:rFonts w:ascii="Arial" w:hAnsi="Arial" w:cs="Arial"/>
          <w:sz w:val="20"/>
        </w:rPr>
        <w:t>.</w:t>
      </w:r>
      <w:r w:rsidR="00297AFD" w:rsidRPr="00306784">
        <w:rPr>
          <w:rFonts w:ascii="Arial" w:hAnsi="Arial" w:cs="Arial"/>
          <w:sz w:val="20"/>
        </w:rPr>
        <w:t xml:space="preserve"> </w:t>
      </w:r>
    </w:p>
    <w:p w:rsidR="006F1032" w:rsidRDefault="006F1032">
      <w:pPr>
        <w:spacing w:after="0"/>
        <w:jc w:val="left"/>
        <w:rPr>
          <w:rFonts w:cs="Arial"/>
          <w:sz w:val="20"/>
        </w:rPr>
      </w:pPr>
    </w:p>
    <w:p w:rsidR="006F1032" w:rsidRPr="005935BC" w:rsidRDefault="00CD1226" w:rsidP="005935BC">
      <w:pPr>
        <w:pStyle w:val="ListParagraph"/>
        <w:numPr>
          <w:ilvl w:val="0"/>
          <w:numId w:val="39"/>
        </w:numPr>
        <w:pBdr>
          <w:top w:val="single" w:sz="4" w:space="1" w:color="auto"/>
          <w:left w:val="single" w:sz="4" w:space="4" w:color="auto"/>
          <w:bottom w:val="single" w:sz="4" w:space="1" w:color="auto"/>
          <w:right w:val="single" w:sz="4" w:space="4" w:color="auto"/>
        </w:pBdr>
        <w:spacing w:after="0"/>
        <w:rPr>
          <w:rFonts w:ascii="Arial" w:hAnsi="Arial" w:cs="Arial"/>
          <w:b/>
          <w:bCs/>
          <w:sz w:val="20"/>
        </w:rPr>
      </w:pPr>
      <w:r w:rsidRPr="005935BC">
        <w:rPr>
          <w:rFonts w:ascii="Arial" w:hAnsi="Arial" w:cs="Arial"/>
          <w:b/>
          <w:bCs/>
          <w:sz w:val="20"/>
        </w:rPr>
        <w:t xml:space="preserve">Toewijzing </w:t>
      </w:r>
      <w:r w:rsidR="005935BC">
        <w:rPr>
          <w:rFonts w:ascii="Arial" w:hAnsi="Arial" w:cs="Arial"/>
          <w:b/>
          <w:bCs/>
          <w:sz w:val="20"/>
        </w:rPr>
        <w:t>portefeuille</w:t>
      </w:r>
      <w:r w:rsidR="003B2D76" w:rsidRPr="005935BC">
        <w:rPr>
          <w:rFonts w:ascii="Arial" w:hAnsi="Arial" w:cs="Arial"/>
          <w:b/>
          <w:bCs/>
          <w:sz w:val="20"/>
        </w:rPr>
        <w:t xml:space="preserve"> </w:t>
      </w:r>
    </w:p>
    <w:p w:rsidR="006F1032" w:rsidRDefault="006F1032" w:rsidP="006F1032">
      <w:pPr>
        <w:spacing w:after="0"/>
        <w:jc w:val="left"/>
        <w:rPr>
          <w:rFonts w:cs="Arial"/>
          <w:sz w:val="20"/>
        </w:rPr>
      </w:pPr>
    </w:p>
    <w:p w:rsidR="006F1032" w:rsidRDefault="006F1032" w:rsidP="006F1032">
      <w:pPr>
        <w:spacing w:after="0"/>
        <w:jc w:val="left"/>
        <w:rPr>
          <w:rFonts w:cs="Arial"/>
          <w:sz w:val="20"/>
        </w:rPr>
      </w:pPr>
      <w:r>
        <w:rPr>
          <w:rFonts w:cs="Arial"/>
          <w:sz w:val="20"/>
        </w:rPr>
        <w:t xml:space="preserve">Het is essentieel dat de </w:t>
      </w:r>
      <w:proofErr w:type="spellStart"/>
      <w:r w:rsidRPr="007A1A00">
        <w:rPr>
          <w:rFonts w:cs="Arial"/>
          <w:sz w:val="20"/>
          <w:u w:val="single"/>
        </w:rPr>
        <w:t>Task</w:t>
      </w:r>
      <w:proofErr w:type="spellEnd"/>
      <w:r w:rsidRPr="007A1A00">
        <w:rPr>
          <w:rFonts w:cs="Arial"/>
          <w:sz w:val="20"/>
          <w:u w:val="single"/>
        </w:rPr>
        <w:t xml:space="preserve"> Force een scherp afgelijnde eigen werking</w:t>
      </w:r>
      <w:r>
        <w:rPr>
          <w:rFonts w:cs="Arial"/>
          <w:sz w:val="20"/>
          <w:u w:val="single"/>
        </w:rPr>
        <w:t xml:space="preserve"> en accountability</w:t>
      </w:r>
      <w:r>
        <w:rPr>
          <w:rFonts w:cs="Arial"/>
          <w:sz w:val="20"/>
        </w:rPr>
        <w:t xml:space="preserve"> heeft. Dit vraagt een </w:t>
      </w:r>
      <w:r w:rsidRPr="007A1A00">
        <w:rPr>
          <w:rFonts w:cs="Arial"/>
          <w:sz w:val="20"/>
          <w:u w:val="single"/>
        </w:rPr>
        <w:t>welomschreven “portefeuille” van dossiers</w:t>
      </w:r>
      <w:r>
        <w:rPr>
          <w:rFonts w:cs="Arial"/>
          <w:sz w:val="20"/>
        </w:rPr>
        <w:t xml:space="preserve">. </w:t>
      </w:r>
    </w:p>
    <w:p w:rsidR="006F1032" w:rsidRPr="007A1A00" w:rsidRDefault="006F1032" w:rsidP="006F1032">
      <w:pPr>
        <w:pStyle w:val="ListParagraph"/>
        <w:numPr>
          <w:ilvl w:val="0"/>
          <w:numId w:val="33"/>
        </w:numPr>
        <w:spacing w:after="0" w:line="240" w:lineRule="auto"/>
        <w:rPr>
          <w:rFonts w:ascii="Arial" w:hAnsi="Arial" w:cs="Arial"/>
          <w:sz w:val="20"/>
        </w:rPr>
      </w:pPr>
      <w:r w:rsidRPr="007A1A00">
        <w:rPr>
          <w:rFonts w:ascii="Arial" w:hAnsi="Arial" w:cs="Arial"/>
          <w:sz w:val="20"/>
        </w:rPr>
        <w:t xml:space="preserve">Deze dienen ondubbelzinnig toegewezen op basis van </w:t>
      </w:r>
      <w:r w:rsidRPr="007A1A00">
        <w:rPr>
          <w:rFonts w:ascii="Arial" w:hAnsi="Arial" w:cs="Arial"/>
          <w:i/>
          <w:iCs/>
          <w:sz w:val="20"/>
        </w:rPr>
        <w:t>duidelijke criteria</w:t>
      </w:r>
      <w:r w:rsidRPr="007A1A00">
        <w:rPr>
          <w:rFonts w:ascii="Arial" w:hAnsi="Arial" w:cs="Arial"/>
          <w:sz w:val="20"/>
        </w:rPr>
        <w:t>.</w:t>
      </w:r>
    </w:p>
    <w:p w:rsidR="006F1032" w:rsidRDefault="006F1032" w:rsidP="006F1032">
      <w:pPr>
        <w:pStyle w:val="ListParagraph"/>
        <w:numPr>
          <w:ilvl w:val="0"/>
          <w:numId w:val="33"/>
        </w:numPr>
        <w:spacing w:after="0" w:line="240" w:lineRule="auto"/>
        <w:rPr>
          <w:rFonts w:ascii="Arial" w:hAnsi="Arial" w:cs="Arial"/>
          <w:sz w:val="20"/>
        </w:rPr>
      </w:pPr>
      <w:r w:rsidRPr="007A1A00">
        <w:rPr>
          <w:rFonts w:ascii="Arial" w:hAnsi="Arial" w:cs="Arial"/>
          <w:sz w:val="20"/>
        </w:rPr>
        <w:t xml:space="preserve">Dit wordt herkenbaar gemaakt door de toevoeging van het </w:t>
      </w:r>
      <w:r w:rsidRPr="007A1A00">
        <w:rPr>
          <w:rFonts w:ascii="Arial" w:hAnsi="Arial" w:cs="Arial"/>
          <w:i/>
          <w:iCs/>
          <w:sz w:val="20"/>
        </w:rPr>
        <w:t>label “T” in de systemen</w:t>
      </w:r>
      <w:r w:rsidRPr="007A1A00">
        <w:rPr>
          <w:rFonts w:ascii="Arial" w:hAnsi="Arial" w:cs="Arial"/>
          <w:sz w:val="20"/>
        </w:rPr>
        <w:t>. (Net zoals de prioritaire dossiers een “P” krijgen.)</w:t>
      </w:r>
      <w:r w:rsidR="00A11821">
        <w:rPr>
          <w:rFonts w:ascii="Arial" w:hAnsi="Arial" w:cs="Arial"/>
          <w:sz w:val="20"/>
        </w:rPr>
        <w:t xml:space="preserve"> Deze labels </w:t>
      </w:r>
      <w:r w:rsidR="00947408">
        <w:rPr>
          <w:rFonts w:ascii="Arial" w:hAnsi="Arial" w:cs="Arial"/>
          <w:sz w:val="20"/>
        </w:rPr>
        <w:t xml:space="preserve">kunnen en </w:t>
      </w:r>
      <w:r w:rsidR="00A11821">
        <w:rPr>
          <w:rFonts w:ascii="Arial" w:hAnsi="Arial" w:cs="Arial"/>
          <w:sz w:val="20"/>
        </w:rPr>
        <w:t xml:space="preserve">zullen zeer snel </w:t>
      </w:r>
      <w:r w:rsidR="00947408">
        <w:rPr>
          <w:rFonts w:ascii="Arial" w:hAnsi="Arial" w:cs="Arial"/>
          <w:sz w:val="20"/>
        </w:rPr>
        <w:t>worden ingebracht.</w:t>
      </w:r>
    </w:p>
    <w:p w:rsidR="006F1032" w:rsidRDefault="006F1032" w:rsidP="006F1032">
      <w:pPr>
        <w:pStyle w:val="ListParagraph"/>
        <w:numPr>
          <w:ilvl w:val="0"/>
          <w:numId w:val="33"/>
        </w:numPr>
        <w:spacing w:after="0" w:line="240" w:lineRule="auto"/>
        <w:rPr>
          <w:rFonts w:ascii="Arial" w:hAnsi="Arial" w:cs="Arial"/>
          <w:sz w:val="20"/>
        </w:rPr>
      </w:pPr>
      <w:r>
        <w:rPr>
          <w:rFonts w:ascii="Arial" w:hAnsi="Arial" w:cs="Arial"/>
          <w:sz w:val="20"/>
        </w:rPr>
        <w:t xml:space="preserve">Dit </w:t>
      </w:r>
      <w:r w:rsidRPr="007A1A00">
        <w:rPr>
          <w:rFonts w:ascii="Arial" w:hAnsi="Arial" w:cs="Arial"/>
          <w:i/>
          <w:iCs/>
          <w:sz w:val="20"/>
        </w:rPr>
        <w:t>label is permanent</w:t>
      </w:r>
      <w:r>
        <w:rPr>
          <w:rFonts w:ascii="Arial" w:hAnsi="Arial" w:cs="Arial"/>
          <w:sz w:val="20"/>
        </w:rPr>
        <w:t xml:space="preserve"> en kan niet weggenomen worden van dossiers. </w:t>
      </w:r>
    </w:p>
    <w:p w:rsidR="006F1032" w:rsidRPr="00BE1CD2" w:rsidRDefault="006F1032" w:rsidP="00635A06">
      <w:pPr>
        <w:pStyle w:val="ListParagraph"/>
        <w:spacing w:after="0" w:line="240" w:lineRule="auto"/>
        <w:ind w:left="360"/>
        <w:rPr>
          <w:rFonts w:cs="Arial"/>
          <w:sz w:val="20"/>
        </w:rPr>
      </w:pPr>
    </w:p>
    <w:p w:rsidR="006F1032" w:rsidRDefault="006F1032" w:rsidP="006F1032">
      <w:pPr>
        <w:spacing w:after="0"/>
        <w:jc w:val="left"/>
        <w:rPr>
          <w:rFonts w:cs="Arial"/>
          <w:sz w:val="20"/>
        </w:rPr>
      </w:pPr>
      <w:r>
        <w:rPr>
          <w:rFonts w:cs="Arial"/>
          <w:sz w:val="20"/>
        </w:rPr>
        <w:t xml:space="preserve">De </w:t>
      </w:r>
      <w:r w:rsidRPr="007B22BA">
        <w:rPr>
          <w:rFonts w:cs="Arial"/>
          <w:sz w:val="20"/>
          <w:u w:val="single"/>
        </w:rPr>
        <w:t>uitgangspunten</w:t>
      </w:r>
      <w:r>
        <w:rPr>
          <w:rFonts w:cs="Arial"/>
          <w:sz w:val="20"/>
        </w:rPr>
        <w:t xml:space="preserve"> die we hanteren bij de </w:t>
      </w:r>
      <w:r w:rsidRPr="007B22BA">
        <w:rPr>
          <w:rFonts w:cs="Arial"/>
          <w:sz w:val="20"/>
          <w:u w:val="single"/>
        </w:rPr>
        <w:t>samenstelling van de</w:t>
      </w:r>
      <w:r>
        <w:rPr>
          <w:rFonts w:cs="Arial"/>
          <w:sz w:val="20"/>
          <w:u w:val="single"/>
        </w:rPr>
        <w:t xml:space="preserve"> TF-</w:t>
      </w:r>
      <w:r w:rsidRPr="007B22BA">
        <w:rPr>
          <w:rFonts w:cs="Arial"/>
          <w:sz w:val="20"/>
          <w:u w:val="single"/>
        </w:rPr>
        <w:t>portefeuille</w:t>
      </w:r>
      <w:r>
        <w:rPr>
          <w:rFonts w:cs="Arial"/>
          <w:sz w:val="20"/>
        </w:rPr>
        <w:t xml:space="preserve"> zijn de volgende.</w:t>
      </w:r>
    </w:p>
    <w:p w:rsidR="006F1032" w:rsidRPr="005565B1" w:rsidRDefault="006F1032" w:rsidP="006F1032">
      <w:pPr>
        <w:pStyle w:val="ListParagraph"/>
        <w:numPr>
          <w:ilvl w:val="0"/>
          <w:numId w:val="33"/>
        </w:numPr>
        <w:spacing w:after="0" w:line="240" w:lineRule="auto"/>
        <w:rPr>
          <w:rFonts w:ascii="Arial" w:hAnsi="Arial" w:cs="Arial"/>
          <w:sz w:val="20"/>
        </w:rPr>
      </w:pPr>
      <w:r w:rsidRPr="005565B1">
        <w:rPr>
          <w:rFonts w:ascii="Arial" w:hAnsi="Arial" w:cs="Arial"/>
          <w:sz w:val="20"/>
        </w:rPr>
        <w:t xml:space="preserve">Het PFMO legt zich toe op de dossiers </w:t>
      </w:r>
      <w:r w:rsidR="006312FE">
        <w:rPr>
          <w:rFonts w:ascii="Arial" w:hAnsi="Arial" w:cs="Arial"/>
          <w:sz w:val="20"/>
        </w:rPr>
        <w:t xml:space="preserve">met </w:t>
      </w:r>
      <w:r w:rsidRPr="005565B1">
        <w:rPr>
          <w:rFonts w:ascii="Arial" w:hAnsi="Arial" w:cs="Arial"/>
          <w:sz w:val="20"/>
        </w:rPr>
        <w:t xml:space="preserve">instroom </w:t>
      </w:r>
      <w:r w:rsidR="006312FE">
        <w:rPr>
          <w:rFonts w:ascii="Arial" w:hAnsi="Arial" w:cs="Arial"/>
          <w:sz w:val="20"/>
        </w:rPr>
        <w:t xml:space="preserve">vanaf </w:t>
      </w:r>
      <w:r w:rsidRPr="005565B1">
        <w:rPr>
          <w:rFonts w:ascii="Arial" w:hAnsi="Arial" w:cs="Arial"/>
          <w:sz w:val="20"/>
        </w:rPr>
        <w:t xml:space="preserve">2021 plus de </w:t>
      </w:r>
      <w:r>
        <w:rPr>
          <w:rFonts w:ascii="Arial" w:hAnsi="Arial" w:cs="Arial"/>
          <w:sz w:val="20"/>
        </w:rPr>
        <w:t xml:space="preserve">dossiers van de voorgaande jaren </w:t>
      </w:r>
      <w:r w:rsidRPr="005565B1">
        <w:rPr>
          <w:rFonts w:ascii="Arial" w:hAnsi="Arial" w:cs="Arial"/>
          <w:sz w:val="20"/>
        </w:rPr>
        <w:t>die dicht bij een eindpunt zitten</w:t>
      </w:r>
    </w:p>
    <w:p w:rsidR="006F1032" w:rsidRPr="005565B1" w:rsidRDefault="006F1032" w:rsidP="006F1032">
      <w:pPr>
        <w:pStyle w:val="ListParagraph"/>
        <w:numPr>
          <w:ilvl w:val="0"/>
          <w:numId w:val="33"/>
        </w:numPr>
        <w:spacing w:after="0" w:line="240" w:lineRule="auto"/>
        <w:rPr>
          <w:rFonts w:ascii="Arial" w:hAnsi="Arial" w:cs="Arial"/>
          <w:sz w:val="20"/>
        </w:rPr>
      </w:pPr>
      <w:r w:rsidRPr="005565B1">
        <w:rPr>
          <w:rFonts w:ascii="Arial" w:hAnsi="Arial" w:cs="Arial"/>
          <w:sz w:val="20"/>
        </w:rPr>
        <w:lastRenderedPageBreak/>
        <w:t>Bij de verdeling van de dossiers tussen de TF en het PFMO dient in acht genomen dat voldoende opdrachten bij het PFMO blijven.</w:t>
      </w:r>
    </w:p>
    <w:p w:rsidR="006F1032" w:rsidRPr="005565B1" w:rsidRDefault="006F1032" w:rsidP="006F1032">
      <w:pPr>
        <w:pStyle w:val="ListParagraph"/>
        <w:numPr>
          <w:ilvl w:val="0"/>
          <w:numId w:val="33"/>
        </w:numPr>
        <w:spacing w:after="0" w:line="240" w:lineRule="auto"/>
        <w:rPr>
          <w:rFonts w:ascii="Arial" w:hAnsi="Arial" w:cs="Arial"/>
          <w:sz w:val="20"/>
        </w:rPr>
      </w:pPr>
      <w:r w:rsidRPr="005565B1">
        <w:rPr>
          <w:rFonts w:ascii="Arial" w:hAnsi="Arial" w:cs="Arial"/>
          <w:sz w:val="20"/>
        </w:rPr>
        <w:t xml:space="preserve">Er moet rekening gehouden </w:t>
      </w:r>
      <w:r>
        <w:rPr>
          <w:rFonts w:ascii="Arial" w:hAnsi="Arial" w:cs="Arial"/>
          <w:sz w:val="20"/>
        </w:rPr>
        <w:t xml:space="preserve">worden </w:t>
      </w:r>
      <w:r w:rsidRPr="005565B1">
        <w:rPr>
          <w:rFonts w:ascii="Arial" w:hAnsi="Arial" w:cs="Arial"/>
          <w:sz w:val="20"/>
        </w:rPr>
        <w:t>met een opstartfase van de TF.</w:t>
      </w:r>
    </w:p>
    <w:p w:rsidR="006F1032" w:rsidRDefault="006F1032" w:rsidP="006F1032">
      <w:pPr>
        <w:spacing w:after="0"/>
        <w:jc w:val="left"/>
        <w:rPr>
          <w:rFonts w:cs="Arial"/>
          <w:sz w:val="20"/>
        </w:rPr>
      </w:pPr>
    </w:p>
    <w:p w:rsidR="006312FE" w:rsidRDefault="006312FE" w:rsidP="006F1032">
      <w:pPr>
        <w:spacing w:after="0"/>
        <w:jc w:val="left"/>
        <w:rPr>
          <w:rFonts w:cs="Arial"/>
          <w:sz w:val="20"/>
        </w:rPr>
      </w:pPr>
      <w:r>
        <w:rPr>
          <w:rFonts w:cs="Arial"/>
          <w:sz w:val="20"/>
        </w:rPr>
        <w:t>Voor de concrete samenstelling van de portefeuille vertrekken we van de volgende tabel</w:t>
      </w:r>
      <w:r>
        <w:rPr>
          <w:rStyle w:val="FootnoteReference"/>
          <w:rFonts w:cs="Arial"/>
          <w:sz w:val="20"/>
        </w:rPr>
        <w:footnoteReference w:id="18"/>
      </w:r>
    </w:p>
    <w:p w:rsidR="006312FE" w:rsidRDefault="006312FE" w:rsidP="006F1032">
      <w:pPr>
        <w:spacing w:after="0"/>
        <w:jc w:val="left"/>
        <w:rPr>
          <w:rFonts w:cs="Arial"/>
          <w:sz w:val="20"/>
        </w:rPr>
      </w:pPr>
    </w:p>
    <w:p w:rsidR="006312FE" w:rsidRDefault="00D43042" w:rsidP="006F1032">
      <w:pPr>
        <w:spacing w:after="0"/>
        <w:jc w:val="left"/>
        <w:rPr>
          <w:rFonts w:cs="Arial"/>
          <w:sz w:val="20"/>
        </w:rPr>
      </w:pPr>
      <w:r w:rsidRPr="00D43042">
        <w:rPr>
          <w:noProof/>
          <w:lang w:val="en-GB" w:eastAsia="en-GB"/>
        </w:rPr>
        <w:drawing>
          <wp:inline distT="0" distB="0" distL="0" distR="0" wp14:anchorId="13E4BD9E" wp14:editId="494B156A">
            <wp:extent cx="9157970" cy="4051300"/>
            <wp:effectExtent l="0" t="0" r="508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7970" cy="4051300"/>
                    </a:xfrm>
                    <a:prstGeom prst="rect">
                      <a:avLst/>
                    </a:prstGeom>
                    <a:noFill/>
                    <a:ln>
                      <a:noFill/>
                    </a:ln>
                  </pic:spPr>
                </pic:pic>
              </a:graphicData>
            </a:graphic>
          </wp:inline>
        </w:drawing>
      </w:r>
    </w:p>
    <w:p w:rsidR="006312FE" w:rsidRDefault="006312FE" w:rsidP="006F1032">
      <w:pPr>
        <w:spacing w:after="0"/>
        <w:jc w:val="left"/>
        <w:rPr>
          <w:rFonts w:cs="Arial"/>
          <w:sz w:val="20"/>
        </w:rPr>
      </w:pPr>
    </w:p>
    <w:p w:rsidR="006312FE" w:rsidRDefault="006312FE" w:rsidP="006F1032">
      <w:pPr>
        <w:spacing w:after="0"/>
        <w:jc w:val="left"/>
        <w:rPr>
          <w:rFonts w:cs="Arial"/>
          <w:sz w:val="20"/>
        </w:rPr>
      </w:pPr>
    </w:p>
    <w:p w:rsidR="006F1032" w:rsidRDefault="006F1032" w:rsidP="006F1032">
      <w:pPr>
        <w:spacing w:after="0"/>
        <w:jc w:val="left"/>
        <w:rPr>
          <w:rFonts w:cs="Arial"/>
          <w:sz w:val="20"/>
        </w:rPr>
      </w:pPr>
      <w:r>
        <w:rPr>
          <w:rFonts w:cs="Arial"/>
          <w:sz w:val="20"/>
        </w:rPr>
        <w:t>Uitgaande van de</w:t>
      </w:r>
      <w:r w:rsidR="006312FE">
        <w:rPr>
          <w:rFonts w:cs="Arial"/>
          <w:sz w:val="20"/>
        </w:rPr>
        <w:t>ze</w:t>
      </w:r>
      <w:r>
        <w:rPr>
          <w:rFonts w:cs="Arial"/>
          <w:sz w:val="20"/>
        </w:rPr>
        <w:t xml:space="preserve"> </w:t>
      </w:r>
      <w:r w:rsidRPr="008C0D6F">
        <w:rPr>
          <w:rFonts w:cs="Arial"/>
          <w:sz w:val="20"/>
          <w:u w:val="single"/>
        </w:rPr>
        <w:t>tabel</w:t>
      </w:r>
      <w:r>
        <w:rPr>
          <w:rFonts w:cs="Arial"/>
          <w:sz w:val="20"/>
        </w:rPr>
        <w:t xml:space="preserve"> worden </w:t>
      </w:r>
      <w:r>
        <w:rPr>
          <w:rFonts w:cs="Arial"/>
          <w:sz w:val="20"/>
          <w:u w:val="single"/>
        </w:rPr>
        <w:t>concreet in principe v</w:t>
      </w:r>
      <w:r w:rsidRPr="007E54C1">
        <w:rPr>
          <w:rFonts w:cs="Arial"/>
          <w:sz w:val="20"/>
          <w:u w:val="single"/>
        </w:rPr>
        <w:t>olgende dossiers toegewezen aan de TF</w:t>
      </w:r>
      <w:r>
        <w:rPr>
          <w:rFonts w:cs="Arial"/>
          <w:sz w:val="20"/>
        </w:rPr>
        <w:t>:</w:t>
      </w:r>
    </w:p>
    <w:p w:rsidR="006F1032" w:rsidRDefault="006F1032" w:rsidP="006F1032">
      <w:pPr>
        <w:pStyle w:val="ListParagraph"/>
        <w:numPr>
          <w:ilvl w:val="0"/>
          <w:numId w:val="33"/>
        </w:numPr>
        <w:spacing w:after="0" w:line="240" w:lineRule="auto"/>
        <w:rPr>
          <w:rFonts w:ascii="Arial" w:hAnsi="Arial" w:cs="Arial"/>
          <w:sz w:val="20"/>
        </w:rPr>
      </w:pPr>
      <w:r w:rsidRPr="008C0D6F">
        <w:rPr>
          <w:rFonts w:ascii="Arial" w:hAnsi="Arial" w:cs="Arial"/>
          <w:sz w:val="20"/>
        </w:rPr>
        <w:t>alle dossiers tot en met instroom 2020 waarvoor de interne Medische Analyse nog te doen is (dus kolommen O+A+B</w:t>
      </w:r>
      <w:r>
        <w:rPr>
          <w:rFonts w:ascii="Arial" w:hAnsi="Arial" w:cs="Arial"/>
          <w:sz w:val="20"/>
        </w:rPr>
        <w:t>,</w:t>
      </w:r>
      <w:r w:rsidRPr="008C0D6F">
        <w:rPr>
          <w:rFonts w:ascii="Arial" w:hAnsi="Arial" w:cs="Arial"/>
          <w:sz w:val="20"/>
        </w:rPr>
        <w:t xml:space="preserve"> samen 1186) plus</w:t>
      </w:r>
    </w:p>
    <w:p w:rsidR="006F1032" w:rsidRDefault="006F1032" w:rsidP="006F1032">
      <w:pPr>
        <w:pStyle w:val="ListParagraph"/>
        <w:numPr>
          <w:ilvl w:val="0"/>
          <w:numId w:val="33"/>
        </w:numPr>
        <w:spacing w:after="0" w:line="240" w:lineRule="auto"/>
        <w:rPr>
          <w:rFonts w:ascii="Arial" w:hAnsi="Arial" w:cs="Arial"/>
          <w:sz w:val="20"/>
        </w:rPr>
      </w:pPr>
      <w:r w:rsidRPr="008C0D6F">
        <w:rPr>
          <w:rFonts w:ascii="Arial" w:hAnsi="Arial" w:cs="Arial"/>
          <w:sz w:val="20"/>
        </w:rPr>
        <w:t>alle dossiers tot en met instroom 201</w:t>
      </w:r>
      <w:r>
        <w:rPr>
          <w:rFonts w:ascii="Arial" w:hAnsi="Arial" w:cs="Arial"/>
          <w:sz w:val="20"/>
        </w:rPr>
        <w:t>5</w:t>
      </w:r>
      <w:r w:rsidRPr="008C0D6F">
        <w:rPr>
          <w:rFonts w:ascii="Arial" w:hAnsi="Arial" w:cs="Arial"/>
          <w:sz w:val="20"/>
        </w:rPr>
        <w:t xml:space="preserve"> waarvan het eindrapport van de expertise nog te ontvangen </w:t>
      </w:r>
      <w:r>
        <w:rPr>
          <w:rFonts w:ascii="Arial" w:hAnsi="Arial" w:cs="Arial"/>
          <w:sz w:val="20"/>
        </w:rPr>
        <w:t xml:space="preserve">is </w:t>
      </w:r>
      <w:r w:rsidRPr="008C0D6F">
        <w:rPr>
          <w:rFonts w:ascii="Arial" w:hAnsi="Arial" w:cs="Arial"/>
          <w:sz w:val="20"/>
        </w:rPr>
        <w:t>(dus kol</w:t>
      </w:r>
      <w:r>
        <w:rPr>
          <w:rFonts w:ascii="Arial" w:hAnsi="Arial" w:cs="Arial"/>
          <w:sz w:val="20"/>
        </w:rPr>
        <w:t>o</w:t>
      </w:r>
      <w:r w:rsidRPr="008C0D6F">
        <w:rPr>
          <w:rFonts w:ascii="Arial" w:hAnsi="Arial" w:cs="Arial"/>
          <w:sz w:val="20"/>
        </w:rPr>
        <w:t>mmen C+D</w:t>
      </w:r>
      <w:r>
        <w:rPr>
          <w:rFonts w:ascii="Arial" w:hAnsi="Arial" w:cs="Arial"/>
          <w:sz w:val="20"/>
        </w:rPr>
        <w:t>,</w:t>
      </w:r>
      <w:r w:rsidRPr="008C0D6F">
        <w:rPr>
          <w:rFonts w:ascii="Arial" w:hAnsi="Arial" w:cs="Arial"/>
          <w:sz w:val="20"/>
        </w:rPr>
        <w:t xml:space="preserve"> samen </w:t>
      </w:r>
      <w:r>
        <w:rPr>
          <w:rFonts w:ascii="Arial" w:hAnsi="Arial" w:cs="Arial"/>
          <w:sz w:val="20"/>
        </w:rPr>
        <w:t>120</w:t>
      </w:r>
      <w:r w:rsidRPr="008C0D6F">
        <w:rPr>
          <w:rFonts w:ascii="Arial" w:hAnsi="Arial" w:cs="Arial"/>
          <w:sz w:val="20"/>
        </w:rPr>
        <w:t xml:space="preserve">). </w:t>
      </w:r>
    </w:p>
    <w:p w:rsidR="006F1032" w:rsidRDefault="006F1032" w:rsidP="006F1032">
      <w:pPr>
        <w:spacing w:after="0"/>
        <w:jc w:val="left"/>
        <w:rPr>
          <w:rFonts w:cs="Arial"/>
          <w:sz w:val="20"/>
        </w:rPr>
      </w:pPr>
    </w:p>
    <w:p w:rsidR="006F1032" w:rsidRDefault="006F1032" w:rsidP="006F1032">
      <w:pPr>
        <w:spacing w:after="0"/>
        <w:jc w:val="left"/>
        <w:rPr>
          <w:rFonts w:cs="Arial"/>
          <w:sz w:val="20"/>
        </w:rPr>
      </w:pPr>
      <w:r w:rsidRPr="007E54C1">
        <w:rPr>
          <w:rFonts w:cs="Arial"/>
          <w:sz w:val="20"/>
        </w:rPr>
        <w:t xml:space="preserve">Dat </w:t>
      </w:r>
      <w:r>
        <w:rPr>
          <w:rFonts w:cs="Arial"/>
          <w:sz w:val="20"/>
        </w:rPr>
        <w:t>zijn</w:t>
      </w:r>
      <w:r w:rsidRPr="007E54C1">
        <w:rPr>
          <w:rFonts w:cs="Arial"/>
          <w:sz w:val="20"/>
        </w:rPr>
        <w:t xml:space="preserve"> </w:t>
      </w:r>
      <w:r w:rsidRPr="00C017C6">
        <w:rPr>
          <w:rFonts w:cs="Arial"/>
          <w:sz w:val="20"/>
        </w:rPr>
        <w:t>in totaal 1306 dossiers</w:t>
      </w:r>
      <w:r>
        <w:rPr>
          <w:rFonts w:cs="Arial"/>
          <w:sz w:val="20"/>
        </w:rPr>
        <w:t>. Hiervan dienen nog 7 prioritaire dossiers afgetrokken</w:t>
      </w:r>
      <w:r w:rsidR="006312FE">
        <w:rPr>
          <w:rFonts w:cs="Arial"/>
          <w:sz w:val="20"/>
        </w:rPr>
        <w:t xml:space="preserve"> (die worden steeds toegewezen aan de PFMO)</w:t>
      </w:r>
      <w:r>
        <w:rPr>
          <w:rFonts w:cs="Arial"/>
          <w:sz w:val="20"/>
        </w:rPr>
        <w:t xml:space="preserve">, waardoor we aan </w:t>
      </w:r>
      <w:r w:rsidRPr="00C017C6">
        <w:rPr>
          <w:rFonts w:cs="Arial"/>
          <w:sz w:val="20"/>
          <w:u w:val="single"/>
        </w:rPr>
        <w:t>1299 dossiers</w:t>
      </w:r>
      <w:r>
        <w:rPr>
          <w:rFonts w:cs="Arial"/>
          <w:sz w:val="20"/>
        </w:rPr>
        <w:t xml:space="preserve"> komen. (Voor de berekening van de resources in bijlage 5.</w:t>
      </w:r>
      <w:r w:rsidR="004C6040">
        <w:rPr>
          <w:rFonts w:cs="Arial"/>
          <w:sz w:val="20"/>
        </w:rPr>
        <w:t>2</w:t>
      </w:r>
      <w:r>
        <w:rPr>
          <w:rFonts w:cs="Arial"/>
          <w:sz w:val="20"/>
        </w:rPr>
        <w:t xml:space="preserve"> zijn we blijven uitgaan van 1306. Dat is het cijfer uit de </w:t>
      </w:r>
      <w:r w:rsidR="006740DA">
        <w:rPr>
          <w:rFonts w:cs="Arial"/>
          <w:sz w:val="20"/>
        </w:rPr>
        <w:t xml:space="preserve">tabel </w:t>
      </w:r>
      <w:r w:rsidR="006312FE">
        <w:rPr>
          <w:rFonts w:cs="Arial"/>
          <w:sz w:val="20"/>
        </w:rPr>
        <w:t>hierboven</w:t>
      </w:r>
      <w:r>
        <w:rPr>
          <w:rFonts w:cs="Arial"/>
          <w:sz w:val="20"/>
        </w:rPr>
        <w:t xml:space="preserve"> en het verschil is verwaarloosbaar.)</w:t>
      </w:r>
    </w:p>
    <w:p w:rsidR="006F1032" w:rsidRDefault="006F1032">
      <w:pPr>
        <w:spacing w:after="0"/>
        <w:jc w:val="left"/>
        <w:rPr>
          <w:rFonts w:cs="Arial"/>
          <w:sz w:val="20"/>
        </w:rPr>
      </w:pPr>
    </w:p>
    <w:p w:rsidR="00BB121F" w:rsidRDefault="00BB121F">
      <w:pPr>
        <w:spacing w:after="0"/>
        <w:jc w:val="left"/>
        <w:rPr>
          <w:rFonts w:cs="Arial"/>
          <w:b/>
          <w:spacing w:val="-4"/>
          <w:kern w:val="28"/>
          <w:sz w:val="20"/>
        </w:rPr>
      </w:pPr>
      <w:r>
        <w:rPr>
          <w:rFonts w:cs="Arial"/>
          <w:sz w:val="20"/>
        </w:rPr>
        <w:br w:type="page"/>
      </w:r>
    </w:p>
    <w:p w:rsidR="004A7DBF" w:rsidRPr="006F1032" w:rsidRDefault="004A7DBF" w:rsidP="00306784">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19" w:name="_Toc68955693"/>
      <w:r w:rsidRPr="006F1032">
        <w:rPr>
          <w:rFonts w:cs="Arial"/>
          <w:sz w:val="20"/>
        </w:rPr>
        <w:lastRenderedPageBreak/>
        <w:t>Spreiding in de tijd</w:t>
      </w:r>
      <w:bookmarkEnd w:id="19"/>
    </w:p>
    <w:p w:rsidR="004A7DBF" w:rsidRDefault="004A7DBF" w:rsidP="006E652F">
      <w:pPr>
        <w:spacing w:after="0"/>
        <w:jc w:val="left"/>
        <w:rPr>
          <w:rFonts w:cs="Arial"/>
          <w:sz w:val="20"/>
        </w:rPr>
      </w:pPr>
    </w:p>
    <w:p w:rsidR="006F1032" w:rsidRDefault="006F1032" w:rsidP="006E652F">
      <w:pPr>
        <w:spacing w:after="0"/>
        <w:jc w:val="left"/>
        <w:rPr>
          <w:rFonts w:cs="Arial"/>
          <w:sz w:val="20"/>
        </w:rPr>
      </w:pPr>
      <w:r w:rsidRPr="006F1032">
        <w:rPr>
          <w:noProof/>
          <w:lang w:val="en-GB" w:eastAsia="en-GB"/>
        </w:rPr>
        <w:drawing>
          <wp:inline distT="0" distB="0" distL="0" distR="0" wp14:anchorId="60815421" wp14:editId="5C8560E9">
            <wp:extent cx="9157970" cy="4781550"/>
            <wp:effectExtent l="0" t="0" r="508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57970" cy="4781550"/>
                    </a:xfrm>
                    <a:prstGeom prst="rect">
                      <a:avLst/>
                    </a:prstGeom>
                    <a:noFill/>
                    <a:ln>
                      <a:noFill/>
                    </a:ln>
                  </pic:spPr>
                </pic:pic>
              </a:graphicData>
            </a:graphic>
          </wp:inline>
        </w:drawing>
      </w:r>
    </w:p>
    <w:p w:rsidR="00CA6DB9" w:rsidRDefault="00CA6DB9">
      <w:pPr>
        <w:spacing w:after="0"/>
        <w:jc w:val="left"/>
        <w:rPr>
          <w:rFonts w:cs="Arial"/>
          <w:sz w:val="20"/>
        </w:rPr>
      </w:pPr>
      <w:r>
        <w:rPr>
          <w:rFonts w:cs="Arial"/>
          <w:sz w:val="20"/>
        </w:rPr>
        <w:br w:type="page"/>
      </w:r>
    </w:p>
    <w:p w:rsidR="006F1032" w:rsidRDefault="00306784" w:rsidP="00457F73">
      <w:pPr>
        <w:spacing w:after="0"/>
        <w:jc w:val="left"/>
        <w:rPr>
          <w:rFonts w:cs="Arial"/>
          <w:sz w:val="20"/>
          <w:u w:val="single"/>
        </w:rPr>
      </w:pPr>
      <w:r>
        <w:rPr>
          <w:rFonts w:cs="Arial"/>
          <w:sz w:val="20"/>
        </w:rPr>
        <w:lastRenderedPageBreak/>
        <w:t xml:space="preserve">Bij dit schema dat de </w:t>
      </w:r>
      <w:r w:rsidR="00203FC0">
        <w:rPr>
          <w:rFonts w:cs="Arial"/>
          <w:sz w:val="20"/>
          <w:u w:val="single"/>
        </w:rPr>
        <w:t>spreiding</w:t>
      </w:r>
      <w:r w:rsidRPr="00306784">
        <w:rPr>
          <w:rFonts w:cs="Arial"/>
          <w:sz w:val="20"/>
          <w:u w:val="single"/>
        </w:rPr>
        <w:t xml:space="preserve"> in de tijd</w:t>
      </w:r>
      <w:r>
        <w:rPr>
          <w:rFonts w:cs="Arial"/>
          <w:sz w:val="20"/>
        </w:rPr>
        <w:t xml:space="preserve"> weergeeft zijn er </w:t>
      </w:r>
      <w:r>
        <w:rPr>
          <w:rFonts w:cs="Arial"/>
          <w:sz w:val="20"/>
          <w:u w:val="single"/>
        </w:rPr>
        <w:t>d</w:t>
      </w:r>
      <w:r w:rsidR="006F1032">
        <w:rPr>
          <w:rFonts w:cs="Arial"/>
          <w:sz w:val="20"/>
          <w:u w:val="single"/>
        </w:rPr>
        <w:t>e volgende aandachtspunten.</w:t>
      </w:r>
    </w:p>
    <w:p w:rsidR="005508F8" w:rsidRPr="00326E62" w:rsidRDefault="00346D0F" w:rsidP="00326E62">
      <w:pPr>
        <w:pStyle w:val="ListParagraph"/>
        <w:numPr>
          <w:ilvl w:val="0"/>
          <w:numId w:val="5"/>
        </w:numPr>
        <w:spacing w:after="0" w:line="240" w:lineRule="auto"/>
        <w:rPr>
          <w:rFonts w:ascii="Arial" w:hAnsi="Arial" w:cs="Arial"/>
          <w:sz w:val="20"/>
        </w:rPr>
      </w:pPr>
      <w:r w:rsidRPr="00326E62">
        <w:rPr>
          <w:rFonts w:ascii="Arial" w:hAnsi="Arial" w:cs="Arial"/>
          <w:sz w:val="20"/>
        </w:rPr>
        <w:t xml:space="preserve">Het werk van de artsen </w:t>
      </w:r>
      <w:r w:rsidR="00A02E9F" w:rsidRPr="00326E62">
        <w:rPr>
          <w:rFonts w:ascii="Arial" w:hAnsi="Arial" w:cs="Arial"/>
          <w:sz w:val="20"/>
        </w:rPr>
        <w:t>wordt</w:t>
      </w:r>
      <w:r w:rsidRPr="00326E62">
        <w:rPr>
          <w:rFonts w:ascii="Arial" w:hAnsi="Arial" w:cs="Arial"/>
          <w:sz w:val="20"/>
        </w:rPr>
        <w:t xml:space="preserve"> gerealiseerd in de eerste twee semesters.</w:t>
      </w:r>
      <w:r w:rsidR="00CA6DB9">
        <w:rPr>
          <w:rFonts w:ascii="Arial" w:hAnsi="Arial" w:cs="Arial"/>
          <w:sz w:val="20"/>
        </w:rPr>
        <w:t xml:space="preserve"> (Er worden 10 artsen vermeld omdat we aannemen dat de 5 VTE worden ingevuld door 10 halftijdse artsen.)</w:t>
      </w:r>
    </w:p>
    <w:p w:rsidR="00346D0F" w:rsidRPr="00326E62" w:rsidRDefault="00346D0F" w:rsidP="00326E62">
      <w:pPr>
        <w:pStyle w:val="ListParagraph"/>
        <w:numPr>
          <w:ilvl w:val="0"/>
          <w:numId w:val="5"/>
        </w:numPr>
        <w:spacing w:after="0" w:line="240" w:lineRule="auto"/>
        <w:rPr>
          <w:rFonts w:ascii="Arial" w:hAnsi="Arial" w:cs="Arial"/>
          <w:sz w:val="20"/>
        </w:rPr>
      </w:pPr>
      <w:r w:rsidRPr="00326E62">
        <w:rPr>
          <w:rFonts w:ascii="Arial" w:hAnsi="Arial" w:cs="Arial"/>
          <w:sz w:val="20"/>
        </w:rPr>
        <w:t xml:space="preserve">De administratieve krachten </w:t>
      </w:r>
      <w:r w:rsidR="00A02E9F" w:rsidRPr="00326E62">
        <w:rPr>
          <w:rFonts w:ascii="Arial" w:hAnsi="Arial" w:cs="Arial"/>
          <w:sz w:val="20"/>
        </w:rPr>
        <w:t>gaan</w:t>
      </w:r>
      <w:r w:rsidR="007034BB" w:rsidRPr="00326E62">
        <w:rPr>
          <w:rFonts w:ascii="Arial" w:hAnsi="Arial" w:cs="Arial"/>
          <w:sz w:val="20"/>
        </w:rPr>
        <w:t xml:space="preserve"> </w:t>
      </w:r>
      <w:r w:rsidR="0040657C">
        <w:rPr>
          <w:rFonts w:ascii="Arial" w:hAnsi="Arial" w:cs="Arial"/>
          <w:sz w:val="20"/>
        </w:rPr>
        <w:t>meteen</w:t>
      </w:r>
      <w:r w:rsidR="007034BB" w:rsidRPr="00326E62">
        <w:rPr>
          <w:rFonts w:ascii="Arial" w:hAnsi="Arial" w:cs="Arial"/>
          <w:sz w:val="20"/>
        </w:rPr>
        <w:t xml:space="preserve"> </w:t>
      </w:r>
      <w:r w:rsidRPr="00326E62">
        <w:rPr>
          <w:rFonts w:ascii="Arial" w:hAnsi="Arial" w:cs="Arial"/>
          <w:sz w:val="20"/>
        </w:rPr>
        <w:t xml:space="preserve">de artsen ondersteunen en ook de dossiers </w:t>
      </w:r>
      <w:r w:rsidR="007034BB" w:rsidRPr="00326E62">
        <w:rPr>
          <w:rFonts w:ascii="Arial" w:hAnsi="Arial" w:cs="Arial"/>
          <w:sz w:val="20"/>
        </w:rPr>
        <w:t>met lopende expertises</w:t>
      </w:r>
      <w:r w:rsidR="007946FA" w:rsidRPr="00326E62">
        <w:rPr>
          <w:rFonts w:ascii="Arial" w:hAnsi="Arial" w:cs="Arial"/>
          <w:sz w:val="20"/>
        </w:rPr>
        <w:t xml:space="preserve"> a</w:t>
      </w:r>
      <w:r w:rsidR="00B6167E" w:rsidRPr="00326E62">
        <w:rPr>
          <w:rFonts w:ascii="Arial" w:hAnsi="Arial" w:cs="Arial"/>
          <w:sz w:val="20"/>
        </w:rPr>
        <w:t>ctiveren.</w:t>
      </w:r>
    </w:p>
    <w:p w:rsidR="00A92BF2" w:rsidRPr="00326E62" w:rsidRDefault="00A92BF2" w:rsidP="00326E62">
      <w:pPr>
        <w:pStyle w:val="ListParagraph"/>
        <w:numPr>
          <w:ilvl w:val="0"/>
          <w:numId w:val="5"/>
        </w:numPr>
        <w:spacing w:after="0" w:line="240" w:lineRule="auto"/>
        <w:rPr>
          <w:rFonts w:ascii="Arial" w:hAnsi="Arial" w:cs="Arial"/>
          <w:sz w:val="20"/>
        </w:rPr>
      </w:pPr>
      <w:r w:rsidRPr="00326E62">
        <w:rPr>
          <w:rFonts w:ascii="Arial" w:hAnsi="Arial" w:cs="Arial"/>
          <w:sz w:val="20"/>
        </w:rPr>
        <w:t xml:space="preserve">De externe expertises </w:t>
      </w:r>
      <w:r w:rsidR="0040657C">
        <w:rPr>
          <w:rFonts w:ascii="Arial" w:hAnsi="Arial" w:cs="Arial"/>
          <w:sz w:val="20"/>
        </w:rPr>
        <w:t>worden</w:t>
      </w:r>
      <w:r w:rsidRPr="00326E62">
        <w:rPr>
          <w:rFonts w:ascii="Arial" w:hAnsi="Arial" w:cs="Arial"/>
          <w:sz w:val="20"/>
        </w:rPr>
        <w:t xml:space="preserve"> binnen een redelijke termijn afgesloten.</w:t>
      </w:r>
      <w:r w:rsidR="00914AAF">
        <w:rPr>
          <w:rStyle w:val="FootnoteReference"/>
          <w:rFonts w:ascii="Arial" w:hAnsi="Arial" w:cs="Arial"/>
          <w:sz w:val="20"/>
        </w:rPr>
        <w:footnoteReference w:id="19"/>
      </w:r>
      <w:r w:rsidRPr="00326E62">
        <w:rPr>
          <w:rFonts w:ascii="Arial" w:hAnsi="Arial" w:cs="Arial"/>
          <w:sz w:val="20"/>
        </w:rPr>
        <w:t xml:space="preserve"> De administratieve krachten moeten dit opvolgen.</w:t>
      </w:r>
    </w:p>
    <w:p w:rsidR="00A92BF2" w:rsidRPr="00326E62" w:rsidRDefault="00A92BF2" w:rsidP="00326E62">
      <w:pPr>
        <w:pStyle w:val="ListParagraph"/>
        <w:numPr>
          <w:ilvl w:val="0"/>
          <w:numId w:val="5"/>
        </w:numPr>
        <w:spacing w:after="0" w:line="240" w:lineRule="auto"/>
        <w:rPr>
          <w:rFonts w:ascii="Arial" w:hAnsi="Arial" w:cs="Arial"/>
          <w:sz w:val="20"/>
        </w:rPr>
      </w:pPr>
      <w:r w:rsidRPr="00326E62">
        <w:rPr>
          <w:rFonts w:ascii="Arial" w:hAnsi="Arial" w:cs="Arial"/>
          <w:sz w:val="20"/>
        </w:rPr>
        <w:t xml:space="preserve">De </w:t>
      </w:r>
      <w:r w:rsidR="00A02E9F" w:rsidRPr="00326E62">
        <w:rPr>
          <w:rFonts w:ascii="Arial" w:hAnsi="Arial" w:cs="Arial"/>
          <w:sz w:val="20"/>
        </w:rPr>
        <w:t xml:space="preserve">finale </w:t>
      </w:r>
      <w:r w:rsidRPr="00326E62">
        <w:rPr>
          <w:rFonts w:ascii="Arial" w:hAnsi="Arial" w:cs="Arial"/>
          <w:sz w:val="20"/>
        </w:rPr>
        <w:t xml:space="preserve">adviezen </w:t>
      </w:r>
      <w:r w:rsidR="005A5D65">
        <w:rPr>
          <w:rFonts w:ascii="Arial" w:hAnsi="Arial" w:cs="Arial"/>
          <w:sz w:val="20"/>
        </w:rPr>
        <w:t xml:space="preserve">moeten door de juristen </w:t>
      </w:r>
      <w:r w:rsidR="004D2305">
        <w:rPr>
          <w:rFonts w:ascii="Arial" w:hAnsi="Arial" w:cs="Arial"/>
          <w:sz w:val="20"/>
        </w:rPr>
        <w:t xml:space="preserve">snel </w:t>
      </w:r>
      <w:r w:rsidR="005A5D65">
        <w:rPr>
          <w:rFonts w:ascii="Arial" w:hAnsi="Arial" w:cs="Arial"/>
          <w:sz w:val="20"/>
        </w:rPr>
        <w:t>gemaakt worden</w:t>
      </w:r>
      <w:r w:rsidR="004D2305">
        <w:rPr>
          <w:rFonts w:ascii="Arial" w:hAnsi="Arial" w:cs="Arial"/>
          <w:sz w:val="20"/>
        </w:rPr>
        <w:t xml:space="preserve">, </w:t>
      </w:r>
      <w:proofErr w:type="spellStart"/>
      <w:r w:rsidR="004D2305">
        <w:rPr>
          <w:rFonts w:ascii="Arial" w:hAnsi="Arial" w:cs="Arial"/>
          <w:sz w:val="20"/>
        </w:rPr>
        <w:t>dwz</w:t>
      </w:r>
      <w:proofErr w:type="spellEnd"/>
      <w:r w:rsidR="004D2305">
        <w:rPr>
          <w:rFonts w:ascii="Arial" w:hAnsi="Arial" w:cs="Arial"/>
          <w:sz w:val="20"/>
        </w:rPr>
        <w:t xml:space="preserve"> oplevering maximaal twee maanden na ontvangst van </w:t>
      </w:r>
      <w:r w:rsidRPr="00326E62">
        <w:rPr>
          <w:rFonts w:ascii="Arial" w:hAnsi="Arial" w:cs="Arial"/>
          <w:sz w:val="20"/>
        </w:rPr>
        <w:t xml:space="preserve">de </w:t>
      </w:r>
      <w:r w:rsidR="00A02E9F" w:rsidRPr="00326E62">
        <w:rPr>
          <w:rFonts w:ascii="Arial" w:hAnsi="Arial" w:cs="Arial"/>
          <w:sz w:val="20"/>
        </w:rPr>
        <w:t xml:space="preserve">medische </w:t>
      </w:r>
      <w:r w:rsidRPr="00326E62">
        <w:rPr>
          <w:rFonts w:ascii="Arial" w:hAnsi="Arial" w:cs="Arial"/>
          <w:sz w:val="20"/>
        </w:rPr>
        <w:t>expertises</w:t>
      </w:r>
      <w:r w:rsidR="004D2305">
        <w:rPr>
          <w:rFonts w:ascii="Arial" w:hAnsi="Arial" w:cs="Arial"/>
          <w:sz w:val="20"/>
        </w:rPr>
        <w:t>.</w:t>
      </w:r>
      <w:r w:rsidR="005A5D65">
        <w:rPr>
          <w:rFonts w:ascii="Arial" w:hAnsi="Arial" w:cs="Arial"/>
          <w:sz w:val="20"/>
        </w:rPr>
        <w:t xml:space="preserve"> </w:t>
      </w:r>
    </w:p>
    <w:p w:rsidR="00110542" w:rsidRDefault="00110542" w:rsidP="00457F73">
      <w:pPr>
        <w:spacing w:after="0"/>
        <w:jc w:val="left"/>
        <w:rPr>
          <w:rFonts w:cs="Arial"/>
          <w:sz w:val="20"/>
        </w:rPr>
      </w:pPr>
    </w:p>
    <w:p w:rsidR="0092380F" w:rsidRPr="0092380F" w:rsidRDefault="0092380F" w:rsidP="006F1032">
      <w:pPr>
        <w:spacing w:after="0"/>
        <w:jc w:val="left"/>
        <w:rPr>
          <w:rFonts w:cs="Arial"/>
          <w:sz w:val="20"/>
        </w:rPr>
      </w:pPr>
      <w:r w:rsidRPr="0092380F">
        <w:rPr>
          <w:rFonts w:cs="Arial"/>
          <w:sz w:val="20"/>
        </w:rPr>
        <w:t xml:space="preserve">De eventuele </w:t>
      </w:r>
      <w:r w:rsidRPr="00DB69D7">
        <w:rPr>
          <w:rFonts w:cs="Arial"/>
          <w:sz w:val="20"/>
          <w:u w:val="single"/>
        </w:rPr>
        <w:t>schadevergoeding en dito berekening</w:t>
      </w:r>
      <w:r w:rsidRPr="0092380F">
        <w:rPr>
          <w:rFonts w:cs="Arial"/>
          <w:sz w:val="20"/>
        </w:rPr>
        <w:t xml:space="preserve"> komen nadien</w:t>
      </w:r>
      <w:r w:rsidR="00DB69D7">
        <w:rPr>
          <w:rFonts w:cs="Arial"/>
          <w:sz w:val="20"/>
        </w:rPr>
        <w:t>. Dit komt voor in</w:t>
      </w:r>
      <w:r w:rsidR="006E652F">
        <w:rPr>
          <w:rFonts w:cs="Arial"/>
          <w:sz w:val="20"/>
        </w:rPr>
        <w:t xml:space="preserve"> minder dan 20% van de gevallen. </w:t>
      </w:r>
      <w:r w:rsidR="00306784">
        <w:rPr>
          <w:rFonts w:cs="Arial"/>
          <w:sz w:val="20"/>
        </w:rPr>
        <w:t>Voor h</w:t>
      </w:r>
      <w:r w:rsidR="006E652F">
        <w:rPr>
          <w:rFonts w:cs="Arial"/>
          <w:sz w:val="20"/>
        </w:rPr>
        <w:t xml:space="preserve">oe we hiermee omgaan en wat de raming aan schadevergoedingen is verbonden aan de TF-werking, zie </w:t>
      </w:r>
      <w:r w:rsidR="00134CC1">
        <w:rPr>
          <w:rFonts w:cs="Arial"/>
          <w:sz w:val="20"/>
        </w:rPr>
        <w:t xml:space="preserve">punt 3.5.f hieronder en </w:t>
      </w:r>
      <w:r w:rsidR="006E652F">
        <w:rPr>
          <w:rFonts w:cs="Arial"/>
          <w:sz w:val="20"/>
        </w:rPr>
        <w:t>bijlage 5.</w:t>
      </w:r>
      <w:r w:rsidR="004C6040">
        <w:rPr>
          <w:rFonts w:cs="Arial"/>
          <w:sz w:val="20"/>
        </w:rPr>
        <w:t>1</w:t>
      </w:r>
      <w:r w:rsidR="006E652F">
        <w:rPr>
          <w:rFonts w:cs="Arial"/>
          <w:sz w:val="20"/>
        </w:rPr>
        <w:t>.</w:t>
      </w:r>
      <w:r w:rsidR="008F07AA" w:rsidDel="008F07AA">
        <w:rPr>
          <w:rFonts w:cs="Arial"/>
          <w:sz w:val="20"/>
        </w:rPr>
        <w:t xml:space="preserve"> </w:t>
      </w:r>
    </w:p>
    <w:p w:rsidR="00B8165C" w:rsidRDefault="00B8165C">
      <w:pPr>
        <w:spacing w:after="0"/>
        <w:jc w:val="left"/>
        <w:rPr>
          <w:rFonts w:cs="Arial"/>
          <w:b/>
          <w:spacing w:val="-4"/>
          <w:kern w:val="28"/>
          <w:sz w:val="20"/>
        </w:rPr>
      </w:pPr>
    </w:p>
    <w:p w:rsidR="005B4A6D" w:rsidRPr="00A34A91" w:rsidRDefault="005B4A6D" w:rsidP="005B4A6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20" w:name="_Toc68955694"/>
      <w:r>
        <w:rPr>
          <w:rFonts w:cs="Arial"/>
          <w:sz w:val="20"/>
        </w:rPr>
        <w:t>Vereiste resources</w:t>
      </w:r>
      <w:bookmarkEnd w:id="20"/>
    </w:p>
    <w:p w:rsidR="005B4A6D" w:rsidRPr="00A34A91" w:rsidRDefault="005B4A6D" w:rsidP="005D6772">
      <w:pPr>
        <w:spacing w:after="0"/>
        <w:jc w:val="left"/>
        <w:rPr>
          <w:rFonts w:cs="Arial"/>
          <w:sz w:val="20"/>
        </w:rPr>
      </w:pPr>
    </w:p>
    <w:p w:rsidR="006E4048" w:rsidRDefault="006E4048" w:rsidP="005D6772">
      <w:pPr>
        <w:spacing w:after="0"/>
        <w:jc w:val="left"/>
        <w:rPr>
          <w:rFonts w:cs="Arial"/>
          <w:sz w:val="20"/>
        </w:rPr>
      </w:pPr>
      <w:r>
        <w:rPr>
          <w:rFonts w:cs="Arial"/>
          <w:sz w:val="20"/>
        </w:rPr>
        <w:t xml:space="preserve">Voor de </w:t>
      </w:r>
      <w:r w:rsidRPr="006E4048">
        <w:rPr>
          <w:rFonts w:cs="Arial"/>
          <w:sz w:val="20"/>
          <w:u w:val="single"/>
        </w:rPr>
        <w:t>gedetailleerde berekening</w:t>
      </w:r>
      <w:r>
        <w:rPr>
          <w:rFonts w:cs="Arial"/>
          <w:sz w:val="20"/>
        </w:rPr>
        <w:t xml:space="preserve"> van de vereiste resources, zie bijlage 5.</w:t>
      </w:r>
      <w:r w:rsidR="004C6040">
        <w:rPr>
          <w:rFonts w:cs="Arial"/>
          <w:sz w:val="20"/>
        </w:rPr>
        <w:t>2</w:t>
      </w:r>
      <w:r w:rsidR="009A7656">
        <w:rPr>
          <w:rFonts w:cs="Arial"/>
          <w:sz w:val="20"/>
        </w:rPr>
        <w:t>.</w:t>
      </w:r>
    </w:p>
    <w:p w:rsidR="006E4048" w:rsidRDefault="006E4048" w:rsidP="005D6772">
      <w:pPr>
        <w:spacing w:after="0"/>
        <w:jc w:val="left"/>
        <w:rPr>
          <w:rFonts w:cs="Arial"/>
          <w:sz w:val="20"/>
        </w:rPr>
      </w:pPr>
    </w:p>
    <w:p w:rsidR="00B92060" w:rsidRDefault="00B92060" w:rsidP="005D6772">
      <w:pPr>
        <w:spacing w:after="0"/>
        <w:jc w:val="left"/>
        <w:rPr>
          <w:rFonts w:cs="Arial"/>
          <w:sz w:val="20"/>
        </w:rPr>
      </w:pPr>
      <w:r w:rsidRPr="002F5F8A">
        <w:rPr>
          <w:rFonts w:cs="Arial"/>
          <w:sz w:val="20"/>
        </w:rPr>
        <w:t xml:space="preserve">Genomen aan </w:t>
      </w:r>
      <w:r w:rsidRPr="002F5F8A">
        <w:rPr>
          <w:rFonts w:cs="Arial"/>
          <w:sz w:val="20"/>
          <w:u w:val="single"/>
        </w:rPr>
        <w:t>200 mandagen per jaar-VTE</w:t>
      </w:r>
      <w:r w:rsidRPr="002F5F8A">
        <w:rPr>
          <w:rFonts w:cs="Arial"/>
          <w:sz w:val="20"/>
        </w:rPr>
        <w:t xml:space="preserve">, komt het wegwerken van de achterstand </w:t>
      </w:r>
      <w:r w:rsidR="006E4048">
        <w:rPr>
          <w:rFonts w:cs="Arial"/>
          <w:sz w:val="20"/>
        </w:rPr>
        <w:t xml:space="preserve">dus </w:t>
      </w:r>
      <w:r w:rsidRPr="002F5F8A">
        <w:rPr>
          <w:rFonts w:cs="Arial"/>
          <w:sz w:val="20"/>
        </w:rPr>
        <w:t xml:space="preserve">neer op een </w:t>
      </w:r>
      <w:proofErr w:type="spellStart"/>
      <w:r w:rsidRPr="002F5F8A">
        <w:rPr>
          <w:rFonts w:cs="Arial"/>
          <w:sz w:val="20"/>
          <w:u w:val="single"/>
        </w:rPr>
        <w:t>surplusbehoefte</w:t>
      </w:r>
      <w:proofErr w:type="spellEnd"/>
      <w:r w:rsidRPr="002F5F8A">
        <w:rPr>
          <w:rFonts w:cs="Arial"/>
          <w:sz w:val="20"/>
          <w:u w:val="single"/>
        </w:rPr>
        <w:t xml:space="preserve"> aan jaar-VTE boven het huidig kader</w:t>
      </w:r>
      <w:r w:rsidRPr="002F5F8A">
        <w:rPr>
          <w:rFonts w:cs="Arial"/>
          <w:sz w:val="20"/>
        </w:rPr>
        <w:t xml:space="preserve"> van</w:t>
      </w:r>
      <w:r>
        <w:rPr>
          <w:rFonts w:cs="Arial"/>
          <w:sz w:val="20"/>
        </w:rPr>
        <w:t>:</w:t>
      </w:r>
    </w:p>
    <w:p w:rsidR="00B92060" w:rsidRPr="002F5F8A" w:rsidRDefault="00B92060" w:rsidP="005D6772">
      <w:pPr>
        <w:pStyle w:val="ListParagraph"/>
        <w:numPr>
          <w:ilvl w:val="0"/>
          <w:numId w:val="5"/>
        </w:numPr>
        <w:spacing w:after="0" w:line="240" w:lineRule="auto"/>
        <w:rPr>
          <w:rFonts w:ascii="Arial" w:hAnsi="Arial" w:cs="Arial"/>
          <w:sz w:val="20"/>
          <w:szCs w:val="20"/>
        </w:rPr>
      </w:pPr>
      <w:r w:rsidRPr="002F5F8A">
        <w:rPr>
          <w:rFonts w:ascii="Arial" w:hAnsi="Arial" w:cs="Arial"/>
          <w:sz w:val="20"/>
          <w:szCs w:val="20"/>
        </w:rPr>
        <w:t xml:space="preserve">1017 mandagen artsen </w:t>
      </w:r>
      <w:r w:rsidRPr="002F5F8A">
        <w:rPr>
          <w:rFonts w:ascii="Arial" w:hAnsi="Arial" w:cs="Arial"/>
          <w:sz w:val="20"/>
          <w:szCs w:val="20"/>
        </w:rPr>
        <w:tab/>
      </w:r>
      <w:r w:rsidRPr="002F5F8A">
        <w:rPr>
          <w:rFonts w:ascii="Arial" w:hAnsi="Arial" w:cs="Arial"/>
          <w:sz w:val="20"/>
          <w:szCs w:val="20"/>
        </w:rPr>
        <w:tab/>
      </w:r>
      <w:r w:rsidRPr="002F5F8A">
        <w:rPr>
          <w:rFonts w:ascii="Arial" w:hAnsi="Arial" w:cs="Arial"/>
          <w:sz w:val="20"/>
          <w:szCs w:val="20"/>
        </w:rPr>
        <w:tab/>
      </w:r>
      <w:r w:rsidRPr="002F5F8A">
        <w:rPr>
          <w:rFonts w:ascii="Arial" w:hAnsi="Arial" w:cs="Arial"/>
          <w:sz w:val="20"/>
          <w:szCs w:val="20"/>
        </w:rPr>
        <w:tab/>
      </w:r>
      <w:r w:rsidRPr="002F5F8A">
        <w:rPr>
          <w:rFonts w:ascii="Arial" w:hAnsi="Arial" w:cs="Arial"/>
          <w:sz w:val="20"/>
          <w:szCs w:val="20"/>
        </w:rPr>
        <w:tab/>
      </w:r>
      <w:r w:rsidRPr="002F5F8A">
        <w:rPr>
          <w:rFonts w:ascii="Arial" w:hAnsi="Arial" w:cs="Arial"/>
          <w:sz w:val="20"/>
          <w:szCs w:val="20"/>
        </w:rPr>
        <w:tab/>
      </w:r>
      <w:r w:rsidRPr="002F5F8A">
        <w:rPr>
          <w:rFonts w:ascii="Arial" w:hAnsi="Arial" w:cs="Arial"/>
          <w:sz w:val="20"/>
          <w:szCs w:val="20"/>
        </w:rPr>
        <w:tab/>
      </w:r>
      <w:r w:rsidRPr="002F5F8A">
        <w:rPr>
          <w:rFonts w:ascii="Arial" w:hAnsi="Arial" w:cs="Arial"/>
          <w:sz w:val="20"/>
          <w:szCs w:val="20"/>
        </w:rPr>
        <w:tab/>
      </w:r>
      <w:r w:rsidRPr="002F5F8A">
        <w:rPr>
          <w:rFonts w:ascii="Arial" w:hAnsi="Arial" w:cs="Arial"/>
          <w:sz w:val="20"/>
          <w:szCs w:val="20"/>
        </w:rPr>
        <w:tab/>
        <w:t>= 5 jaar-VTE</w:t>
      </w:r>
    </w:p>
    <w:p w:rsidR="00B92060" w:rsidRPr="00504749" w:rsidRDefault="00504749" w:rsidP="00840EEE">
      <w:pPr>
        <w:pStyle w:val="ListParagraph"/>
        <w:numPr>
          <w:ilvl w:val="0"/>
          <w:numId w:val="5"/>
        </w:numPr>
        <w:spacing w:after="0" w:line="240" w:lineRule="auto"/>
        <w:rPr>
          <w:rFonts w:ascii="Arial" w:hAnsi="Arial" w:cs="Arial"/>
          <w:sz w:val="20"/>
          <w:szCs w:val="20"/>
        </w:rPr>
      </w:pPr>
      <w:r w:rsidRPr="00504749">
        <w:rPr>
          <w:rFonts w:ascii="Arial" w:hAnsi="Arial" w:cs="Arial"/>
          <w:sz w:val="20"/>
          <w:szCs w:val="20"/>
        </w:rPr>
        <w:t>2</w:t>
      </w:r>
      <w:r w:rsidR="003E4E5C">
        <w:rPr>
          <w:rFonts w:ascii="Arial" w:hAnsi="Arial" w:cs="Arial"/>
          <w:sz w:val="20"/>
          <w:szCs w:val="20"/>
        </w:rPr>
        <w:t>162</w:t>
      </w:r>
      <w:r w:rsidR="00B92060" w:rsidRPr="00504749">
        <w:rPr>
          <w:rFonts w:ascii="Arial" w:hAnsi="Arial" w:cs="Arial"/>
          <w:sz w:val="20"/>
          <w:szCs w:val="20"/>
        </w:rPr>
        <w:t xml:space="preserve"> mandagen administratieve krachten</w:t>
      </w:r>
      <w:r w:rsidRPr="00504749">
        <w:rPr>
          <w:rFonts w:ascii="Arial" w:hAnsi="Arial" w:cs="Arial"/>
          <w:sz w:val="20"/>
          <w:szCs w:val="20"/>
        </w:rPr>
        <w:t xml:space="preserve"> – afgerond</w:t>
      </w:r>
      <w:r>
        <w:rPr>
          <w:rStyle w:val="FootnoteReference"/>
          <w:rFonts w:ascii="Arial" w:hAnsi="Arial" w:cs="Arial"/>
          <w:sz w:val="20"/>
          <w:szCs w:val="20"/>
        </w:rPr>
        <w:footnoteReference w:id="20"/>
      </w:r>
      <w:r w:rsidR="00B92060" w:rsidRPr="00504749">
        <w:rPr>
          <w:rFonts w:ascii="Arial" w:hAnsi="Arial" w:cs="Arial"/>
          <w:sz w:val="20"/>
          <w:szCs w:val="20"/>
        </w:rPr>
        <w:tab/>
        <w:t xml:space="preserve">= </w:t>
      </w:r>
      <w:r w:rsidR="005D6772" w:rsidRPr="00504749">
        <w:rPr>
          <w:rFonts w:ascii="Arial" w:hAnsi="Arial" w:cs="Arial"/>
          <w:sz w:val="20"/>
          <w:szCs w:val="20"/>
        </w:rPr>
        <w:t>12</w:t>
      </w:r>
      <w:r w:rsidR="00B92060" w:rsidRPr="00504749">
        <w:rPr>
          <w:rFonts w:ascii="Arial" w:hAnsi="Arial" w:cs="Arial"/>
          <w:sz w:val="20"/>
          <w:szCs w:val="20"/>
        </w:rPr>
        <w:t xml:space="preserve"> jaar-VTE</w:t>
      </w:r>
    </w:p>
    <w:p w:rsidR="00B92060" w:rsidRPr="002F5F8A" w:rsidRDefault="003E4E5C" w:rsidP="005D6772">
      <w:pPr>
        <w:pStyle w:val="ListParagraph"/>
        <w:numPr>
          <w:ilvl w:val="0"/>
          <w:numId w:val="5"/>
        </w:numPr>
        <w:spacing w:after="0" w:line="240" w:lineRule="auto"/>
        <w:rPr>
          <w:rFonts w:ascii="Arial" w:hAnsi="Arial" w:cs="Arial"/>
          <w:sz w:val="20"/>
          <w:szCs w:val="20"/>
        </w:rPr>
      </w:pPr>
      <w:r>
        <w:rPr>
          <w:rFonts w:ascii="Arial" w:hAnsi="Arial" w:cs="Arial"/>
          <w:sz w:val="20"/>
          <w:szCs w:val="20"/>
        </w:rPr>
        <w:t>1959</w:t>
      </w:r>
      <w:r w:rsidR="00B92060" w:rsidRPr="002F5F8A">
        <w:rPr>
          <w:rFonts w:ascii="Arial" w:hAnsi="Arial" w:cs="Arial"/>
          <w:sz w:val="20"/>
          <w:szCs w:val="20"/>
        </w:rPr>
        <w:t xml:space="preserve"> mandagen juristen</w:t>
      </w:r>
      <w:r>
        <w:rPr>
          <w:rFonts w:ascii="Arial" w:hAnsi="Arial" w:cs="Arial"/>
          <w:sz w:val="20"/>
          <w:szCs w:val="20"/>
        </w:rPr>
        <w:tab/>
      </w:r>
      <w:r>
        <w:rPr>
          <w:rFonts w:ascii="Arial" w:hAnsi="Arial" w:cs="Arial"/>
          <w:sz w:val="20"/>
          <w:szCs w:val="20"/>
        </w:rPr>
        <w:tab/>
      </w:r>
      <w:r>
        <w:rPr>
          <w:rFonts w:ascii="Arial" w:hAnsi="Arial" w:cs="Arial"/>
          <w:sz w:val="20"/>
          <w:szCs w:val="20"/>
        </w:rPr>
        <w:tab/>
      </w:r>
      <w:r w:rsidR="00504749">
        <w:rPr>
          <w:rFonts w:ascii="Arial" w:hAnsi="Arial" w:cs="Arial"/>
          <w:sz w:val="20"/>
          <w:szCs w:val="20"/>
        </w:rPr>
        <w:t xml:space="preserve"> </w:t>
      </w:r>
      <w:r w:rsidR="00B92060">
        <w:rPr>
          <w:rFonts w:ascii="Arial" w:hAnsi="Arial" w:cs="Arial"/>
          <w:sz w:val="20"/>
          <w:szCs w:val="20"/>
        </w:rPr>
        <w:tab/>
      </w:r>
      <w:r w:rsidR="00B92060">
        <w:rPr>
          <w:rFonts w:ascii="Arial" w:hAnsi="Arial" w:cs="Arial"/>
          <w:sz w:val="20"/>
          <w:szCs w:val="20"/>
        </w:rPr>
        <w:tab/>
      </w:r>
      <w:r w:rsidR="00B92060">
        <w:rPr>
          <w:rFonts w:ascii="Arial" w:hAnsi="Arial" w:cs="Arial"/>
          <w:sz w:val="20"/>
          <w:szCs w:val="20"/>
        </w:rPr>
        <w:tab/>
      </w:r>
      <w:r w:rsidR="00B92060">
        <w:rPr>
          <w:rFonts w:ascii="Arial" w:hAnsi="Arial" w:cs="Arial"/>
          <w:sz w:val="20"/>
          <w:szCs w:val="20"/>
        </w:rPr>
        <w:tab/>
      </w:r>
      <w:r w:rsidR="00B92060">
        <w:rPr>
          <w:rFonts w:ascii="Arial" w:hAnsi="Arial" w:cs="Arial"/>
          <w:sz w:val="20"/>
          <w:szCs w:val="20"/>
        </w:rPr>
        <w:tab/>
        <w:t xml:space="preserve">= </w:t>
      </w:r>
      <w:r w:rsidR="00B92060" w:rsidRPr="002F5F8A">
        <w:rPr>
          <w:rFonts w:ascii="Arial" w:hAnsi="Arial" w:cs="Arial"/>
          <w:sz w:val="20"/>
          <w:szCs w:val="20"/>
        </w:rPr>
        <w:t xml:space="preserve">10 jaar-VTE </w:t>
      </w:r>
    </w:p>
    <w:p w:rsidR="002443AA" w:rsidRDefault="002443AA" w:rsidP="005D6772">
      <w:pPr>
        <w:spacing w:after="0"/>
        <w:jc w:val="left"/>
        <w:rPr>
          <w:rFonts w:cs="Arial"/>
          <w:sz w:val="20"/>
        </w:rPr>
      </w:pPr>
    </w:p>
    <w:p w:rsidR="006E4048" w:rsidRDefault="006E4048" w:rsidP="005D6772">
      <w:pPr>
        <w:spacing w:after="0"/>
        <w:jc w:val="left"/>
        <w:rPr>
          <w:rFonts w:cs="Arial"/>
          <w:sz w:val="20"/>
        </w:rPr>
      </w:pPr>
      <w:r>
        <w:rPr>
          <w:rFonts w:cs="Arial"/>
          <w:sz w:val="20"/>
        </w:rPr>
        <w:t xml:space="preserve">De </w:t>
      </w:r>
      <w:r w:rsidRPr="006E4048">
        <w:rPr>
          <w:rFonts w:cs="Arial"/>
          <w:sz w:val="20"/>
          <w:u w:val="single"/>
        </w:rPr>
        <w:t>artsen</w:t>
      </w:r>
      <w:r>
        <w:rPr>
          <w:rFonts w:cs="Arial"/>
          <w:sz w:val="20"/>
        </w:rPr>
        <w:t xml:space="preserve"> zijn op zelfstandige basis en dienen volledig het eerste jaar ingezet, dat betekent dat dus zo snel mogelijk dient overgegaan tot de </w:t>
      </w:r>
      <w:proofErr w:type="spellStart"/>
      <w:r>
        <w:rPr>
          <w:rFonts w:cs="Arial"/>
          <w:sz w:val="20"/>
        </w:rPr>
        <w:t>recrutering</w:t>
      </w:r>
      <w:proofErr w:type="spellEnd"/>
      <w:r>
        <w:rPr>
          <w:rFonts w:cs="Arial"/>
          <w:sz w:val="20"/>
        </w:rPr>
        <w:t xml:space="preserve"> van 5 VTE artsen. Gegeven dat het de bedoeling is aan </w:t>
      </w:r>
      <w:r w:rsidRPr="006E4048">
        <w:rPr>
          <w:rFonts w:cs="Arial"/>
          <w:sz w:val="20"/>
          <w:u w:val="single"/>
        </w:rPr>
        <w:t>de admin</w:t>
      </w:r>
      <w:r w:rsidR="006A2B58">
        <w:rPr>
          <w:rFonts w:cs="Arial"/>
          <w:sz w:val="20"/>
          <w:u w:val="single"/>
        </w:rPr>
        <w:t>i</w:t>
      </w:r>
      <w:r w:rsidRPr="006E4048">
        <w:rPr>
          <w:rFonts w:cs="Arial"/>
          <w:sz w:val="20"/>
          <w:u w:val="single"/>
        </w:rPr>
        <w:t>stratieve krachten en de juristen</w:t>
      </w:r>
      <w:r>
        <w:rPr>
          <w:rFonts w:cs="Arial"/>
          <w:sz w:val="20"/>
        </w:rPr>
        <w:t xml:space="preserve"> een </w:t>
      </w:r>
      <w:r w:rsidRPr="006E4048">
        <w:rPr>
          <w:rFonts w:cs="Arial"/>
          <w:sz w:val="20"/>
          <w:u w:val="single"/>
        </w:rPr>
        <w:t>contract van twee jaar</w:t>
      </w:r>
      <w:r>
        <w:rPr>
          <w:rFonts w:cs="Arial"/>
          <w:sz w:val="20"/>
        </w:rPr>
        <w:t xml:space="preserve"> te geven, gaat het dus om </w:t>
      </w:r>
      <w:r w:rsidR="005D6772">
        <w:rPr>
          <w:rFonts w:cs="Arial"/>
          <w:sz w:val="20"/>
        </w:rPr>
        <w:t>6</w:t>
      </w:r>
      <w:r>
        <w:rPr>
          <w:rFonts w:cs="Arial"/>
          <w:sz w:val="20"/>
        </w:rPr>
        <w:t xml:space="preserve"> VTE administratieve krachten en 5 VTE juristen. De </w:t>
      </w:r>
      <w:proofErr w:type="spellStart"/>
      <w:r>
        <w:rPr>
          <w:rFonts w:cs="Arial"/>
          <w:sz w:val="20"/>
        </w:rPr>
        <w:t>recrutering</w:t>
      </w:r>
      <w:proofErr w:type="spellEnd"/>
      <w:r>
        <w:rPr>
          <w:rFonts w:cs="Arial"/>
          <w:sz w:val="20"/>
        </w:rPr>
        <w:t xml:space="preserve"> van de juristen is minder dringend dan die van de administratieve krachten.</w:t>
      </w:r>
    </w:p>
    <w:p w:rsidR="00A02B3B" w:rsidRDefault="00A02B3B" w:rsidP="005D6772">
      <w:pPr>
        <w:spacing w:after="0"/>
        <w:jc w:val="left"/>
        <w:rPr>
          <w:rFonts w:cs="Arial"/>
          <w:b/>
          <w:spacing w:val="-4"/>
          <w:kern w:val="28"/>
          <w:sz w:val="20"/>
        </w:rPr>
      </w:pPr>
    </w:p>
    <w:p w:rsidR="00203FC0" w:rsidRDefault="00203FC0">
      <w:pPr>
        <w:spacing w:after="0"/>
        <w:jc w:val="left"/>
        <w:rPr>
          <w:rFonts w:cs="Arial"/>
          <w:b/>
          <w:spacing w:val="-4"/>
          <w:kern w:val="28"/>
          <w:sz w:val="20"/>
        </w:rPr>
      </w:pPr>
      <w:r>
        <w:rPr>
          <w:rFonts w:cs="Arial"/>
          <w:sz w:val="20"/>
        </w:rPr>
        <w:br w:type="page"/>
      </w:r>
    </w:p>
    <w:p w:rsidR="00D769B7" w:rsidRPr="00A34A91" w:rsidRDefault="005935BC" w:rsidP="00D769B7">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21" w:name="_Toc68955695"/>
      <w:r>
        <w:rPr>
          <w:rFonts w:cs="Arial"/>
          <w:sz w:val="20"/>
        </w:rPr>
        <w:lastRenderedPageBreak/>
        <w:t>Mobilisering resources: p</w:t>
      </w:r>
      <w:r w:rsidR="00166682">
        <w:rPr>
          <w:rFonts w:cs="Arial"/>
          <w:sz w:val="20"/>
        </w:rPr>
        <w:t>raktische uitwerking en budgettaire impact</w:t>
      </w:r>
      <w:bookmarkEnd w:id="21"/>
    </w:p>
    <w:p w:rsidR="00D667A1" w:rsidRPr="00A34A91" w:rsidRDefault="00D667A1" w:rsidP="00D667A1">
      <w:pPr>
        <w:spacing w:after="0"/>
        <w:jc w:val="left"/>
        <w:rPr>
          <w:rFonts w:cs="Arial"/>
          <w:sz w:val="20"/>
        </w:rPr>
      </w:pPr>
    </w:p>
    <w:p w:rsidR="00D667A1" w:rsidRPr="00D769B7" w:rsidRDefault="00D667A1" w:rsidP="00D667A1">
      <w:pPr>
        <w:pStyle w:val="FootnoteText"/>
        <w:numPr>
          <w:ilvl w:val="0"/>
          <w:numId w:val="9"/>
        </w:numPr>
        <w:pBdr>
          <w:top w:val="single" w:sz="4" w:space="1" w:color="auto"/>
          <w:left w:val="single" w:sz="4" w:space="4" w:color="auto"/>
          <w:bottom w:val="single" w:sz="4" w:space="1" w:color="auto"/>
          <w:right w:val="single" w:sz="4" w:space="4" w:color="auto"/>
        </w:pBdr>
        <w:spacing w:after="0" w:line="240" w:lineRule="auto"/>
        <w:rPr>
          <w:rFonts w:cs="Arial"/>
          <w:b/>
          <w:bCs/>
          <w:sz w:val="20"/>
        </w:rPr>
      </w:pPr>
      <w:proofErr w:type="spellStart"/>
      <w:r>
        <w:rPr>
          <w:rFonts w:cs="Arial"/>
          <w:b/>
          <w:bCs/>
          <w:sz w:val="20"/>
        </w:rPr>
        <w:t>Task</w:t>
      </w:r>
      <w:proofErr w:type="spellEnd"/>
      <w:r>
        <w:rPr>
          <w:rFonts w:cs="Arial"/>
          <w:b/>
          <w:bCs/>
          <w:sz w:val="20"/>
        </w:rPr>
        <w:t xml:space="preserve"> Force Manager</w:t>
      </w:r>
    </w:p>
    <w:p w:rsidR="00D667A1" w:rsidRDefault="00D667A1" w:rsidP="00D667A1">
      <w:pPr>
        <w:spacing w:after="0"/>
        <w:rPr>
          <w:rFonts w:cs="Arial"/>
          <w:sz w:val="20"/>
        </w:rPr>
      </w:pPr>
    </w:p>
    <w:p w:rsidR="007C794C" w:rsidRDefault="007C794C" w:rsidP="00D667A1">
      <w:pPr>
        <w:spacing w:after="0"/>
        <w:rPr>
          <w:rFonts w:cs="Arial"/>
          <w:sz w:val="20"/>
        </w:rPr>
      </w:pPr>
      <w:r>
        <w:rPr>
          <w:rFonts w:cs="Arial"/>
          <w:sz w:val="20"/>
        </w:rPr>
        <w:t>Deze zal op korte termijn (dit is zo snel mogelijk) worden aangeworven.</w:t>
      </w:r>
    </w:p>
    <w:p w:rsidR="005D6772" w:rsidRDefault="00D667A1" w:rsidP="00D667A1">
      <w:pPr>
        <w:pStyle w:val="ListParagraph"/>
        <w:numPr>
          <w:ilvl w:val="0"/>
          <w:numId w:val="33"/>
        </w:numPr>
        <w:spacing w:after="0" w:line="240" w:lineRule="auto"/>
        <w:rPr>
          <w:rFonts w:ascii="Arial" w:hAnsi="Arial" w:cs="Arial"/>
          <w:sz w:val="20"/>
        </w:rPr>
      </w:pPr>
      <w:r>
        <w:rPr>
          <w:rFonts w:ascii="Arial" w:hAnsi="Arial" w:cs="Arial"/>
          <w:sz w:val="20"/>
        </w:rPr>
        <w:t>Hij</w:t>
      </w:r>
      <w:r w:rsidR="005D6772">
        <w:rPr>
          <w:rFonts w:ascii="Arial" w:hAnsi="Arial" w:cs="Arial"/>
          <w:sz w:val="20"/>
        </w:rPr>
        <w:t xml:space="preserve"> (m/v)</w:t>
      </w:r>
      <w:r>
        <w:rPr>
          <w:rFonts w:ascii="Arial" w:hAnsi="Arial" w:cs="Arial"/>
          <w:sz w:val="20"/>
        </w:rPr>
        <w:t xml:space="preserve"> is bij voorkeur iemand met een senior profiel op Masterniveau met duidelijke ervaring in het leiden van grote projecten</w:t>
      </w:r>
      <w:r w:rsidR="00BC1575">
        <w:rPr>
          <w:rFonts w:ascii="Arial" w:hAnsi="Arial" w:cs="Arial"/>
          <w:sz w:val="20"/>
        </w:rPr>
        <w:t xml:space="preserve"> en flowopvolging</w:t>
      </w:r>
      <w:r>
        <w:rPr>
          <w:rFonts w:ascii="Arial" w:hAnsi="Arial" w:cs="Arial"/>
          <w:sz w:val="20"/>
        </w:rPr>
        <w:t xml:space="preserve">. </w:t>
      </w:r>
    </w:p>
    <w:p w:rsidR="005D6772" w:rsidRDefault="00D667A1" w:rsidP="00D667A1">
      <w:pPr>
        <w:pStyle w:val="ListParagraph"/>
        <w:numPr>
          <w:ilvl w:val="0"/>
          <w:numId w:val="33"/>
        </w:numPr>
        <w:spacing w:after="0" w:line="240" w:lineRule="auto"/>
        <w:rPr>
          <w:rFonts w:ascii="Arial" w:hAnsi="Arial" w:cs="Arial"/>
          <w:sz w:val="20"/>
        </w:rPr>
      </w:pPr>
      <w:r>
        <w:rPr>
          <w:rFonts w:ascii="Arial" w:hAnsi="Arial" w:cs="Arial"/>
          <w:sz w:val="20"/>
        </w:rPr>
        <w:t xml:space="preserve">Hij moet in staat zijn te werken in een omgeving die niet altijd even flexibel is en goed tweetalig zijn. </w:t>
      </w:r>
    </w:p>
    <w:p w:rsidR="00D667A1" w:rsidRDefault="00D667A1" w:rsidP="00D667A1">
      <w:pPr>
        <w:pStyle w:val="ListParagraph"/>
        <w:numPr>
          <w:ilvl w:val="0"/>
          <w:numId w:val="33"/>
        </w:numPr>
        <w:spacing w:after="0" w:line="240" w:lineRule="auto"/>
        <w:rPr>
          <w:rFonts w:ascii="Arial" w:hAnsi="Arial" w:cs="Arial"/>
          <w:sz w:val="20"/>
        </w:rPr>
      </w:pPr>
      <w:r>
        <w:rPr>
          <w:rFonts w:ascii="Arial" w:hAnsi="Arial" w:cs="Arial"/>
          <w:sz w:val="20"/>
        </w:rPr>
        <w:t xml:space="preserve">Hij </w:t>
      </w:r>
      <w:r w:rsidR="00BC1575">
        <w:rPr>
          <w:rFonts w:ascii="Arial" w:hAnsi="Arial" w:cs="Arial"/>
          <w:sz w:val="20"/>
        </w:rPr>
        <w:t xml:space="preserve">is een </w:t>
      </w:r>
      <w:r w:rsidR="006312FE">
        <w:rPr>
          <w:rFonts w:ascii="Arial" w:hAnsi="Arial" w:cs="Arial"/>
          <w:sz w:val="20"/>
        </w:rPr>
        <w:t>probleemoplosser</w:t>
      </w:r>
    </w:p>
    <w:p w:rsidR="005D6772" w:rsidRDefault="00D667A1" w:rsidP="00D667A1">
      <w:pPr>
        <w:pStyle w:val="ListParagraph"/>
        <w:numPr>
          <w:ilvl w:val="0"/>
          <w:numId w:val="33"/>
        </w:numPr>
        <w:spacing w:after="0" w:line="240" w:lineRule="auto"/>
        <w:rPr>
          <w:rFonts w:ascii="Arial" w:hAnsi="Arial" w:cs="Arial"/>
          <w:sz w:val="20"/>
        </w:rPr>
      </w:pPr>
      <w:r>
        <w:rPr>
          <w:rFonts w:ascii="Arial" w:hAnsi="Arial" w:cs="Arial"/>
          <w:sz w:val="20"/>
        </w:rPr>
        <w:t xml:space="preserve">Hij wordt bij voorkeur </w:t>
      </w:r>
      <w:proofErr w:type="spellStart"/>
      <w:r>
        <w:rPr>
          <w:rFonts w:ascii="Arial" w:hAnsi="Arial" w:cs="Arial"/>
          <w:sz w:val="20"/>
        </w:rPr>
        <w:t>gerecruteerd</w:t>
      </w:r>
      <w:proofErr w:type="spellEnd"/>
      <w:r>
        <w:rPr>
          <w:rFonts w:ascii="Arial" w:hAnsi="Arial" w:cs="Arial"/>
          <w:sz w:val="20"/>
        </w:rPr>
        <w:t xml:space="preserve"> uit een omgeving die garant staat voor kwaliteit</w:t>
      </w:r>
      <w:r w:rsidR="005D6772">
        <w:rPr>
          <w:rFonts w:ascii="Arial" w:hAnsi="Arial" w:cs="Arial"/>
          <w:sz w:val="20"/>
        </w:rPr>
        <w:t xml:space="preserve"> (</w:t>
      </w:r>
      <w:r w:rsidR="00BC1575">
        <w:rPr>
          <w:rFonts w:ascii="Arial" w:hAnsi="Arial" w:cs="Arial"/>
          <w:sz w:val="20"/>
        </w:rPr>
        <w:t xml:space="preserve">is </w:t>
      </w:r>
      <w:r w:rsidR="005D6772">
        <w:rPr>
          <w:rFonts w:ascii="Arial" w:hAnsi="Arial" w:cs="Arial"/>
          <w:sz w:val="20"/>
        </w:rPr>
        <w:t>gereputeerde consultancy f</w:t>
      </w:r>
      <w:r w:rsidR="008E1A1C">
        <w:rPr>
          <w:rFonts w:ascii="Arial" w:hAnsi="Arial" w:cs="Arial"/>
          <w:sz w:val="20"/>
        </w:rPr>
        <w:t>i</w:t>
      </w:r>
      <w:r w:rsidR="005D6772">
        <w:rPr>
          <w:rFonts w:ascii="Arial" w:hAnsi="Arial" w:cs="Arial"/>
          <w:sz w:val="20"/>
        </w:rPr>
        <w:t>rma’s)</w:t>
      </w:r>
      <w:r>
        <w:rPr>
          <w:rFonts w:ascii="Arial" w:hAnsi="Arial" w:cs="Arial"/>
          <w:sz w:val="20"/>
        </w:rPr>
        <w:t xml:space="preserve">. </w:t>
      </w:r>
    </w:p>
    <w:p w:rsidR="00D667A1" w:rsidRDefault="00D667A1" w:rsidP="00D667A1">
      <w:pPr>
        <w:pStyle w:val="ListParagraph"/>
        <w:numPr>
          <w:ilvl w:val="0"/>
          <w:numId w:val="33"/>
        </w:numPr>
        <w:spacing w:after="0" w:line="240" w:lineRule="auto"/>
        <w:rPr>
          <w:rFonts w:ascii="Arial" w:hAnsi="Arial" w:cs="Arial"/>
          <w:sz w:val="20"/>
        </w:rPr>
      </w:pPr>
      <w:r>
        <w:rPr>
          <w:rFonts w:ascii="Arial" w:hAnsi="Arial" w:cs="Arial"/>
          <w:sz w:val="20"/>
        </w:rPr>
        <w:t>Hij engageert zich in principe voor twee jaar.</w:t>
      </w:r>
    </w:p>
    <w:p w:rsidR="00D667A1" w:rsidRPr="008966A3" w:rsidRDefault="00D667A1" w:rsidP="00D667A1">
      <w:pPr>
        <w:pStyle w:val="ListParagraph"/>
        <w:numPr>
          <w:ilvl w:val="0"/>
          <w:numId w:val="33"/>
        </w:numPr>
        <w:spacing w:after="0" w:line="240" w:lineRule="auto"/>
        <w:rPr>
          <w:rFonts w:ascii="Arial" w:hAnsi="Arial" w:cs="Arial"/>
          <w:sz w:val="20"/>
        </w:rPr>
      </w:pPr>
      <w:r>
        <w:rPr>
          <w:rFonts w:ascii="Arial" w:hAnsi="Arial" w:cs="Arial"/>
          <w:sz w:val="20"/>
        </w:rPr>
        <w:t>Geraamde kost 1500 euro per gepresteerde dag, wat overeenkomt met 0,</w:t>
      </w:r>
      <w:r w:rsidR="005C6936">
        <w:rPr>
          <w:rFonts w:ascii="Arial" w:hAnsi="Arial" w:cs="Arial"/>
          <w:sz w:val="20"/>
        </w:rPr>
        <w:t>6</w:t>
      </w:r>
      <w:r>
        <w:rPr>
          <w:rFonts w:ascii="Arial" w:hAnsi="Arial" w:cs="Arial"/>
          <w:sz w:val="20"/>
        </w:rPr>
        <w:t xml:space="preserve"> </w:t>
      </w:r>
      <w:proofErr w:type="spellStart"/>
      <w:r>
        <w:rPr>
          <w:rFonts w:ascii="Arial" w:hAnsi="Arial" w:cs="Arial"/>
          <w:sz w:val="20"/>
        </w:rPr>
        <w:t>mln</w:t>
      </w:r>
      <w:proofErr w:type="spellEnd"/>
      <w:r>
        <w:rPr>
          <w:rFonts w:ascii="Arial" w:hAnsi="Arial" w:cs="Arial"/>
          <w:sz w:val="20"/>
        </w:rPr>
        <w:t xml:space="preserve"> euro </w:t>
      </w:r>
      <w:r w:rsidR="005C6936">
        <w:rPr>
          <w:rFonts w:ascii="Arial" w:hAnsi="Arial" w:cs="Arial"/>
          <w:sz w:val="20"/>
        </w:rPr>
        <w:t>voor twee jaar</w:t>
      </w:r>
      <w:r>
        <w:rPr>
          <w:rFonts w:ascii="Arial" w:hAnsi="Arial" w:cs="Arial"/>
          <w:sz w:val="20"/>
        </w:rPr>
        <w:t>.</w:t>
      </w:r>
    </w:p>
    <w:p w:rsidR="00D667A1" w:rsidRPr="00A34A91" w:rsidRDefault="00D667A1" w:rsidP="00D769B7">
      <w:pPr>
        <w:spacing w:after="0"/>
        <w:jc w:val="left"/>
        <w:rPr>
          <w:rFonts w:cs="Arial"/>
          <w:sz w:val="20"/>
        </w:rPr>
      </w:pPr>
    </w:p>
    <w:p w:rsidR="00D769B7" w:rsidRPr="00D769B7" w:rsidRDefault="00D769B7" w:rsidP="004B51B4">
      <w:pPr>
        <w:pStyle w:val="FootnoteText"/>
        <w:numPr>
          <w:ilvl w:val="0"/>
          <w:numId w:val="9"/>
        </w:numPr>
        <w:pBdr>
          <w:top w:val="single" w:sz="4" w:space="1" w:color="auto"/>
          <w:left w:val="single" w:sz="4" w:space="4" w:color="auto"/>
          <w:bottom w:val="single" w:sz="4" w:space="1" w:color="auto"/>
          <w:right w:val="single" w:sz="4" w:space="4" w:color="auto"/>
        </w:pBdr>
        <w:spacing w:after="0" w:line="240" w:lineRule="auto"/>
        <w:rPr>
          <w:rFonts w:cs="Arial"/>
          <w:b/>
          <w:bCs/>
          <w:sz w:val="20"/>
        </w:rPr>
      </w:pPr>
      <w:r w:rsidRPr="00D769B7">
        <w:rPr>
          <w:rFonts w:cs="Arial"/>
          <w:b/>
          <w:bCs/>
          <w:sz w:val="20"/>
        </w:rPr>
        <w:t>Artsen</w:t>
      </w:r>
    </w:p>
    <w:p w:rsidR="00D769B7" w:rsidRDefault="00D769B7" w:rsidP="00D769B7">
      <w:pPr>
        <w:spacing w:after="0"/>
        <w:rPr>
          <w:rFonts w:cs="Arial"/>
          <w:sz w:val="20"/>
        </w:rPr>
      </w:pPr>
    </w:p>
    <w:p w:rsidR="00D14D92" w:rsidRDefault="00AA253A">
      <w:pPr>
        <w:spacing w:after="0"/>
        <w:jc w:val="left"/>
        <w:rPr>
          <w:rFonts w:cs="Arial"/>
          <w:sz w:val="20"/>
          <w:u w:val="single"/>
        </w:rPr>
      </w:pPr>
      <w:r>
        <w:rPr>
          <w:rFonts w:cs="Arial"/>
          <w:sz w:val="20"/>
        </w:rPr>
        <w:t xml:space="preserve">Deze artsen moeten minstens vertrouwd zijn met de evaluatie van menselijke schade. </w:t>
      </w:r>
      <w:r w:rsidRPr="00A34A91">
        <w:rPr>
          <w:rFonts w:cs="Arial"/>
          <w:sz w:val="20"/>
        </w:rPr>
        <w:t xml:space="preserve">We denken hierbij aan recent gepensioneerde artsen van </w:t>
      </w:r>
      <w:r w:rsidR="006B781B">
        <w:rPr>
          <w:rFonts w:cs="Arial"/>
          <w:sz w:val="20"/>
        </w:rPr>
        <w:t xml:space="preserve">het </w:t>
      </w:r>
      <w:r w:rsidRPr="00A34A91">
        <w:rPr>
          <w:rFonts w:cs="Arial"/>
          <w:sz w:val="20"/>
        </w:rPr>
        <w:t>RIZIV</w:t>
      </w:r>
      <w:r w:rsidR="006B781B">
        <w:rPr>
          <w:rFonts w:cs="Arial"/>
          <w:sz w:val="20"/>
        </w:rPr>
        <w:t>,</w:t>
      </w:r>
      <w:r w:rsidRPr="00A34A91">
        <w:rPr>
          <w:rFonts w:cs="Arial"/>
          <w:sz w:val="20"/>
        </w:rPr>
        <w:t xml:space="preserve"> van de </w:t>
      </w:r>
      <w:r w:rsidR="00BC1575">
        <w:rPr>
          <w:rFonts w:cs="Arial"/>
          <w:sz w:val="20"/>
        </w:rPr>
        <w:t>verzekeringsinstellingen</w:t>
      </w:r>
      <w:r w:rsidRPr="00A34A91">
        <w:rPr>
          <w:rFonts w:cs="Arial"/>
          <w:sz w:val="20"/>
        </w:rPr>
        <w:t>,</w:t>
      </w:r>
      <w:r w:rsidR="00D14D92">
        <w:rPr>
          <w:rFonts w:cs="Arial"/>
          <w:sz w:val="20"/>
        </w:rPr>
        <w:t>..</w:t>
      </w:r>
      <w:r w:rsidRPr="00A34A91">
        <w:rPr>
          <w:rFonts w:cs="Arial"/>
          <w:sz w:val="20"/>
        </w:rPr>
        <w:t>.</w:t>
      </w:r>
      <w:r>
        <w:rPr>
          <w:rFonts w:cs="Arial"/>
          <w:sz w:val="20"/>
        </w:rPr>
        <w:t xml:space="preserve"> Voor het </w:t>
      </w:r>
      <w:proofErr w:type="spellStart"/>
      <w:r>
        <w:rPr>
          <w:rFonts w:cs="Arial"/>
          <w:sz w:val="20"/>
        </w:rPr>
        <w:t>recruteren</w:t>
      </w:r>
      <w:proofErr w:type="spellEnd"/>
      <w:r>
        <w:rPr>
          <w:rFonts w:cs="Arial"/>
          <w:sz w:val="20"/>
        </w:rPr>
        <w:t xml:space="preserve"> van deze artsen wordt geopteerd voor alternatieve pistes zoals bepaalde overeenkomsten (</w:t>
      </w:r>
      <w:proofErr w:type="spellStart"/>
      <w:r>
        <w:rPr>
          <w:rFonts w:cs="Arial"/>
          <w:sz w:val="20"/>
        </w:rPr>
        <w:t>cfr</w:t>
      </w:r>
      <w:proofErr w:type="spellEnd"/>
      <w:r>
        <w:rPr>
          <w:rFonts w:cs="Arial"/>
          <w:sz w:val="20"/>
        </w:rPr>
        <w:t xml:space="preserve"> eenmalige expert zonder lastenboek).</w:t>
      </w:r>
      <w:r w:rsidR="002457D9">
        <w:rPr>
          <w:rFonts w:cs="Arial"/>
          <w:sz w:val="20"/>
        </w:rPr>
        <w:t xml:space="preserve"> </w:t>
      </w:r>
      <w:r>
        <w:rPr>
          <w:rFonts w:cs="Arial"/>
          <w:sz w:val="20"/>
        </w:rPr>
        <w:t xml:space="preserve">Deze artsen zijn nodig </w:t>
      </w:r>
      <w:r w:rsidR="009758FA">
        <w:rPr>
          <w:rFonts w:cs="Arial"/>
          <w:sz w:val="20"/>
        </w:rPr>
        <w:t xml:space="preserve">in principe enkel </w:t>
      </w:r>
      <w:r>
        <w:rPr>
          <w:rFonts w:cs="Arial"/>
          <w:sz w:val="20"/>
        </w:rPr>
        <w:t xml:space="preserve">tijdens </w:t>
      </w:r>
      <w:r w:rsidR="009758FA">
        <w:rPr>
          <w:rFonts w:cs="Arial"/>
          <w:sz w:val="20"/>
        </w:rPr>
        <w:t>het eerste jaar van de TF</w:t>
      </w:r>
      <w:r w:rsidR="001A3CCF">
        <w:rPr>
          <w:rFonts w:cs="Arial"/>
          <w:sz w:val="20"/>
        </w:rPr>
        <w:t xml:space="preserve">. Gelet op de bijzondere bekwaamheid </w:t>
      </w:r>
      <w:r w:rsidR="00852D0D">
        <w:rPr>
          <w:rFonts w:cs="Arial"/>
          <w:sz w:val="20"/>
        </w:rPr>
        <w:t xml:space="preserve">en situatie </w:t>
      </w:r>
      <w:r w:rsidR="001A3CCF">
        <w:rPr>
          <w:rFonts w:cs="Arial"/>
          <w:sz w:val="20"/>
        </w:rPr>
        <w:t>van deze artsen zullen we werken met een pool van artsen</w:t>
      </w:r>
      <w:r w:rsidR="00B46A5C">
        <w:rPr>
          <w:rFonts w:cs="Arial"/>
          <w:sz w:val="20"/>
        </w:rPr>
        <w:t xml:space="preserve"> (vermoedelijk 10 halftijdse</w:t>
      </w:r>
      <w:r w:rsidR="00066161">
        <w:rPr>
          <w:rFonts w:cs="Arial"/>
          <w:sz w:val="20"/>
        </w:rPr>
        <w:t xml:space="preserve">, </w:t>
      </w:r>
      <w:proofErr w:type="spellStart"/>
      <w:r w:rsidR="00066161">
        <w:rPr>
          <w:rFonts w:cs="Arial"/>
          <w:sz w:val="20"/>
        </w:rPr>
        <w:t>cfr</w:t>
      </w:r>
      <w:proofErr w:type="spellEnd"/>
      <w:r w:rsidR="00066161">
        <w:rPr>
          <w:rFonts w:cs="Arial"/>
          <w:sz w:val="20"/>
        </w:rPr>
        <w:t xml:space="preserve"> ook vermelding in </w:t>
      </w:r>
      <w:r w:rsidR="002A5B11">
        <w:rPr>
          <w:rFonts w:cs="Arial"/>
          <w:sz w:val="20"/>
        </w:rPr>
        <w:t xml:space="preserve">tabel </w:t>
      </w:r>
      <w:r w:rsidR="00134CC1">
        <w:rPr>
          <w:rFonts w:cs="Arial"/>
          <w:sz w:val="20"/>
        </w:rPr>
        <w:t xml:space="preserve">in punt </w:t>
      </w:r>
      <w:r w:rsidR="002A5B11">
        <w:rPr>
          <w:rFonts w:cs="Arial"/>
          <w:sz w:val="20"/>
        </w:rPr>
        <w:t>3.</w:t>
      </w:r>
      <w:r w:rsidR="00134CC1">
        <w:rPr>
          <w:rFonts w:cs="Arial"/>
          <w:sz w:val="20"/>
        </w:rPr>
        <w:t>3</w:t>
      </w:r>
      <w:r w:rsidR="002A5B11">
        <w:rPr>
          <w:rFonts w:cs="Arial"/>
          <w:sz w:val="20"/>
        </w:rPr>
        <w:t>)</w:t>
      </w:r>
      <w:r w:rsidR="00E32E9B">
        <w:rPr>
          <w:rFonts w:cs="Arial"/>
          <w:sz w:val="20"/>
        </w:rPr>
        <w:t>.</w:t>
      </w:r>
      <w:r w:rsidR="00E11857" w:rsidRPr="00A34A91">
        <w:rPr>
          <w:rFonts w:cs="Arial"/>
          <w:sz w:val="20"/>
        </w:rPr>
        <w:t xml:space="preserve"> </w:t>
      </w:r>
      <w:r w:rsidR="00D61D12">
        <w:rPr>
          <w:rFonts w:cs="Arial"/>
          <w:sz w:val="20"/>
        </w:rPr>
        <w:t xml:space="preserve">Een </w:t>
      </w:r>
      <w:r w:rsidR="00D61D12">
        <w:rPr>
          <w:rFonts w:cs="Arial"/>
          <w:sz w:val="20"/>
          <w:u w:val="single"/>
        </w:rPr>
        <w:t>r</w:t>
      </w:r>
      <w:r w:rsidR="00B93CB3" w:rsidRPr="00B93CB3">
        <w:rPr>
          <w:rFonts w:cs="Arial"/>
          <w:sz w:val="20"/>
          <w:u w:val="single"/>
        </w:rPr>
        <w:t xml:space="preserve">uwe raming van de kosten </w:t>
      </w:r>
      <w:r w:rsidR="00B93CB3">
        <w:rPr>
          <w:rFonts w:cs="Arial"/>
          <w:sz w:val="20"/>
          <w:u w:val="single"/>
        </w:rPr>
        <w:t>van de totale inzet van artsen is ca</w:t>
      </w:r>
      <w:r w:rsidR="00B93CB3" w:rsidRPr="00B93CB3">
        <w:rPr>
          <w:rFonts w:cs="Arial"/>
          <w:sz w:val="20"/>
          <w:u w:val="single"/>
        </w:rPr>
        <w:t xml:space="preserve"> 1,</w:t>
      </w:r>
      <w:r w:rsidR="00A720F0">
        <w:rPr>
          <w:rFonts w:cs="Arial"/>
          <w:sz w:val="20"/>
          <w:u w:val="single"/>
        </w:rPr>
        <w:t>3</w:t>
      </w:r>
      <w:r w:rsidR="00B93CB3" w:rsidRPr="00B93CB3">
        <w:rPr>
          <w:rFonts w:cs="Arial"/>
          <w:sz w:val="20"/>
          <w:u w:val="single"/>
        </w:rPr>
        <w:t xml:space="preserve"> </w:t>
      </w:r>
      <w:proofErr w:type="spellStart"/>
      <w:r w:rsidR="00B93CB3" w:rsidRPr="00B93CB3">
        <w:rPr>
          <w:rFonts w:cs="Arial"/>
          <w:sz w:val="20"/>
          <w:u w:val="single"/>
        </w:rPr>
        <w:t>mln</w:t>
      </w:r>
      <w:proofErr w:type="spellEnd"/>
      <w:r w:rsidR="00B93CB3" w:rsidRPr="00B93CB3">
        <w:rPr>
          <w:rFonts w:cs="Arial"/>
          <w:sz w:val="20"/>
          <w:u w:val="single"/>
        </w:rPr>
        <w:t xml:space="preserve"> euro</w:t>
      </w:r>
      <w:r w:rsidR="00D61D12" w:rsidRPr="002457D9">
        <w:rPr>
          <w:rFonts w:cs="Arial"/>
          <w:sz w:val="20"/>
        </w:rPr>
        <w:t>.</w:t>
      </w:r>
      <w:r w:rsidR="00D61D12" w:rsidRPr="002457D9">
        <w:rPr>
          <w:rStyle w:val="FootnoteReference"/>
          <w:rFonts w:cs="Arial"/>
          <w:sz w:val="20"/>
        </w:rPr>
        <w:footnoteReference w:id="21"/>
      </w:r>
    </w:p>
    <w:p w:rsidR="005C6936" w:rsidRDefault="005C6936">
      <w:pPr>
        <w:spacing w:after="0"/>
        <w:jc w:val="left"/>
        <w:rPr>
          <w:rFonts w:cs="Arial"/>
          <w:b/>
          <w:bCs/>
          <w:sz w:val="20"/>
        </w:rPr>
      </w:pPr>
    </w:p>
    <w:p w:rsidR="00D14D92" w:rsidRPr="00F46654" w:rsidRDefault="00BC1575" w:rsidP="00F46654">
      <w:pPr>
        <w:pStyle w:val="FootnoteText"/>
        <w:numPr>
          <w:ilvl w:val="0"/>
          <w:numId w:val="9"/>
        </w:numPr>
        <w:pBdr>
          <w:top w:val="single" w:sz="4" w:space="1" w:color="auto"/>
          <w:left w:val="single" w:sz="4" w:space="4" w:color="auto"/>
          <w:bottom w:val="single" w:sz="4" w:space="1" w:color="auto"/>
          <w:right w:val="single" w:sz="4" w:space="4" w:color="auto"/>
        </w:pBdr>
        <w:spacing w:after="0" w:line="240" w:lineRule="auto"/>
        <w:rPr>
          <w:rFonts w:cs="Arial"/>
          <w:b/>
          <w:bCs/>
          <w:sz w:val="20"/>
        </w:rPr>
      </w:pPr>
      <w:r>
        <w:rPr>
          <w:rFonts w:cs="Arial"/>
          <w:b/>
          <w:bCs/>
          <w:sz w:val="20"/>
        </w:rPr>
        <w:t xml:space="preserve">Externe </w:t>
      </w:r>
      <w:r w:rsidR="006312FE">
        <w:rPr>
          <w:rFonts w:cs="Arial"/>
          <w:b/>
          <w:bCs/>
          <w:sz w:val="20"/>
        </w:rPr>
        <w:t>e</w:t>
      </w:r>
      <w:r w:rsidR="00D14D92" w:rsidRPr="00F46654">
        <w:rPr>
          <w:rFonts w:cs="Arial"/>
          <w:b/>
          <w:bCs/>
          <w:sz w:val="20"/>
        </w:rPr>
        <w:t xml:space="preserve">xperten </w:t>
      </w:r>
    </w:p>
    <w:p w:rsidR="009F514C" w:rsidRDefault="009F514C" w:rsidP="009F514C">
      <w:pPr>
        <w:spacing w:after="0"/>
        <w:jc w:val="left"/>
        <w:rPr>
          <w:rFonts w:cs="Arial"/>
          <w:sz w:val="20"/>
        </w:rPr>
      </w:pPr>
    </w:p>
    <w:p w:rsidR="002111BF" w:rsidRDefault="002111BF" w:rsidP="009F514C">
      <w:pPr>
        <w:spacing w:after="0"/>
        <w:jc w:val="left"/>
        <w:rPr>
          <w:rFonts w:cs="Arial"/>
          <w:sz w:val="20"/>
        </w:rPr>
      </w:pPr>
      <w:r>
        <w:rPr>
          <w:rFonts w:cs="Arial"/>
          <w:sz w:val="20"/>
        </w:rPr>
        <w:t xml:space="preserve">We verwachten dat we </w:t>
      </w:r>
      <w:r w:rsidRPr="002111BF">
        <w:rPr>
          <w:rFonts w:cs="Arial"/>
          <w:sz w:val="20"/>
          <w:u w:val="single"/>
        </w:rPr>
        <w:t>voldoende experten</w:t>
      </w:r>
      <w:r>
        <w:rPr>
          <w:rFonts w:cs="Arial"/>
          <w:sz w:val="20"/>
        </w:rPr>
        <w:t xml:space="preserve"> zullen blijven ter beschikking hebben. Immers tegenover het hoger aantal behandelde dossiers, staat dat er </w:t>
      </w:r>
      <w:r w:rsidRPr="002111BF">
        <w:rPr>
          <w:rFonts w:cs="Arial"/>
          <w:sz w:val="20"/>
          <w:u w:val="single"/>
        </w:rPr>
        <w:t>in verhouding substantieel minder beroep</w:t>
      </w:r>
      <w:r>
        <w:rPr>
          <w:rFonts w:cs="Arial"/>
          <w:sz w:val="20"/>
        </w:rPr>
        <w:t xml:space="preserve"> zal worden gedaan op externe experten. Het aantal tegensprekelijke expertises zal substantieel afnemen.</w:t>
      </w:r>
    </w:p>
    <w:p w:rsidR="002111BF" w:rsidRPr="002111BF" w:rsidRDefault="00610F8C" w:rsidP="002111BF">
      <w:pPr>
        <w:pStyle w:val="ListParagraph"/>
        <w:numPr>
          <w:ilvl w:val="0"/>
          <w:numId w:val="5"/>
        </w:numPr>
        <w:spacing w:after="0" w:line="240" w:lineRule="auto"/>
        <w:rPr>
          <w:rFonts w:ascii="Arial" w:hAnsi="Arial" w:cs="Arial"/>
          <w:sz w:val="20"/>
          <w:szCs w:val="20"/>
        </w:rPr>
      </w:pPr>
      <w:r w:rsidRPr="002111BF">
        <w:rPr>
          <w:rFonts w:ascii="Arial" w:hAnsi="Arial" w:cs="Arial"/>
          <w:sz w:val="20"/>
          <w:szCs w:val="20"/>
        </w:rPr>
        <w:t>Tegensprekelijke expertises zullen slechts gebeuren in ongeveer 50% (ernstgraad bereikt en niet kennelijk ongegrond) van de dossiers. Eenzijdige expertise is op basis van de tabel nodig in 8 % van de dossiers (ernstgraad bereikt en indicaties voor aansprakelijkheid</w:t>
      </w:r>
      <w:r w:rsidR="002111BF" w:rsidRPr="002111BF">
        <w:rPr>
          <w:rFonts w:ascii="Arial" w:hAnsi="Arial" w:cs="Arial"/>
          <w:sz w:val="20"/>
          <w:szCs w:val="20"/>
        </w:rPr>
        <w:t>)</w:t>
      </w:r>
      <w:r w:rsidRPr="002111BF">
        <w:rPr>
          <w:rFonts w:ascii="Arial" w:hAnsi="Arial" w:cs="Arial"/>
          <w:sz w:val="20"/>
          <w:szCs w:val="20"/>
        </w:rPr>
        <w:t xml:space="preserve">. </w:t>
      </w:r>
    </w:p>
    <w:p w:rsidR="00D14D92" w:rsidRPr="002111BF" w:rsidRDefault="00610F8C" w:rsidP="002111BF">
      <w:pPr>
        <w:pStyle w:val="ListParagraph"/>
        <w:numPr>
          <w:ilvl w:val="0"/>
          <w:numId w:val="5"/>
        </w:numPr>
        <w:spacing w:after="0" w:line="240" w:lineRule="auto"/>
        <w:rPr>
          <w:rFonts w:ascii="Arial" w:hAnsi="Arial" w:cs="Arial"/>
          <w:sz w:val="20"/>
          <w:szCs w:val="20"/>
        </w:rPr>
      </w:pPr>
      <w:r w:rsidRPr="002111BF">
        <w:rPr>
          <w:rFonts w:ascii="Arial" w:hAnsi="Arial" w:cs="Arial"/>
          <w:sz w:val="20"/>
          <w:szCs w:val="20"/>
        </w:rPr>
        <w:t xml:space="preserve">In het verleden waren </w:t>
      </w:r>
      <w:r w:rsidR="002111BF" w:rsidRPr="002111BF">
        <w:rPr>
          <w:rFonts w:ascii="Arial" w:hAnsi="Arial" w:cs="Arial"/>
          <w:sz w:val="20"/>
          <w:szCs w:val="20"/>
        </w:rPr>
        <w:t xml:space="preserve">op basis van </w:t>
      </w:r>
      <w:r w:rsidRPr="002111BF">
        <w:rPr>
          <w:rFonts w:ascii="Arial" w:hAnsi="Arial" w:cs="Arial"/>
          <w:sz w:val="20"/>
          <w:szCs w:val="20"/>
        </w:rPr>
        <w:t xml:space="preserve">de gegevens 2019 </w:t>
      </w:r>
      <w:r w:rsidR="002111BF" w:rsidRPr="002111BF">
        <w:rPr>
          <w:rFonts w:ascii="Arial" w:hAnsi="Arial" w:cs="Arial"/>
          <w:sz w:val="20"/>
          <w:szCs w:val="20"/>
        </w:rPr>
        <w:t>ca</w:t>
      </w:r>
      <w:r w:rsidRPr="002111BF">
        <w:rPr>
          <w:rFonts w:ascii="Arial" w:hAnsi="Arial" w:cs="Arial"/>
          <w:sz w:val="20"/>
          <w:szCs w:val="20"/>
        </w:rPr>
        <w:t xml:space="preserve"> 85% </w:t>
      </w:r>
      <w:r w:rsidR="009F473D" w:rsidRPr="002111BF">
        <w:rPr>
          <w:rFonts w:ascii="Arial" w:hAnsi="Arial" w:cs="Arial"/>
          <w:sz w:val="20"/>
          <w:szCs w:val="20"/>
        </w:rPr>
        <w:t xml:space="preserve">van de expertises tegensprekelijk en gebeurde er bijna in elk dossier een expertise. </w:t>
      </w:r>
    </w:p>
    <w:p w:rsidR="009F473D" w:rsidRPr="002111BF" w:rsidRDefault="009F473D" w:rsidP="002111BF">
      <w:pPr>
        <w:pStyle w:val="ListParagraph"/>
        <w:numPr>
          <w:ilvl w:val="0"/>
          <w:numId w:val="5"/>
        </w:numPr>
        <w:spacing w:after="0" w:line="240" w:lineRule="auto"/>
        <w:rPr>
          <w:rFonts w:ascii="Arial" w:hAnsi="Arial" w:cs="Arial"/>
          <w:sz w:val="20"/>
          <w:szCs w:val="20"/>
        </w:rPr>
      </w:pPr>
      <w:r w:rsidRPr="002111BF">
        <w:rPr>
          <w:rFonts w:ascii="Arial" w:hAnsi="Arial" w:cs="Arial"/>
          <w:sz w:val="20"/>
          <w:szCs w:val="20"/>
        </w:rPr>
        <w:t xml:space="preserve">Voor de dossiers </w:t>
      </w:r>
      <w:r w:rsidR="002111BF" w:rsidRPr="002111BF">
        <w:rPr>
          <w:rFonts w:ascii="Arial" w:hAnsi="Arial" w:cs="Arial"/>
          <w:sz w:val="20"/>
          <w:szCs w:val="20"/>
        </w:rPr>
        <w:t xml:space="preserve">zonder </w:t>
      </w:r>
      <w:r w:rsidRPr="002111BF">
        <w:rPr>
          <w:rFonts w:ascii="Arial" w:hAnsi="Arial" w:cs="Arial"/>
          <w:sz w:val="20"/>
          <w:szCs w:val="20"/>
        </w:rPr>
        <w:t xml:space="preserve">indicatie ernstgraad en </w:t>
      </w:r>
      <w:r w:rsidR="002111BF" w:rsidRPr="002111BF">
        <w:rPr>
          <w:rFonts w:ascii="Arial" w:hAnsi="Arial" w:cs="Arial"/>
          <w:sz w:val="20"/>
          <w:szCs w:val="20"/>
        </w:rPr>
        <w:t>zonder</w:t>
      </w:r>
      <w:r w:rsidRPr="002111BF">
        <w:rPr>
          <w:rFonts w:ascii="Arial" w:hAnsi="Arial" w:cs="Arial"/>
          <w:sz w:val="20"/>
          <w:szCs w:val="20"/>
        </w:rPr>
        <w:t xml:space="preserve"> indicatie aansprakelijkheid </w:t>
      </w:r>
      <w:r w:rsidR="002111BF" w:rsidRPr="002111BF">
        <w:rPr>
          <w:rFonts w:ascii="Arial" w:hAnsi="Arial" w:cs="Arial"/>
          <w:sz w:val="20"/>
          <w:szCs w:val="20"/>
        </w:rPr>
        <w:t xml:space="preserve">(ca 25%) </w:t>
      </w:r>
      <w:r w:rsidRPr="002111BF">
        <w:rPr>
          <w:rFonts w:ascii="Arial" w:hAnsi="Arial" w:cs="Arial"/>
          <w:sz w:val="20"/>
          <w:szCs w:val="20"/>
        </w:rPr>
        <w:t>is behalve de eerste medische evaluatie geen expertise nodig. Voor de overige dossiers wordt er beroep gedaan op de interne artsen</w:t>
      </w:r>
      <w:r w:rsidR="00852D0D">
        <w:rPr>
          <w:rFonts w:ascii="Arial" w:hAnsi="Arial" w:cs="Arial"/>
          <w:sz w:val="20"/>
          <w:szCs w:val="20"/>
        </w:rPr>
        <w:t>, eventueel zal een eenzijdige expertise georganiseerd worden</w:t>
      </w:r>
      <w:r w:rsidRPr="002111BF">
        <w:rPr>
          <w:rFonts w:ascii="Arial" w:hAnsi="Arial" w:cs="Arial"/>
          <w:sz w:val="20"/>
          <w:szCs w:val="20"/>
        </w:rPr>
        <w:t>.</w:t>
      </w:r>
    </w:p>
    <w:p w:rsidR="002111BF" w:rsidRPr="009F514C" w:rsidRDefault="002111BF" w:rsidP="009F514C">
      <w:pPr>
        <w:spacing w:after="0"/>
        <w:jc w:val="left"/>
        <w:rPr>
          <w:rFonts w:cs="Arial"/>
          <w:sz w:val="20"/>
        </w:rPr>
      </w:pPr>
    </w:p>
    <w:p w:rsidR="00203FC0" w:rsidRDefault="009F473D">
      <w:pPr>
        <w:spacing w:after="0"/>
        <w:jc w:val="left"/>
        <w:rPr>
          <w:rFonts w:cs="Arial"/>
          <w:b/>
          <w:bCs/>
          <w:sz w:val="20"/>
        </w:rPr>
      </w:pPr>
      <w:r w:rsidRPr="009F514C">
        <w:rPr>
          <w:rFonts w:cs="Arial"/>
          <w:sz w:val="20"/>
        </w:rPr>
        <w:t xml:space="preserve">De </w:t>
      </w:r>
      <w:r w:rsidRPr="002111BF">
        <w:rPr>
          <w:rFonts w:cs="Arial"/>
          <w:sz w:val="20"/>
          <w:u w:val="single"/>
        </w:rPr>
        <w:t>overheidsopdracht ‘externe experten’ wordt vernieuwd</w:t>
      </w:r>
      <w:r w:rsidRPr="009F514C">
        <w:rPr>
          <w:rFonts w:cs="Arial"/>
          <w:sz w:val="20"/>
        </w:rPr>
        <w:t xml:space="preserve"> en zal opnieuw gegund worden mei-juni 2021. Het FMO </w:t>
      </w:r>
      <w:r w:rsidR="00DA29BD">
        <w:rPr>
          <w:rFonts w:cs="Arial"/>
          <w:sz w:val="20"/>
        </w:rPr>
        <w:t>geeft</w:t>
      </w:r>
      <w:r w:rsidRPr="009F514C">
        <w:rPr>
          <w:rFonts w:cs="Arial"/>
          <w:sz w:val="20"/>
        </w:rPr>
        <w:t xml:space="preserve"> bij de publicatie van het lastenboek hieraan de nodige ruchtbaarheid. </w:t>
      </w:r>
      <w:r w:rsidR="00DA29BD">
        <w:rPr>
          <w:rFonts w:cs="Arial"/>
          <w:sz w:val="20"/>
        </w:rPr>
        <w:t xml:space="preserve"> Het is uitgegeven 5 februari en inschrijvingen kunnen nog tot begin maart.</w:t>
      </w:r>
      <w:r w:rsidR="00203FC0">
        <w:rPr>
          <w:rFonts w:cs="Arial"/>
          <w:b/>
          <w:bCs/>
          <w:sz w:val="20"/>
        </w:rPr>
        <w:br w:type="page"/>
      </w:r>
    </w:p>
    <w:p w:rsidR="00B93CB3" w:rsidRPr="00D769B7" w:rsidRDefault="00B93CB3" w:rsidP="004B51B4">
      <w:pPr>
        <w:pStyle w:val="FootnoteText"/>
        <w:numPr>
          <w:ilvl w:val="0"/>
          <w:numId w:val="9"/>
        </w:numPr>
        <w:pBdr>
          <w:top w:val="single" w:sz="4" w:space="1" w:color="auto"/>
          <w:left w:val="single" w:sz="4" w:space="4" w:color="auto"/>
          <w:bottom w:val="single" w:sz="4" w:space="1" w:color="auto"/>
          <w:right w:val="single" w:sz="4" w:space="4" w:color="auto"/>
        </w:pBdr>
        <w:spacing w:after="0" w:line="240" w:lineRule="auto"/>
        <w:rPr>
          <w:rFonts w:cs="Arial"/>
          <w:b/>
          <w:bCs/>
          <w:sz w:val="20"/>
        </w:rPr>
      </w:pPr>
      <w:r>
        <w:rPr>
          <w:rFonts w:cs="Arial"/>
          <w:b/>
          <w:bCs/>
          <w:sz w:val="20"/>
        </w:rPr>
        <w:lastRenderedPageBreak/>
        <w:t>Administratieve krachten</w:t>
      </w:r>
    </w:p>
    <w:p w:rsidR="00B93CB3" w:rsidRDefault="00B93CB3" w:rsidP="00B93CB3">
      <w:pPr>
        <w:spacing w:after="0"/>
        <w:rPr>
          <w:rFonts w:cs="Arial"/>
          <w:sz w:val="20"/>
        </w:rPr>
      </w:pPr>
    </w:p>
    <w:p w:rsidR="0000255E" w:rsidRPr="002F5F8A" w:rsidRDefault="00B93CB3" w:rsidP="0000255E">
      <w:pPr>
        <w:spacing w:after="0"/>
        <w:jc w:val="left"/>
        <w:rPr>
          <w:rFonts w:cs="Arial"/>
          <w:sz w:val="20"/>
        </w:rPr>
      </w:pPr>
      <w:r w:rsidRPr="002F5F8A">
        <w:rPr>
          <w:rFonts w:cs="Arial"/>
          <w:sz w:val="20"/>
        </w:rPr>
        <w:t xml:space="preserve">De </w:t>
      </w:r>
      <w:r w:rsidR="00DA29BD">
        <w:rPr>
          <w:rFonts w:cs="Arial"/>
          <w:sz w:val="20"/>
          <w:u w:val="single"/>
        </w:rPr>
        <w:t>12</w:t>
      </w:r>
      <w:r w:rsidRPr="002F5F8A">
        <w:rPr>
          <w:rFonts w:cs="Arial"/>
          <w:sz w:val="20"/>
          <w:u w:val="single"/>
        </w:rPr>
        <w:t xml:space="preserve"> jaar-VTE</w:t>
      </w:r>
      <w:r w:rsidRPr="002F5F8A">
        <w:rPr>
          <w:rFonts w:cs="Arial"/>
          <w:sz w:val="20"/>
        </w:rPr>
        <w:t xml:space="preserve"> administratieve krachten kunnen snel aangeworven worden met een </w:t>
      </w:r>
      <w:r w:rsidRPr="002F5F8A">
        <w:rPr>
          <w:rFonts w:cs="Arial"/>
          <w:sz w:val="20"/>
          <w:u w:val="single"/>
        </w:rPr>
        <w:t>contract eerste werkervaring</w:t>
      </w:r>
      <w:r w:rsidR="00621BB9">
        <w:rPr>
          <w:rFonts w:cs="Arial"/>
          <w:sz w:val="20"/>
          <w:u w:val="single"/>
        </w:rPr>
        <w:t xml:space="preserve">, mogelijks ook door een consultatie van de wervingsreserve van </w:t>
      </w:r>
      <w:proofErr w:type="spellStart"/>
      <w:r w:rsidR="00621BB9">
        <w:rPr>
          <w:rFonts w:cs="Arial"/>
          <w:sz w:val="20"/>
          <w:u w:val="single"/>
        </w:rPr>
        <w:t>Selor</w:t>
      </w:r>
      <w:proofErr w:type="spellEnd"/>
      <w:r w:rsidRPr="002F5F8A">
        <w:rPr>
          <w:rFonts w:cs="Arial"/>
          <w:sz w:val="20"/>
        </w:rPr>
        <w:t xml:space="preserve">. De jaarkost van een dergelijke VTE </w:t>
      </w:r>
      <w:r w:rsidR="00DA29BD">
        <w:rPr>
          <w:rFonts w:cs="Arial"/>
          <w:sz w:val="20"/>
        </w:rPr>
        <w:t xml:space="preserve">niveau-B is </w:t>
      </w:r>
      <w:r w:rsidR="0000255E" w:rsidRPr="002F5F8A">
        <w:rPr>
          <w:rFonts w:cs="Arial"/>
          <w:sz w:val="20"/>
        </w:rPr>
        <w:t xml:space="preserve">54.500 euro. </w:t>
      </w:r>
      <w:r w:rsidR="00DA29BD">
        <w:rPr>
          <w:rFonts w:cs="Arial"/>
          <w:sz w:val="20"/>
        </w:rPr>
        <w:t xml:space="preserve">Deze </w:t>
      </w:r>
      <w:r w:rsidR="00621BB9">
        <w:rPr>
          <w:rFonts w:cs="Arial"/>
          <w:sz w:val="20"/>
        </w:rPr>
        <w:t>B</w:t>
      </w:r>
      <w:r w:rsidR="00DA29BD">
        <w:rPr>
          <w:rFonts w:cs="Arial"/>
          <w:sz w:val="20"/>
        </w:rPr>
        <w:t>-</w:t>
      </w:r>
      <w:r w:rsidR="00621BB9">
        <w:rPr>
          <w:rFonts w:cs="Arial"/>
          <w:sz w:val="20"/>
        </w:rPr>
        <w:t xml:space="preserve">profielen zullen </w:t>
      </w:r>
      <w:proofErr w:type="spellStart"/>
      <w:r w:rsidR="00621BB9">
        <w:rPr>
          <w:rFonts w:cs="Arial"/>
          <w:sz w:val="20"/>
        </w:rPr>
        <w:t>grosso</w:t>
      </w:r>
      <w:proofErr w:type="spellEnd"/>
      <w:r w:rsidR="00621BB9">
        <w:rPr>
          <w:rFonts w:cs="Arial"/>
          <w:sz w:val="20"/>
        </w:rPr>
        <w:t xml:space="preserve"> </w:t>
      </w:r>
      <w:proofErr w:type="spellStart"/>
      <w:r w:rsidR="00621BB9">
        <w:rPr>
          <w:rFonts w:cs="Arial"/>
          <w:sz w:val="20"/>
        </w:rPr>
        <w:t>modo</w:t>
      </w:r>
      <w:proofErr w:type="spellEnd"/>
      <w:r w:rsidR="00621BB9">
        <w:rPr>
          <w:rFonts w:cs="Arial"/>
          <w:sz w:val="20"/>
        </w:rPr>
        <w:t xml:space="preserve"> hetzelfde werk doen als de dossierbeheerders nu. </w:t>
      </w:r>
      <w:r w:rsidR="00DA29BD">
        <w:rPr>
          <w:rFonts w:cs="Arial"/>
          <w:sz w:val="20"/>
        </w:rPr>
        <w:t xml:space="preserve">Dit vertegenwoordigt </w:t>
      </w:r>
      <w:r w:rsidR="0000255E" w:rsidRPr="002F5F8A">
        <w:rPr>
          <w:rFonts w:cs="Arial"/>
          <w:sz w:val="20"/>
        </w:rPr>
        <w:t xml:space="preserve">een </w:t>
      </w:r>
      <w:r w:rsidR="0000255E" w:rsidRPr="002F5F8A">
        <w:rPr>
          <w:rFonts w:cs="Arial"/>
          <w:sz w:val="20"/>
          <w:u w:val="single"/>
        </w:rPr>
        <w:t xml:space="preserve">totaal geraamde kost van </w:t>
      </w:r>
      <w:r w:rsidR="00772998" w:rsidRPr="002F5F8A">
        <w:rPr>
          <w:rFonts w:cs="Arial"/>
          <w:sz w:val="20"/>
          <w:u w:val="single"/>
        </w:rPr>
        <w:t>ca 0,</w:t>
      </w:r>
      <w:r w:rsidR="00DA29BD">
        <w:rPr>
          <w:rFonts w:cs="Arial"/>
          <w:sz w:val="20"/>
          <w:u w:val="single"/>
        </w:rPr>
        <w:t>7</w:t>
      </w:r>
      <w:r w:rsidR="00D61D12" w:rsidRPr="002F5F8A">
        <w:rPr>
          <w:rFonts w:cs="Arial"/>
          <w:sz w:val="20"/>
          <w:u w:val="single"/>
        </w:rPr>
        <w:t xml:space="preserve"> </w:t>
      </w:r>
      <w:proofErr w:type="spellStart"/>
      <w:r w:rsidR="00D61D12" w:rsidRPr="002F5F8A">
        <w:rPr>
          <w:rFonts w:cs="Arial"/>
          <w:sz w:val="20"/>
          <w:u w:val="single"/>
        </w:rPr>
        <w:t>mln</w:t>
      </w:r>
      <w:proofErr w:type="spellEnd"/>
      <w:r w:rsidR="0000255E" w:rsidRPr="002F5F8A">
        <w:rPr>
          <w:rFonts w:cs="Arial"/>
          <w:sz w:val="20"/>
          <w:u w:val="single"/>
        </w:rPr>
        <w:t xml:space="preserve"> euro</w:t>
      </w:r>
      <w:r w:rsidR="0000255E" w:rsidRPr="002F5F8A">
        <w:rPr>
          <w:rFonts w:cs="Arial"/>
          <w:sz w:val="20"/>
        </w:rPr>
        <w:t xml:space="preserve"> (dus gespreid over twee jaar).</w:t>
      </w:r>
    </w:p>
    <w:p w:rsidR="00A02B3B" w:rsidRPr="00A34A91" w:rsidRDefault="00A02B3B" w:rsidP="00B93CB3">
      <w:pPr>
        <w:spacing w:after="0"/>
        <w:jc w:val="left"/>
        <w:rPr>
          <w:rFonts w:cs="Arial"/>
          <w:sz w:val="20"/>
        </w:rPr>
      </w:pPr>
    </w:p>
    <w:p w:rsidR="00B93CB3" w:rsidRPr="00D769B7" w:rsidRDefault="00B93CB3" w:rsidP="004B51B4">
      <w:pPr>
        <w:pStyle w:val="FootnoteText"/>
        <w:numPr>
          <w:ilvl w:val="0"/>
          <w:numId w:val="9"/>
        </w:numPr>
        <w:pBdr>
          <w:top w:val="single" w:sz="4" w:space="1" w:color="auto"/>
          <w:left w:val="single" w:sz="4" w:space="4" w:color="auto"/>
          <w:bottom w:val="single" w:sz="4" w:space="1" w:color="auto"/>
          <w:right w:val="single" w:sz="4" w:space="4" w:color="auto"/>
        </w:pBdr>
        <w:spacing w:after="0" w:line="240" w:lineRule="auto"/>
        <w:rPr>
          <w:rFonts w:cs="Arial"/>
          <w:b/>
          <w:bCs/>
          <w:sz w:val="20"/>
        </w:rPr>
      </w:pPr>
      <w:r>
        <w:rPr>
          <w:rFonts w:cs="Arial"/>
          <w:b/>
          <w:bCs/>
          <w:sz w:val="20"/>
        </w:rPr>
        <w:t>Juristen</w:t>
      </w:r>
    </w:p>
    <w:p w:rsidR="00B93CB3" w:rsidRDefault="00B93CB3" w:rsidP="00B93CB3">
      <w:pPr>
        <w:spacing w:after="0"/>
        <w:rPr>
          <w:rFonts w:cs="Arial"/>
          <w:sz w:val="20"/>
        </w:rPr>
      </w:pPr>
    </w:p>
    <w:p w:rsidR="0000255E" w:rsidRPr="002F5F8A" w:rsidRDefault="00CD5D75">
      <w:pPr>
        <w:spacing w:after="0"/>
        <w:jc w:val="left"/>
        <w:rPr>
          <w:rFonts w:cs="Arial"/>
          <w:sz w:val="20"/>
        </w:rPr>
      </w:pPr>
      <w:r w:rsidRPr="002F5F8A">
        <w:rPr>
          <w:rFonts w:cs="Arial"/>
          <w:sz w:val="20"/>
          <w:u w:val="single"/>
        </w:rPr>
        <w:t>De 10</w:t>
      </w:r>
      <w:r w:rsidR="002F5F8A">
        <w:rPr>
          <w:rFonts w:cs="Arial"/>
          <w:sz w:val="20"/>
          <w:u w:val="single"/>
        </w:rPr>
        <w:t xml:space="preserve"> jaar</w:t>
      </w:r>
      <w:r w:rsidRPr="002F5F8A">
        <w:rPr>
          <w:rFonts w:cs="Arial"/>
          <w:sz w:val="20"/>
          <w:u w:val="single"/>
        </w:rPr>
        <w:t>-</w:t>
      </w:r>
      <w:r w:rsidR="0000255E" w:rsidRPr="002F5F8A">
        <w:rPr>
          <w:rFonts w:cs="Arial"/>
          <w:sz w:val="20"/>
          <w:u w:val="single"/>
        </w:rPr>
        <w:t>VTE juristen</w:t>
      </w:r>
      <w:r w:rsidR="0000255E" w:rsidRPr="002F5F8A">
        <w:rPr>
          <w:rFonts w:cs="Arial"/>
          <w:sz w:val="20"/>
        </w:rPr>
        <w:t xml:space="preserve"> kunnen op dezelfde manier worden aangeworven als de administratieve krachten. Ze hebben een jaarlijkse kost van 66.072 euro. Dat komt dus neer op een </w:t>
      </w:r>
      <w:r w:rsidR="0000255E" w:rsidRPr="002F5F8A">
        <w:rPr>
          <w:rFonts w:cs="Arial"/>
          <w:sz w:val="20"/>
          <w:u w:val="single"/>
        </w:rPr>
        <w:t>tota</w:t>
      </w:r>
      <w:r w:rsidR="000B2468">
        <w:rPr>
          <w:rFonts w:cs="Arial"/>
          <w:sz w:val="20"/>
          <w:u w:val="single"/>
        </w:rPr>
        <w:t>al geraamde</w:t>
      </w:r>
      <w:r w:rsidR="0000255E" w:rsidRPr="002F5F8A">
        <w:rPr>
          <w:rFonts w:cs="Arial"/>
          <w:sz w:val="20"/>
          <w:u w:val="single"/>
        </w:rPr>
        <w:t xml:space="preserve"> kost van </w:t>
      </w:r>
      <w:r w:rsidR="00D61D12" w:rsidRPr="002F5F8A">
        <w:rPr>
          <w:rFonts w:cs="Arial"/>
          <w:sz w:val="20"/>
          <w:u w:val="single"/>
        </w:rPr>
        <w:t xml:space="preserve">ca </w:t>
      </w:r>
      <w:r w:rsidR="002F5F8A" w:rsidRPr="002F5F8A">
        <w:rPr>
          <w:rFonts w:cs="Arial"/>
          <w:sz w:val="20"/>
          <w:u w:val="single"/>
        </w:rPr>
        <w:t>0,</w:t>
      </w:r>
      <w:r w:rsidR="004A0E2A">
        <w:rPr>
          <w:rFonts w:cs="Arial"/>
          <w:sz w:val="20"/>
          <w:u w:val="single"/>
        </w:rPr>
        <w:t>7</w:t>
      </w:r>
      <w:r w:rsidRPr="002F5F8A">
        <w:rPr>
          <w:rFonts w:cs="Arial"/>
          <w:sz w:val="20"/>
          <w:u w:val="single"/>
        </w:rPr>
        <w:t xml:space="preserve"> </w:t>
      </w:r>
      <w:proofErr w:type="spellStart"/>
      <w:r w:rsidR="0000255E" w:rsidRPr="002F5F8A">
        <w:rPr>
          <w:rFonts w:cs="Arial"/>
          <w:sz w:val="20"/>
          <w:u w:val="single"/>
        </w:rPr>
        <w:t>mln</w:t>
      </w:r>
      <w:proofErr w:type="spellEnd"/>
      <w:r w:rsidR="0000255E" w:rsidRPr="002F5F8A">
        <w:rPr>
          <w:rFonts w:cs="Arial"/>
          <w:sz w:val="20"/>
          <w:u w:val="single"/>
        </w:rPr>
        <w:t xml:space="preserve"> euro</w:t>
      </w:r>
      <w:r w:rsidR="0000255E" w:rsidRPr="002F5F8A">
        <w:rPr>
          <w:rFonts w:cs="Arial"/>
          <w:sz w:val="20"/>
        </w:rPr>
        <w:t xml:space="preserve"> (gespreid over twee jaar).</w:t>
      </w:r>
    </w:p>
    <w:p w:rsidR="00166682" w:rsidRPr="00A34A91" w:rsidRDefault="00166682" w:rsidP="00166682">
      <w:pPr>
        <w:spacing w:after="0"/>
        <w:jc w:val="left"/>
        <w:rPr>
          <w:rFonts w:cs="Arial"/>
          <w:sz w:val="20"/>
        </w:rPr>
      </w:pPr>
    </w:p>
    <w:p w:rsidR="00166682" w:rsidRPr="00D769B7" w:rsidRDefault="00B25518" w:rsidP="00166682">
      <w:pPr>
        <w:pStyle w:val="FootnoteText"/>
        <w:numPr>
          <w:ilvl w:val="0"/>
          <w:numId w:val="9"/>
        </w:numPr>
        <w:pBdr>
          <w:top w:val="single" w:sz="4" w:space="1" w:color="auto"/>
          <w:left w:val="single" w:sz="4" w:space="4" w:color="auto"/>
          <w:bottom w:val="single" w:sz="4" w:space="1" w:color="auto"/>
          <w:right w:val="single" w:sz="4" w:space="4" w:color="auto"/>
        </w:pBdr>
        <w:spacing w:after="0" w:line="240" w:lineRule="auto"/>
        <w:rPr>
          <w:rFonts w:cs="Arial"/>
          <w:b/>
          <w:bCs/>
          <w:sz w:val="20"/>
        </w:rPr>
      </w:pPr>
      <w:r>
        <w:rPr>
          <w:rFonts w:cs="Arial"/>
          <w:b/>
          <w:bCs/>
          <w:sz w:val="20"/>
        </w:rPr>
        <w:t>S</w:t>
      </w:r>
      <w:r w:rsidR="00166682">
        <w:rPr>
          <w:rFonts w:cs="Arial"/>
          <w:b/>
          <w:bCs/>
          <w:sz w:val="20"/>
        </w:rPr>
        <w:t>chadevergoedingen</w:t>
      </w:r>
    </w:p>
    <w:p w:rsidR="00166682" w:rsidRDefault="00166682" w:rsidP="00166682">
      <w:pPr>
        <w:spacing w:after="0"/>
        <w:rPr>
          <w:rFonts w:cs="Arial"/>
          <w:sz w:val="20"/>
        </w:rPr>
      </w:pPr>
    </w:p>
    <w:p w:rsidR="00166682" w:rsidRDefault="00166682" w:rsidP="00166682">
      <w:pPr>
        <w:spacing w:after="0"/>
        <w:jc w:val="left"/>
        <w:rPr>
          <w:rFonts w:cs="Arial"/>
          <w:sz w:val="20"/>
        </w:rPr>
      </w:pPr>
      <w:r w:rsidRPr="00635A06">
        <w:rPr>
          <w:rFonts w:cs="Arial"/>
          <w:sz w:val="20"/>
        </w:rPr>
        <w:t xml:space="preserve">Door de versnelde afwerking  van de achterstand zullen er uiteraard ook </w:t>
      </w:r>
      <w:r w:rsidR="00DC6BDF">
        <w:rPr>
          <w:rFonts w:cs="Arial"/>
          <w:sz w:val="20"/>
        </w:rPr>
        <w:t xml:space="preserve">meer </w:t>
      </w:r>
      <w:r w:rsidRPr="00635A06">
        <w:rPr>
          <w:rFonts w:cs="Arial"/>
          <w:sz w:val="20"/>
        </w:rPr>
        <w:t xml:space="preserve">schadevergoedingen betaald worden. Uitgaande de vaststellingen van het verleden rond de verhouding tussen de afgewerkte dossiers en de uitbetaalde schadevergoedingen en een gemiddelde schadevergoeding van 150.000 euro komt dit overeen met een bijkomend bedrag van in totaal 30,3 </w:t>
      </w:r>
      <w:proofErr w:type="spellStart"/>
      <w:r w:rsidRPr="00635A06">
        <w:rPr>
          <w:rFonts w:cs="Arial"/>
          <w:sz w:val="20"/>
        </w:rPr>
        <w:t>mln</w:t>
      </w:r>
      <w:proofErr w:type="spellEnd"/>
      <w:r w:rsidRPr="00635A06">
        <w:rPr>
          <w:rFonts w:cs="Arial"/>
          <w:sz w:val="20"/>
        </w:rPr>
        <w:t xml:space="preserve"> euro. </w:t>
      </w:r>
      <w:r w:rsidR="00B57FB6">
        <w:rPr>
          <w:rFonts w:cs="Arial"/>
          <w:sz w:val="20"/>
        </w:rPr>
        <w:t>E</w:t>
      </w:r>
      <w:r w:rsidRPr="00635A06">
        <w:rPr>
          <w:rFonts w:cs="Arial"/>
          <w:sz w:val="20"/>
        </w:rPr>
        <w:t>ventuele terugvorderingen zijn bijzonder moeilijk te becijferen en zullen in deze periode niet gerealiseerd worden gelet op de termijnen bij behande</w:t>
      </w:r>
      <w:r w:rsidR="00DC6BDF">
        <w:rPr>
          <w:rFonts w:cs="Arial"/>
          <w:sz w:val="20"/>
        </w:rPr>
        <w:t>l</w:t>
      </w:r>
      <w:r w:rsidRPr="00635A06">
        <w:rPr>
          <w:rFonts w:cs="Arial"/>
          <w:sz w:val="20"/>
        </w:rPr>
        <w:t>ing voor de rechtbank;</w:t>
      </w:r>
    </w:p>
    <w:p w:rsidR="00B57FB6" w:rsidRDefault="00B57FB6" w:rsidP="00166682">
      <w:pPr>
        <w:spacing w:after="0"/>
        <w:jc w:val="left"/>
        <w:rPr>
          <w:rFonts w:cs="Arial"/>
          <w:sz w:val="20"/>
        </w:rPr>
      </w:pPr>
    </w:p>
    <w:p w:rsidR="00B57FB6" w:rsidRDefault="00B57FB6" w:rsidP="00B57FB6">
      <w:pPr>
        <w:spacing w:after="0"/>
        <w:jc w:val="left"/>
        <w:rPr>
          <w:rFonts w:cs="Arial"/>
          <w:sz w:val="20"/>
          <w:lang w:val="nl-BE"/>
        </w:rPr>
      </w:pPr>
      <w:r>
        <w:rPr>
          <w:rFonts w:cs="Arial"/>
          <w:sz w:val="20"/>
          <w:lang w:val="nl-BE"/>
        </w:rPr>
        <w:t xml:space="preserve">De </w:t>
      </w:r>
      <w:r w:rsidRPr="00F6115D">
        <w:rPr>
          <w:rFonts w:cs="Arial"/>
          <w:sz w:val="20"/>
          <w:u w:val="single"/>
          <w:lang w:val="nl-BE"/>
        </w:rPr>
        <w:t>spreiding in de tijd</w:t>
      </w:r>
      <w:r>
        <w:rPr>
          <w:rFonts w:cs="Arial"/>
          <w:sz w:val="20"/>
          <w:lang w:val="nl-BE"/>
        </w:rPr>
        <w:t xml:space="preserve"> verbonden aan het stroomschema van de afhandeling van de dossiers (zie bijlage 5.1 voor onderliggende redenering) ziet eruit als volgt.</w:t>
      </w:r>
    </w:p>
    <w:p w:rsidR="00B57FB6" w:rsidRDefault="00B57FB6" w:rsidP="00B57FB6">
      <w:pPr>
        <w:spacing w:after="0"/>
        <w:jc w:val="left"/>
        <w:rPr>
          <w:rFonts w:cs="Arial"/>
          <w:sz w:val="20"/>
          <w:lang w:val="nl-BE"/>
        </w:rPr>
      </w:pPr>
    </w:p>
    <w:p w:rsidR="00B57FB6" w:rsidRDefault="00B57FB6" w:rsidP="00B57FB6">
      <w:pPr>
        <w:spacing w:after="0"/>
        <w:jc w:val="left"/>
        <w:rPr>
          <w:rFonts w:cs="Arial"/>
          <w:sz w:val="20"/>
          <w:lang w:val="nl-BE"/>
        </w:rPr>
      </w:pPr>
      <w:r w:rsidRPr="00306784">
        <w:rPr>
          <w:noProof/>
          <w:lang w:val="en-GB" w:eastAsia="en-GB"/>
        </w:rPr>
        <w:drawing>
          <wp:inline distT="0" distB="0" distL="0" distR="0" wp14:anchorId="03E3AC35" wp14:editId="50520D66">
            <wp:extent cx="9157970" cy="821055"/>
            <wp:effectExtent l="0" t="0" r="508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57970" cy="821055"/>
                    </a:xfrm>
                    <a:prstGeom prst="rect">
                      <a:avLst/>
                    </a:prstGeom>
                    <a:noFill/>
                    <a:ln>
                      <a:noFill/>
                    </a:ln>
                  </pic:spPr>
                </pic:pic>
              </a:graphicData>
            </a:graphic>
          </wp:inline>
        </w:drawing>
      </w:r>
    </w:p>
    <w:p w:rsidR="00166682" w:rsidRDefault="00166682">
      <w:pPr>
        <w:pStyle w:val="ListParagraph"/>
        <w:spacing w:after="0" w:line="240" w:lineRule="auto"/>
        <w:ind w:left="360"/>
        <w:rPr>
          <w:rFonts w:ascii="Arial" w:hAnsi="Arial" w:cs="Arial"/>
          <w:sz w:val="20"/>
          <w:szCs w:val="20"/>
        </w:rPr>
      </w:pPr>
    </w:p>
    <w:p w:rsidR="00D50761" w:rsidRDefault="00D50761">
      <w:pPr>
        <w:spacing w:after="0"/>
        <w:jc w:val="left"/>
        <w:rPr>
          <w:rFonts w:cs="Arial"/>
          <w:b/>
          <w:bCs/>
          <w:sz w:val="20"/>
        </w:rPr>
      </w:pPr>
      <w:r>
        <w:rPr>
          <w:rFonts w:cs="Arial"/>
          <w:b/>
          <w:bCs/>
          <w:sz w:val="20"/>
        </w:rPr>
        <w:br w:type="page"/>
      </w:r>
    </w:p>
    <w:p w:rsidR="00166682" w:rsidRPr="00635A06" w:rsidRDefault="00166682" w:rsidP="00635A06">
      <w:pPr>
        <w:pStyle w:val="FootnoteText"/>
        <w:numPr>
          <w:ilvl w:val="0"/>
          <w:numId w:val="9"/>
        </w:numPr>
        <w:pBdr>
          <w:top w:val="single" w:sz="4" w:space="1" w:color="auto"/>
          <w:left w:val="single" w:sz="4" w:space="4" w:color="auto"/>
          <w:bottom w:val="single" w:sz="4" w:space="1" w:color="auto"/>
          <w:right w:val="single" w:sz="4" w:space="4" w:color="auto"/>
        </w:pBdr>
        <w:spacing w:after="0" w:line="240" w:lineRule="auto"/>
        <w:rPr>
          <w:rFonts w:cs="Arial"/>
          <w:b/>
          <w:bCs/>
          <w:sz w:val="20"/>
        </w:rPr>
      </w:pPr>
      <w:r w:rsidRPr="00635A06">
        <w:rPr>
          <w:rFonts w:cs="Arial"/>
          <w:b/>
          <w:bCs/>
          <w:sz w:val="20"/>
        </w:rPr>
        <w:lastRenderedPageBreak/>
        <w:t>Diversen</w:t>
      </w:r>
    </w:p>
    <w:p w:rsidR="00166682" w:rsidRDefault="00166682" w:rsidP="00635A06">
      <w:pPr>
        <w:pStyle w:val="ListParagraph"/>
        <w:spacing w:after="0" w:line="240" w:lineRule="auto"/>
        <w:ind w:left="360"/>
        <w:rPr>
          <w:rFonts w:ascii="Arial" w:hAnsi="Arial" w:cs="Arial"/>
          <w:sz w:val="20"/>
          <w:szCs w:val="20"/>
        </w:rPr>
      </w:pPr>
    </w:p>
    <w:p w:rsidR="0004092D" w:rsidRPr="0004092D" w:rsidRDefault="0004092D" w:rsidP="0004092D">
      <w:pPr>
        <w:pStyle w:val="ListParagraph"/>
        <w:numPr>
          <w:ilvl w:val="0"/>
          <w:numId w:val="5"/>
        </w:numPr>
        <w:spacing w:after="0" w:line="240" w:lineRule="auto"/>
        <w:rPr>
          <w:rFonts w:ascii="Arial" w:hAnsi="Arial" w:cs="Arial"/>
          <w:sz w:val="20"/>
          <w:szCs w:val="20"/>
        </w:rPr>
      </w:pPr>
      <w:r w:rsidRPr="0004092D">
        <w:rPr>
          <w:rFonts w:ascii="Arial" w:hAnsi="Arial" w:cs="Arial"/>
          <w:sz w:val="20"/>
          <w:szCs w:val="20"/>
        </w:rPr>
        <w:t xml:space="preserve">Voor het opstarten van een </w:t>
      </w:r>
      <w:r w:rsidRPr="007A4A14">
        <w:rPr>
          <w:rFonts w:ascii="Arial" w:hAnsi="Arial" w:cs="Arial"/>
          <w:sz w:val="20"/>
          <w:szCs w:val="20"/>
          <w:u w:val="single"/>
        </w:rPr>
        <w:t>terugvorderingsprocedure</w:t>
      </w:r>
      <w:r w:rsidRPr="0004092D">
        <w:rPr>
          <w:rFonts w:ascii="Arial" w:hAnsi="Arial" w:cs="Arial"/>
          <w:sz w:val="20"/>
          <w:szCs w:val="20"/>
        </w:rPr>
        <w:t xml:space="preserve"> zal de jurist </w:t>
      </w:r>
      <w:r w:rsidR="00366374">
        <w:rPr>
          <w:rFonts w:ascii="Arial" w:hAnsi="Arial" w:cs="Arial"/>
          <w:sz w:val="20"/>
          <w:szCs w:val="20"/>
        </w:rPr>
        <w:t>P</w:t>
      </w:r>
      <w:r w:rsidRPr="0004092D">
        <w:rPr>
          <w:rFonts w:ascii="Arial" w:hAnsi="Arial" w:cs="Arial"/>
          <w:sz w:val="20"/>
          <w:szCs w:val="20"/>
        </w:rPr>
        <w:t xml:space="preserve">FMO de strategie van het FMO en de relevante stukken doorgeven. De rol van jurist </w:t>
      </w:r>
      <w:r w:rsidR="00366374">
        <w:rPr>
          <w:rFonts w:ascii="Arial" w:hAnsi="Arial" w:cs="Arial"/>
          <w:sz w:val="20"/>
          <w:szCs w:val="20"/>
        </w:rPr>
        <w:t>P</w:t>
      </w:r>
      <w:r w:rsidRPr="0004092D">
        <w:rPr>
          <w:rFonts w:ascii="Arial" w:hAnsi="Arial" w:cs="Arial"/>
          <w:sz w:val="20"/>
          <w:szCs w:val="20"/>
        </w:rPr>
        <w:t>FMO zal zich beperken tot het doorgeven van de stelling van het FMO</w:t>
      </w:r>
      <w:r w:rsidR="000B2468">
        <w:rPr>
          <w:rFonts w:ascii="Arial" w:hAnsi="Arial" w:cs="Arial"/>
          <w:sz w:val="20"/>
          <w:szCs w:val="20"/>
        </w:rPr>
        <w:t xml:space="preserve"> in het betrokken dossier</w:t>
      </w:r>
      <w:r w:rsidRPr="0004092D">
        <w:rPr>
          <w:rFonts w:ascii="Arial" w:hAnsi="Arial" w:cs="Arial"/>
          <w:sz w:val="20"/>
          <w:szCs w:val="20"/>
        </w:rPr>
        <w:t xml:space="preserve">, het nalezen van de conclusies en </w:t>
      </w:r>
      <w:r w:rsidR="000B2468">
        <w:rPr>
          <w:rFonts w:ascii="Arial" w:hAnsi="Arial" w:cs="Arial"/>
          <w:sz w:val="20"/>
          <w:szCs w:val="20"/>
        </w:rPr>
        <w:t xml:space="preserve">het analyseren van </w:t>
      </w:r>
      <w:r w:rsidRPr="0004092D">
        <w:rPr>
          <w:rFonts w:ascii="Arial" w:hAnsi="Arial" w:cs="Arial"/>
          <w:sz w:val="20"/>
          <w:szCs w:val="20"/>
        </w:rPr>
        <w:t>de samenvatting van de advocaten voor het evalueren van de opportuniteit van een hoger beroep. Een m</w:t>
      </w:r>
      <w:r>
        <w:rPr>
          <w:rFonts w:ascii="Arial" w:hAnsi="Arial" w:cs="Arial"/>
          <w:sz w:val="20"/>
          <w:szCs w:val="20"/>
        </w:rPr>
        <w:t>a</w:t>
      </w:r>
      <w:r w:rsidRPr="0004092D">
        <w:rPr>
          <w:rFonts w:ascii="Arial" w:hAnsi="Arial" w:cs="Arial"/>
          <w:sz w:val="20"/>
          <w:szCs w:val="20"/>
        </w:rPr>
        <w:t xml:space="preserve">andelijks overleg kan gepland worden met </w:t>
      </w:r>
      <w:r w:rsidR="0012641B">
        <w:rPr>
          <w:rFonts w:ascii="Arial" w:hAnsi="Arial" w:cs="Arial"/>
          <w:sz w:val="20"/>
          <w:szCs w:val="20"/>
        </w:rPr>
        <w:t>de</w:t>
      </w:r>
      <w:r w:rsidRPr="0004092D">
        <w:rPr>
          <w:rFonts w:ascii="Arial" w:hAnsi="Arial" w:cs="Arial"/>
          <w:sz w:val="20"/>
          <w:szCs w:val="20"/>
        </w:rPr>
        <w:t xml:space="preserve"> externe advocaten om eventuele problematische geschillen te bespreken. </w:t>
      </w:r>
    </w:p>
    <w:p w:rsidR="0004092D" w:rsidRPr="00026DF9" w:rsidRDefault="0004092D" w:rsidP="0004092D">
      <w:pPr>
        <w:spacing w:after="0"/>
        <w:jc w:val="left"/>
        <w:rPr>
          <w:rFonts w:cs="Arial"/>
          <w:b/>
          <w:spacing w:val="-4"/>
          <w:kern w:val="28"/>
          <w:sz w:val="20"/>
        </w:rPr>
      </w:pPr>
    </w:p>
    <w:p w:rsidR="00521FEC" w:rsidRPr="00306784" w:rsidRDefault="00D61D12" w:rsidP="002F5F8A">
      <w:pPr>
        <w:pStyle w:val="ListParagraph"/>
        <w:numPr>
          <w:ilvl w:val="0"/>
          <w:numId w:val="5"/>
        </w:numPr>
        <w:spacing w:after="0" w:line="240" w:lineRule="auto"/>
        <w:rPr>
          <w:rFonts w:cs="Arial"/>
          <w:b/>
          <w:spacing w:val="-10"/>
          <w:kern w:val="28"/>
          <w:position w:val="6"/>
          <w:sz w:val="20"/>
          <w:szCs w:val="20"/>
        </w:rPr>
      </w:pPr>
      <w:r w:rsidRPr="00026DF9">
        <w:rPr>
          <w:rFonts w:ascii="Arial" w:hAnsi="Arial" w:cs="Arial"/>
          <w:sz w:val="20"/>
          <w:szCs w:val="20"/>
        </w:rPr>
        <w:t xml:space="preserve">De </w:t>
      </w:r>
      <w:r w:rsidRPr="00026DF9">
        <w:rPr>
          <w:rFonts w:ascii="Arial" w:hAnsi="Arial" w:cs="Arial"/>
          <w:sz w:val="20"/>
          <w:szCs w:val="20"/>
          <w:u w:val="single"/>
        </w:rPr>
        <w:t>impact van Corona op de FMO-aanvragen is onduidelijk, maar wellicht beperkt</w:t>
      </w:r>
      <w:r w:rsidRPr="00026DF9">
        <w:rPr>
          <w:rFonts w:ascii="Arial" w:hAnsi="Arial" w:cs="Arial"/>
          <w:sz w:val="20"/>
          <w:szCs w:val="20"/>
        </w:rPr>
        <w:t xml:space="preserve">. </w:t>
      </w:r>
      <w:r w:rsidR="001A7E95" w:rsidRPr="00026DF9">
        <w:rPr>
          <w:rFonts w:ascii="Arial" w:hAnsi="Arial" w:cs="Arial"/>
          <w:sz w:val="20"/>
          <w:szCs w:val="20"/>
        </w:rPr>
        <w:t xml:space="preserve">In 2020 zag het FMO een lichte afname van het aantal aanvragen. </w:t>
      </w:r>
      <w:r w:rsidR="00EF7406">
        <w:rPr>
          <w:rFonts w:ascii="Arial" w:hAnsi="Arial" w:cs="Arial"/>
          <w:sz w:val="20"/>
          <w:szCs w:val="20"/>
        </w:rPr>
        <w:t>Omdat door de pandemie in 2020</w:t>
      </w:r>
      <w:r w:rsidR="001A7E95" w:rsidRPr="00026DF9">
        <w:rPr>
          <w:rFonts w:ascii="Arial" w:hAnsi="Arial" w:cs="Arial"/>
          <w:sz w:val="20"/>
          <w:szCs w:val="20"/>
        </w:rPr>
        <w:t xml:space="preserve"> minder zorgverlening gebeurde, </w:t>
      </w:r>
      <w:r w:rsidR="00EF7406">
        <w:rPr>
          <w:rFonts w:ascii="Arial" w:hAnsi="Arial" w:cs="Arial"/>
          <w:sz w:val="20"/>
          <w:szCs w:val="20"/>
        </w:rPr>
        <w:t xml:space="preserve">komen de komende jaren mogelijk minder aanvragen. </w:t>
      </w:r>
      <w:r w:rsidR="00BD569D" w:rsidRPr="00026DF9">
        <w:rPr>
          <w:rFonts w:ascii="Arial" w:hAnsi="Arial" w:cs="Arial"/>
          <w:sz w:val="20"/>
          <w:szCs w:val="20"/>
        </w:rPr>
        <w:t>Dossiers in verband met uitstel van zorgen blijken op heden zeer zeldzaam</w:t>
      </w:r>
      <w:r w:rsidRPr="00026DF9">
        <w:rPr>
          <w:rFonts w:ascii="Arial" w:hAnsi="Arial" w:cs="Arial"/>
          <w:sz w:val="20"/>
          <w:szCs w:val="20"/>
        </w:rPr>
        <w:t>,</w:t>
      </w:r>
      <w:r w:rsidR="00BD569D" w:rsidRPr="00026DF9">
        <w:rPr>
          <w:rFonts w:ascii="Arial" w:hAnsi="Arial" w:cs="Arial"/>
          <w:sz w:val="20"/>
          <w:szCs w:val="20"/>
        </w:rPr>
        <w:t xml:space="preserve"> maar </w:t>
      </w:r>
      <w:r w:rsidR="001A3CCF">
        <w:rPr>
          <w:rFonts w:ascii="Arial" w:hAnsi="Arial" w:cs="Arial"/>
          <w:sz w:val="20"/>
          <w:szCs w:val="20"/>
        </w:rPr>
        <w:t>aanvragen kunnen nog lang ingediend worden.</w:t>
      </w:r>
      <w:r w:rsidR="001A7E95" w:rsidRPr="00026DF9">
        <w:rPr>
          <w:rFonts w:ascii="Arial" w:hAnsi="Arial" w:cs="Arial"/>
          <w:sz w:val="20"/>
          <w:szCs w:val="20"/>
        </w:rPr>
        <w:t xml:space="preserve"> De pandemie had </w:t>
      </w:r>
      <w:r w:rsidR="00EF7406">
        <w:rPr>
          <w:rFonts w:ascii="Arial" w:hAnsi="Arial" w:cs="Arial"/>
          <w:sz w:val="20"/>
          <w:szCs w:val="20"/>
        </w:rPr>
        <w:t xml:space="preserve">een impact op </w:t>
      </w:r>
      <w:r w:rsidR="001A7E95" w:rsidRPr="00026DF9">
        <w:rPr>
          <w:rFonts w:ascii="Arial" w:hAnsi="Arial" w:cs="Arial"/>
          <w:sz w:val="20"/>
          <w:szCs w:val="20"/>
        </w:rPr>
        <w:t>het verloop van de expertises</w:t>
      </w:r>
      <w:r w:rsidR="00EF7406">
        <w:rPr>
          <w:rFonts w:ascii="Arial" w:hAnsi="Arial" w:cs="Arial"/>
          <w:sz w:val="20"/>
          <w:szCs w:val="20"/>
        </w:rPr>
        <w:t xml:space="preserve">: </w:t>
      </w:r>
      <w:r w:rsidR="001A7E95" w:rsidRPr="00026DF9">
        <w:rPr>
          <w:rFonts w:ascii="Arial" w:hAnsi="Arial" w:cs="Arial"/>
          <w:sz w:val="20"/>
          <w:szCs w:val="20"/>
        </w:rPr>
        <w:t>sommige kwetsbare personen weigerden deel</w:t>
      </w:r>
      <w:r w:rsidR="00EF7406">
        <w:rPr>
          <w:rFonts w:ascii="Arial" w:hAnsi="Arial" w:cs="Arial"/>
          <w:sz w:val="20"/>
          <w:szCs w:val="20"/>
        </w:rPr>
        <w:t>name</w:t>
      </w:r>
      <w:r w:rsidR="001A7E95" w:rsidRPr="00026DF9">
        <w:rPr>
          <w:rFonts w:ascii="Arial" w:hAnsi="Arial" w:cs="Arial"/>
          <w:sz w:val="20"/>
          <w:szCs w:val="20"/>
        </w:rPr>
        <w:t xml:space="preserve">, videoconferenties zijn niet </w:t>
      </w:r>
      <w:r w:rsidR="00EF7406">
        <w:rPr>
          <w:rFonts w:ascii="Arial" w:hAnsi="Arial" w:cs="Arial"/>
          <w:sz w:val="20"/>
          <w:szCs w:val="20"/>
        </w:rPr>
        <w:t xml:space="preserve">altijd </w:t>
      </w:r>
      <w:r w:rsidR="001A7E95" w:rsidRPr="00026DF9">
        <w:rPr>
          <w:rFonts w:ascii="Arial" w:hAnsi="Arial" w:cs="Arial"/>
          <w:sz w:val="20"/>
          <w:szCs w:val="20"/>
        </w:rPr>
        <w:t xml:space="preserve">haalbaar in het kader van een tegensprekelijke expertise. </w:t>
      </w:r>
    </w:p>
    <w:p w:rsidR="00203FC0" w:rsidRDefault="00203FC0">
      <w:pPr>
        <w:spacing w:after="0"/>
        <w:jc w:val="left"/>
        <w:rPr>
          <w:rFonts w:cs="Arial"/>
          <w:b/>
          <w:spacing w:val="-4"/>
          <w:kern w:val="28"/>
          <w:sz w:val="20"/>
        </w:rPr>
      </w:pPr>
    </w:p>
    <w:p w:rsidR="00844653" w:rsidRPr="00A34A91" w:rsidRDefault="00844653" w:rsidP="00844653">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22" w:name="_Toc65438878"/>
      <w:bookmarkStart w:id="23" w:name="_Toc65439424"/>
      <w:bookmarkStart w:id="24" w:name="_Toc65438879"/>
      <w:bookmarkStart w:id="25" w:name="_Toc65439425"/>
      <w:bookmarkStart w:id="26" w:name="_Toc65438922"/>
      <w:bookmarkStart w:id="27" w:name="_Toc65439468"/>
      <w:bookmarkStart w:id="28" w:name="_Toc68955696"/>
      <w:bookmarkEnd w:id="22"/>
      <w:bookmarkEnd w:id="23"/>
      <w:bookmarkEnd w:id="24"/>
      <w:bookmarkEnd w:id="25"/>
      <w:bookmarkEnd w:id="26"/>
      <w:bookmarkEnd w:id="27"/>
      <w:r>
        <w:rPr>
          <w:rFonts w:cs="Arial"/>
          <w:sz w:val="20"/>
        </w:rPr>
        <w:t>Risico’s en opvolging</w:t>
      </w:r>
      <w:bookmarkEnd w:id="28"/>
    </w:p>
    <w:p w:rsidR="00844653" w:rsidRPr="00A34A91" w:rsidRDefault="00844653" w:rsidP="00844653">
      <w:pPr>
        <w:spacing w:after="0"/>
        <w:jc w:val="left"/>
        <w:rPr>
          <w:rFonts w:cs="Arial"/>
          <w:sz w:val="20"/>
        </w:rPr>
      </w:pPr>
    </w:p>
    <w:p w:rsidR="00EF7406" w:rsidRDefault="000B2468">
      <w:pPr>
        <w:spacing w:after="0"/>
        <w:jc w:val="left"/>
        <w:rPr>
          <w:rFonts w:cs="Arial"/>
          <w:sz w:val="20"/>
        </w:rPr>
      </w:pPr>
      <w:r>
        <w:rPr>
          <w:rFonts w:cs="Arial"/>
          <w:sz w:val="20"/>
        </w:rPr>
        <w:t>De</w:t>
      </w:r>
      <w:r w:rsidR="0012641B">
        <w:rPr>
          <w:rFonts w:cs="Arial"/>
          <w:sz w:val="20"/>
        </w:rPr>
        <w:t xml:space="preserve"> belangrijkste</w:t>
      </w:r>
      <w:r w:rsidR="00EF7406">
        <w:rPr>
          <w:rFonts w:cs="Arial"/>
          <w:sz w:val="20"/>
        </w:rPr>
        <w:t xml:space="preserve"> </w:t>
      </w:r>
      <w:r w:rsidR="00EF7406" w:rsidRPr="00EF7406">
        <w:rPr>
          <w:rFonts w:cs="Arial"/>
          <w:sz w:val="20"/>
          <w:u w:val="single"/>
        </w:rPr>
        <w:t>risico’s rond de implementatie</w:t>
      </w:r>
      <w:r w:rsidR="00EF7406">
        <w:rPr>
          <w:rFonts w:cs="Arial"/>
          <w:sz w:val="20"/>
        </w:rPr>
        <w:t xml:space="preserve"> van de werking van deze TF</w:t>
      </w:r>
      <w:r>
        <w:rPr>
          <w:rFonts w:cs="Arial"/>
          <w:sz w:val="20"/>
        </w:rPr>
        <w:t xml:space="preserve"> zijn </w:t>
      </w:r>
      <w:r w:rsidR="0012641B">
        <w:rPr>
          <w:rFonts w:cs="Arial"/>
          <w:sz w:val="20"/>
        </w:rPr>
        <w:t>de volgende.</w:t>
      </w:r>
      <w:r>
        <w:rPr>
          <w:rFonts w:cs="Arial"/>
          <w:sz w:val="20"/>
        </w:rPr>
        <w:t xml:space="preserve"> </w:t>
      </w:r>
    </w:p>
    <w:p w:rsidR="00EF7406" w:rsidRPr="00EF7406" w:rsidRDefault="0012641B" w:rsidP="00EF7406">
      <w:pPr>
        <w:pStyle w:val="ListParagraph"/>
        <w:numPr>
          <w:ilvl w:val="0"/>
          <w:numId w:val="5"/>
        </w:numPr>
        <w:spacing w:after="0" w:line="240" w:lineRule="auto"/>
        <w:rPr>
          <w:rFonts w:ascii="Arial" w:hAnsi="Arial" w:cs="Arial"/>
          <w:sz w:val="20"/>
          <w:szCs w:val="20"/>
        </w:rPr>
      </w:pPr>
      <w:r>
        <w:rPr>
          <w:rFonts w:ascii="Arial" w:hAnsi="Arial" w:cs="Arial"/>
          <w:sz w:val="20"/>
          <w:szCs w:val="20"/>
        </w:rPr>
        <w:t>Het is</w:t>
      </w:r>
      <w:r w:rsidR="00EF7406" w:rsidRPr="00EF7406">
        <w:rPr>
          <w:rFonts w:ascii="Arial" w:hAnsi="Arial" w:cs="Arial"/>
          <w:sz w:val="20"/>
          <w:szCs w:val="20"/>
        </w:rPr>
        <w:t xml:space="preserve"> moeilijker dan gedacht gekwalificeerde mensen te vinden. Mogelijk duurt de opleiding van de </w:t>
      </w:r>
      <w:proofErr w:type="spellStart"/>
      <w:r w:rsidR="00EF7406" w:rsidRPr="00EF7406">
        <w:rPr>
          <w:rFonts w:ascii="Arial" w:hAnsi="Arial" w:cs="Arial"/>
          <w:sz w:val="20"/>
          <w:szCs w:val="20"/>
        </w:rPr>
        <w:t>gerecruteerde</w:t>
      </w:r>
      <w:proofErr w:type="spellEnd"/>
      <w:r w:rsidR="00EF7406" w:rsidRPr="00EF7406">
        <w:rPr>
          <w:rFonts w:ascii="Arial" w:hAnsi="Arial" w:cs="Arial"/>
          <w:sz w:val="20"/>
          <w:szCs w:val="20"/>
        </w:rPr>
        <w:t xml:space="preserve"> medewerkers langer dan gedacht.</w:t>
      </w:r>
    </w:p>
    <w:p w:rsidR="00EF7406" w:rsidRPr="00EF7406" w:rsidRDefault="0012641B" w:rsidP="00EF7406">
      <w:pPr>
        <w:pStyle w:val="ListParagraph"/>
        <w:numPr>
          <w:ilvl w:val="0"/>
          <w:numId w:val="5"/>
        </w:numPr>
        <w:spacing w:after="0" w:line="240" w:lineRule="auto"/>
        <w:rPr>
          <w:rFonts w:ascii="Arial" w:hAnsi="Arial" w:cs="Arial"/>
          <w:sz w:val="20"/>
          <w:szCs w:val="20"/>
        </w:rPr>
      </w:pPr>
      <w:r>
        <w:rPr>
          <w:rFonts w:ascii="Arial" w:hAnsi="Arial" w:cs="Arial"/>
          <w:sz w:val="20"/>
          <w:szCs w:val="20"/>
        </w:rPr>
        <w:t>De ramingen van de benodigde resources b</w:t>
      </w:r>
      <w:r w:rsidR="0073798B">
        <w:rPr>
          <w:rFonts w:ascii="Arial" w:hAnsi="Arial" w:cs="Arial"/>
          <w:sz w:val="20"/>
          <w:szCs w:val="20"/>
        </w:rPr>
        <w:t>lijken een onderschatting</w:t>
      </w:r>
      <w:r>
        <w:rPr>
          <w:rFonts w:ascii="Arial" w:hAnsi="Arial" w:cs="Arial"/>
          <w:sz w:val="20"/>
          <w:szCs w:val="20"/>
        </w:rPr>
        <w:t>.</w:t>
      </w:r>
    </w:p>
    <w:p w:rsidR="00EF7406" w:rsidRDefault="0012641B" w:rsidP="00EF7406">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Heel </w:t>
      </w:r>
      <w:r w:rsidR="00EF7406" w:rsidRPr="00EF7406">
        <w:rPr>
          <w:rFonts w:ascii="Arial" w:hAnsi="Arial" w:cs="Arial"/>
          <w:sz w:val="20"/>
          <w:szCs w:val="20"/>
        </w:rPr>
        <w:t xml:space="preserve">wat dossiers </w:t>
      </w:r>
      <w:r>
        <w:rPr>
          <w:rFonts w:ascii="Arial" w:hAnsi="Arial" w:cs="Arial"/>
          <w:sz w:val="20"/>
          <w:szCs w:val="20"/>
        </w:rPr>
        <w:t xml:space="preserve">zijn </w:t>
      </w:r>
      <w:r w:rsidR="00EF7406" w:rsidRPr="00EF7406">
        <w:rPr>
          <w:rFonts w:ascii="Arial" w:hAnsi="Arial" w:cs="Arial"/>
          <w:sz w:val="20"/>
          <w:szCs w:val="20"/>
        </w:rPr>
        <w:t>moeilijk vlot te trekken en kost</w:t>
      </w:r>
      <w:r>
        <w:rPr>
          <w:rFonts w:ascii="Arial" w:hAnsi="Arial" w:cs="Arial"/>
          <w:sz w:val="20"/>
          <w:szCs w:val="20"/>
        </w:rPr>
        <w:t xml:space="preserve">en daardoor </w:t>
      </w:r>
      <w:r w:rsidR="00EF7406" w:rsidRPr="00EF7406">
        <w:rPr>
          <w:rFonts w:ascii="Arial" w:hAnsi="Arial" w:cs="Arial"/>
          <w:sz w:val="20"/>
          <w:szCs w:val="20"/>
        </w:rPr>
        <w:t>veel meer moeite dan gedacht</w:t>
      </w:r>
      <w:r w:rsidR="006E652F">
        <w:rPr>
          <w:rFonts w:ascii="Arial" w:hAnsi="Arial" w:cs="Arial"/>
          <w:sz w:val="20"/>
          <w:szCs w:val="20"/>
        </w:rPr>
        <w:t xml:space="preserve"> (bijv. door patstellingen </w:t>
      </w:r>
      <w:r w:rsidR="005C6936">
        <w:rPr>
          <w:rFonts w:ascii="Arial" w:hAnsi="Arial" w:cs="Arial"/>
          <w:sz w:val="20"/>
          <w:szCs w:val="20"/>
        </w:rPr>
        <w:t>tussen partijen, onwillige experten</w:t>
      </w:r>
      <w:r w:rsidR="006E652F">
        <w:rPr>
          <w:rFonts w:ascii="Arial" w:hAnsi="Arial" w:cs="Arial"/>
          <w:sz w:val="20"/>
          <w:szCs w:val="20"/>
        </w:rPr>
        <w:t>).</w:t>
      </w:r>
    </w:p>
    <w:p w:rsidR="006E652F" w:rsidRDefault="0012641B" w:rsidP="00EF7406">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De instroom van dossiers kan fors toenemen. </w:t>
      </w:r>
      <w:r w:rsidR="006E652F">
        <w:rPr>
          <w:rFonts w:ascii="Arial" w:hAnsi="Arial" w:cs="Arial"/>
          <w:sz w:val="20"/>
          <w:szCs w:val="20"/>
        </w:rPr>
        <w:t xml:space="preserve">De impact van Corona </w:t>
      </w:r>
      <w:r>
        <w:rPr>
          <w:rFonts w:ascii="Arial" w:hAnsi="Arial" w:cs="Arial"/>
          <w:sz w:val="20"/>
          <w:szCs w:val="20"/>
        </w:rPr>
        <w:t>is zeer onzeker. (De eerste tekenen wijzen wel in de richting van minder aanvragen.)</w:t>
      </w:r>
    </w:p>
    <w:p w:rsidR="00DF34BA" w:rsidRDefault="00DF34BA">
      <w:pPr>
        <w:spacing w:after="0"/>
        <w:jc w:val="left"/>
        <w:rPr>
          <w:rFonts w:cs="Arial"/>
          <w:sz w:val="20"/>
        </w:rPr>
      </w:pPr>
    </w:p>
    <w:p w:rsidR="00644787" w:rsidRDefault="00EF7406">
      <w:pPr>
        <w:spacing w:after="0"/>
        <w:jc w:val="left"/>
        <w:rPr>
          <w:rFonts w:cs="Arial"/>
          <w:sz w:val="20"/>
        </w:rPr>
      </w:pPr>
      <w:r>
        <w:rPr>
          <w:rFonts w:cs="Arial"/>
          <w:sz w:val="20"/>
        </w:rPr>
        <w:t xml:space="preserve">Het is dan ook absoluut noodzakelijk dat er een </w:t>
      </w:r>
      <w:r w:rsidRPr="00EF7406">
        <w:rPr>
          <w:rFonts w:cs="Arial"/>
          <w:sz w:val="20"/>
          <w:u w:val="single"/>
        </w:rPr>
        <w:t>nauwgezette cijfermatige opvolging</w:t>
      </w:r>
      <w:r>
        <w:rPr>
          <w:rFonts w:cs="Arial"/>
          <w:sz w:val="20"/>
        </w:rPr>
        <w:t xml:space="preserve"> gebeurt van de procesmatige ontwikkeling van alle dossiers</w:t>
      </w:r>
      <w:r w:rsidR="00644787">
        <w:rPr>
          <w:rFonts w:cs="Arial"/>
          <w:sz w:val="20"/>
        </w:rPr>
        <w:t>.</w:t>
      </w:r>
    </w:p>
    <w:p w:rsidR="004A317D" w:rsidRPr="001279A7" w:rsidRDefault="00644787" w:rsidP="001279A7">
      <w:pPr>
        <w:pStyle w:val="ListParagraph"/>
        <w:numPr>
          <w:ilvl w:val="0"/>
          <w:numId w:val="5"/>
        </w:numPr>
        <w:spacing w:after="0" w:line="240" w:lineRule="auto"/>
        <w:rPr>
          <w:rFonts w:ascii="Arial" w:hAnsi="Arial" w:cs="Arial"/>
          <w:sz w:val="20"/>
          <w:szCs w:val="20"/>
        </w:rPr>
      </w:pPr>
      <w:r w:rsidRPr="001279A7">
        <w:rPr>
          <w:rFonts w:ascii="Arial" w:hAnsi="Arial" w:cs="Arial"/>
          <w:sz w:val="20"/>
          <w:szCs w:val="20"/>
        </w:rPr>
        <w:t xml:space="preserve">Dit betreft zowel de </w:t>
      </w:r>
      <w:r w:rsidR="000607BE" w:rsidRPr="001279A7">
        <w:rPr>
          <w:rFonts w:ascii="Arial" w:hAnsi="Arial" w:cs="Arial"/>
          <w:sz w:val="20"/>
          <w:szCs w:val="20"/>
        </w:rPr>
        <w:t xml:space="preserve">activiteiten van de TF als van </w:t>
      </w:r>
      <w:r w:rsidR="00EF7406" w:rsidRPr="001279A7">
        <w:rPr>
          <w:rFonts w:ascii="Arial" w:hAnsi="Arial" w:cs="Arial"/>
          <w:sz w:val="20"/>
          <w:szCs w:val="20"/>
        </w:rPr>
        <w:t xml:space="preserve">PFMO. </w:t>
      </w:r>
      <w:r w:rsidR="000607BE" w:rsidRPr="001279A7">
        <w:rPr>
          <w:rFonts w:ascii="Arial" w:hAnsi="Arial" w:cs="Arial"/>
          <w:sz w:val="20"/>
          <w:szCs w:val="20"/>
        </w:rPr>
        <w:t xml:space="preserve">Het gaat dus zowel over het wegwerken van de achterstand als de vooruitgang in de </w:t>
      </w:r>
      <w:r w:rsidR="004A317D" w:rsidRPr="001279A7">
        <w:rPr>
          <w:rFonts w:ascii="Arial" w:hAnsi="Arial" w:cs="Arial"/>
          <w:sz w:val="20"/>
          <w:szCs w:val="20"/>
        </w:rPr>
        <w:t>lopende dossiers.</w:t>
      </w:r>
      <w:r w:rsidR="00367E41">
        <w:rPr>
          <w:rFonts w:ascii="Arial" w:hAnsi="Arial" w:cs="Arial"/>
          <w:sz w:val="20"/>
          <w:szCs w:val="20"/>
        </w:rPr>
        <w:t xml:space="preserve"> De impact van de nieuwe werkwijze voor het PFMO wordt ook strikt opgevolgd.</w:t>
      </w:r>
    </w:p>
    <w:p w:rsidR="00EF7406" w:rsidRPr="001279A7" w:rsidRDefault="00EF7406" w:rsidP="001279A7">
      <w:pPr>
        <w:pStyle w:val="ListParagraph"/>
        <w:numPr>
          <w:ilvl w:val="0"/>
          <w:numId w:val="5"/>
        </w:numPr>
        <w:spacing w:after="0" w:line="240" w:lineRule="auto"/>
        <w:rPr>
          <w:rFonts w:ascii="Arial" w:hAnsi="Arial" w:cs="Arial"/>
          <w:sz w:val="20"/>
          <w:szCs w:val="20"/>
        </w:rPr>
      </w:pPr>
      <w:r w:rsidRPr="001279A7">
        <w:rPr>
          <w:rFonts w:ascii="Arial" w:hAnsi="Arial" w:cs="Arial"/>
          <w:sz w:val="20"/>
          <w:szCs w:val="20"/>
        </w:rPr>
        <w:t xml:space="preserve">Dit bestaat al tot op zekere hoogte, maar dient verder op punt gesteld. Dit </w:t>
      </w:r>
      <w:r w:rsidR="006577DD" w:rsidRPr="001279A7">
        <w:rPr>
          <w:rFonts w:ascii="Arial" w:hAnsi="Arial" w:cs="Arial"/>
          <w:sz w:val="20"/>
          <w:szCs w:val="20"/>
        </w:rPr>
        <w:t xml:space="preserve">wordt </w:t>
      </w:r>
      <w:r w:rsidRPr="001279A7">
        <w:rPr>
          <w:rFonts w:ascii="Arial" w:hAnsi="Arial" w:cs="Arial"/>
          <w:sz w:val="20"/>
          <w:szCs w:val="20"/>
        </w:rPr>
        <w:t>een basisinstrument in het algemene beheer van het FMO.</w:t>
      </w:r>
    </w:p>
    <w:p w:rsidR="00D17DCA" w:rsidRPr="00EE275C" w:rsidRDefault="00D17DCA" w:rsidP="00D17DCA">
      <w:pPr>
        <w:rPr>
          <w:rFonts w:cs="Arial"/>
          <w:sz w:val="16"/>
          <w:szCs w:val="16"/>
          <w:lang w:val="nl-BE"/>
        </w:rPr>
      </w:pPr>
      <w:r w:rsidRPr="00EE275C">
        <w:rPr>
          <w:rFonts w:cs="Arial"/>
          <w:sz w:val="16"/>
          <w:szCs w:val="16"/>
          <w:lang w:val="nl-BE"/>
        </w:rPr>
        <w:br w:type="page"/>
      </w:r>
    </w:p>
    <w:p w:rsidR="004057E6" w:rsidRPr="00A34A91" w:rsidRDefault="00DF34BA" w:rsidP="00C34A18">
      <w:pPr>
        <w:pStyle w:val="Heading1"/>
        <w:spacing w:line="240" w:lineRule="auto"/>
      </w:pPr>
      <w:bookmarkStart w:id="29" w:name="_Toc68955697"/>
      <w:r>
        <w:lastRenderedPageBreak/>
        <w:t>Mogelijke w</w:t>
      </w:r>
      <w:r w:rsidR="004057E6" w:rsidRPr="00A34A91">
        <w:t>etsaanpassingen</w:t>
      </w:r>
      <w:bookmarkEnd w:id="29"/>
    </w:p>
    <w:p w:rsidR="003F05EB" w:rsidRPr="00A34A91" w:rsidRDefault="003F05EB" w:rsidP="005C6936">
      <w:pPr>
        <w:spacing w:after="0"/>
        <w:jc w:val="left"/>
        <w:rPr>
          <w:rFonts w:cs="Arial"/>
          <w:sz w:val="20"/>
        </w:rPr>
      </w:pPr>
    </w:p>
    <w:p w:rsidR="003F05EB" w:rsidRPr="00A34A91" w:rsidRDefault="003F05EB" w:rsidP="005C6936">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30" w:name="_Toc68955698"/>
      <w:r>
        <w:rPr>
          <w:rFonts w:cs="Arial"/>
          <w:sz w:val="20"/>
        </w:rPr>
        <w:t>Algemeen</w:t>
      </w:r>
      <w:bookmarkEnd w:id="30"/>
    </w:p>
    <w:p w:rsidR="003F05EB" w:rsidRPr="00604807" w:rsidRDefault="003F05EB" w:rsidP="005C6936">
      <w:pPr>
        <w:spacing w:after="0"/>
        <w:jc w:val="left"/>
        <w:rPr>
          <w:rFonts w:cs="Arial"/>
          <w:sz w:val="20"/>
          <w:u w:val="single"/>
        </w:rPr>
      </w:pPr>
    </w:p>
    <w:bookmarkEnd w:id="13"/>
    <w:p w:rsidR="003F05EB" w:rsidRDefault="003F05EB" w:rsidP="005C6936">
      <w:pPr>
        <w:spacing w:after="0"/>
        <w:jc w:val="left"/>
        <w:rPr>
          <w:rFonts w:cs="Arial"/>
          <w:sz w:val="20"/>
        </w:rPr>
      </w:pPr>
      <w:r>
        <w:rPr>
          <w:rFonts w:cs="Arial"/>
          <w:sz w:val="20"/>
        </w:rPr>
        <w:t xml:space="preserve">De voorgaande punten 2 en 3 kunnen worden gerealiseerd zonder enige wetsaanpassing. De WMO wordt vanuit de praktijk aangevoeld als in essentie deugdelijk en werkbaar om het beoogde maatschappelijk doel te bereiken. Er is </w:t>
      </w:r>
      <w:r w:rsidRPr="003F05EB">
        <w:rPr>
          <w:rFonts w:cs="Arial"/>
          <w:sz w:val="20"/>
          <w:u w:val="single"/>
        </w:rPr>
        <w:t>geen noodzaak voor een fundamentele herziening</w:t>
      </w:r>
      <w:r>
        <w:rPr>
          <w:rFonts w:cs="Arial"/>
          <w:sz w:val="20"/>
        </w:rPr>
        <w:t>. Die zou de hele werking van het FMO overigens enorm compliceren. Je zou dan voor een aantal jaren moeten werken met twee systemen naast elkaar.</w:t>
      </w:r>
    </w:p>
    <w:p w:rsidR="003F05EB" w:rsidRDefault="003F05EB" w:rsidP="005C6936">
      <w:pPr>
        <w:spacing w:after="0"/>
        <w:jc w:val="left"/>
        <w:rPr>
          <w:rFonts w:cs="Arial"/>
          <w:sz w:val="20"/>
        </w:rPr>
      </w:pPr>
    </w:p>
    <w:p w:rsidR="003F05EB" w:rsidRDefault="003F05EB" w:rsidP="005C6936">
      <w:pPr>
        <w:spacing w:after="0"/>
        <w:jc w:val="left"/>
        <w:rPr>
          <w:rFonts w:cs="Arial"/>
          <w:sz w:val="20"/>
        </w:rPr>
      </w:pPr>
      <w:r>
        <w:rPr>
          <w:rFonts w:cs="Arial"/>
          <w:sz w:val="20"/>
        </w:rPr>
        <w:t xml:space="preserve">Er zijn wel hier en daar punten die </w:t>
      </w:r>
      <w:r w:rsidRPr="003F05EB">
        <w:rPr>
          <w:rFonts w:cs="Arial"/>
          <w:sz w:val="20"/>
          <w:u w:val="single"/>
        </w:rPr>
        <w:t>technisch kunnen verbeterd</w:t>
      </w:r>
      <w:r>
        <w:rPr>
          <w:rFonts w:cs="Arial"/>
          <w:sz w:val="20"/>
        </w:rPr>
        <w:t xml:space="preserve"> worden om de WMO meer werkbaar en bij de tijd te maken, vooral in functie van meer </w:t>
      </w:r>
      <w:proofErr w:type="spellStart"/>
      <w:r>
        <w:rPr>
          <w:rFonts w:cs="Arial"/>
          <w:sz w:val="20"/>
        </w:rPr>
        <w:t>duideljikheid</w:t>
      </w:r>
      <w:proofErr w:type="spellEnd"/>
      <w:r>
        <w:rPr>
          <w:rFonts w:cs="Arial"/>
          <w:sz w:val="20"/>
        </w:rPr>
        <w:t xml:space="preserve"> en een betere communicatie met de aanvrager.</w:t>
      </w:r>
    </w:p>
    <w:p w:rsidR="003F05EB" w:rsidRPr="00A34A91" w:rsidRDefault="003F05EB" w:rsidP="005C6936">
      <w:pPr>
        <w:spacing w:after="0"/>
        <w:jc w:val="left"/>
        <w:rPr>
          <w:rFonts w:cs="Arial"/>
          <w:sz w:val="20"/>
        </w:rPr>
      </w:pPr>
    </w:p>
    <w:p w:rsidR="003F05EB" w:rsidRPr="00A34A91" w:rsidRDefault="003F05EB" w:rsidP="005C6936">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31" w:name="_Toc63424086"/>
      <w:bookmarkStart w:id="32" w:name="_Toc68955699"/>
      <w:r>
        <w:rPr>
          <w:rFonts w:cs="Arial"/>
          <w:sz w:val="20"/>
        </w:rPr>
        <w:t>Eventuele v</w:t>
      </w:r>
      <w:r w:rsidRPr="00A34A91">
        <w:rPr>
          <w:rFonts w:cs="Arial"/>
          <w:sz w:val="20"/>
        </w:rPr>
        <w:t>oorstellen</w:t>
      </w:r>
      <w:bookmarkEnd w:id="31"/>
      <w:bookmarkEnd w:id="32"/>
    </w:p>
    <w:p w:rsidR="003F05EB" w:rsidRPr="00604807" w:rsidRDefault="003F05EB" w:rsidP="005C6936">
      <w:pPr>
        <w:spacing w:after="0"/>
        <w:jc w:val="left"/>
        <w:rPr>
          <w:rFonts w:cs="Arial"/>
          <w:sz w:val="20"/>
          <w:u w:val="single"/>
        </w:rPr>
      </w:pPr>
    </w:p>
    <w:p w:rsidR="003F05EB" w:rsidRPr="00604807" w:rsidRDefault="003F05EB" w:rsidP="005C6936">
      <w:pPr>
        <w:pStyle w:val="ListParagraph"/>
        <w:numPr>
          <w:ilvl w:val="0"/>
          <w:numId w:val="24"/>
        </w:numPr>
        <w:pBdr>
          <w:top w:val="single" w:sz="4" w:space="1" w:color="auto"/>
          <w:left w:val="single" w:sz="4" w:space="4" w:color="auto"/>
          <w:bottom w:val="single" w:sz="4" w:space="1" w:color="auto"/>
          <w:right w:val="single" w:sz="4" w:space="4" w:color="auto"/>
        </w:pBdr>
        <w:spacing w:after="0"/>
        <w:rPr>
          <w:rFonts w:ascii="Arial" w:hAnsi="Arial" w:cs="Arial"/>
          <w:b/>
          <w:bCs/>
          <w:sz w:val="20"/>
        </w:rPr>
      </w:pPr>
      <w:r w:rsidRPr="00604807">
        <w:rPr>
          <w:rFonts w:ascii="Arial" w:hAnsi="Arial" w:cs="Arial"/>
          <w:b/>
          <w:bCs/>
          <w:sz w:val="20"/>
        </w:rPr>
        <w:t xml:space="preserve">Elektronische aanvraag en elektronische communicatie. </w:t>
      </w:r>
    </w:p>
    <w:p w:rsidR="003F05EB" w:rsidRPr="00604807" w:rsidRDefault="003F05EB" w:rsidP="005C6936">
      <w:pPr>
        <w:spacing w:after="0"/>
        <w:jc w:val="left"/>
        <w:rPr>
          <w:rFonts w:cs="Arial"/>
          <w:sz w:val="20"/>
          <w:lang w:val="nl-BE"/>
        </w:rPr>
      </w:pPr>
    </w:p>
    <w:p w:rsidR="003F05EB" w:rsidRDefault="00BF78B6" w:rsidP="005C6936">
      <w:pPr>
        <w:spacing w:after="0"/>
        <w:jc w:val="left"/>
        <w:rPr>
          <w:rFonts w:cs="Arial"/>
          <w:sz w:val="20"/>
          <w:lang w:val="nl-BE"/>
        </w:rPr>
      </w:pPr>
      <w:r>
        <w:rPr>
          <w:rFonts w:cs="Arial"/>
          <w:sz w:val="20"/>
          <w:lang w:val="nl-BE"/>
        </w:rPr>
        <w:t>Het FMO wil h</w:t>
      </w:r>
      <w:r w:rsidRPr="00604807">
        <w:rPr>
          <w:rFonts w:cs="Arial"/>
          <w:sz w:val="20"/>
          <w:lang w:val="nl-BE"/>
        </w:rPr>
        <w:t xml:space="preserve">et mogelijk maken een elektronische aanvraag </w:t>
      </w:r>
      <w:r>
        <w:rPr>
          <w:rFonts w:cs="Arial"/>
          <w:sz w:val="20"/>
          <w:lang w:val="nl-BE"/>
        </w:rPr>
        <w:t xml:space="preserve">te doen </w:t>
      </w:r>
      <w:r w:rsidRPr="00604807">
        <w:rPr>
          <w:rFonts w:cs="Arial"/>
          <w:sz w:val="20"/>
          <w:lang w:val="nl-BE"/>
        </w:rPr>
        <w:t>via een onlineformulier en bovendien alle communicatie van en naar het FMO op een elektronische manier</w:t>
      </w:r>
      <w:r>
        <w:rPr>
          <w:rFonts w:cs="Arial"/>
          <w:sz w:val="20"/>
          <w:lang w:val="nl-BE"/>
        </w:rPr>
        <w:t xml:space="preserve"> te laten verlopen. </w:t>
      </w:r>
      <w:r w:rsidR="003F05EB" w:rsidRPr="00604807">
        <w:rPr>
          <w:rFonts w:cs="Arial"/>
          <w:sz w:val="20"/>
          <w:lang w:val="nl-BE"/>
        </w:rPr>
        <w:t xml:space="preserve">In de huidige versie voorziet de wet alleen een aanvraag door middel van een aangetekende brief. </w:t>
      </w:r>
      <w:r>
        <w:rPr>
          <w:rFonts w:cs="Arial"/>
          <w:sz w:val="20"/>
          <w:lang w:val="nl-BE"/>
        </w:rPr>
        <w:t xml:space="preserve">Dit vereist dus een aantal </w:t>
      </w:r>
      <w:r w:rsidRPr="00BF78B6">
        <w:rPr>
          <w:rFonts w:cs="Arial"/>
          <w:sz w:val="20"/>
          <w:u w:val="single"/>
          <w:lang w:val="nl-BE"/>
        </w:rPr>
        <w:t>technische aanpassingen aan de wettekst</w:t>
      </w:r>
      <w:r>
        <w:rPr>
          <w:rFonts w:cs="Arial"/>
          <w:sz w:val="20"/>
          <w:lang w:val="nl-BE"/>
        </w:rPr>
        <w:t>. Voor een detailuitwerking zie bijlage 5.</w:t>
      </w:r>
      <w:r w:rsidR="00495CA9">
        <w:rPr>
          <w:rFonts w:cs="Arial"/>
          <w:sz w:val="20"/>
          <w:lang w:val="nl-BE"/>
        </w:rPr>
        <w:t>4</w:t>
      </w:r>
      <w:r>
        <w:rPr>
          <w:rFonts w:cs="Arial"/>
          <w:sz w:val="20"/>
          <w:lang w:val="nl-BE"/>
        </w:rPr>
        <w:t>.</w:t>
      </w:r>
    </w:p>
    <w:p w:rsidR="003F05EB" w:rsidRPr="000E1D8F" w:rsidRDefault="003F05EB" w:rsidP="005C6936">
      <w:pPr>
        <w:spacing w:after="0"/>
        <w:jc w:val="left"/>
        <w:rPr>
          <w:rFonts w:cs="Arial"/>
          <w:iCs/>
          <w:sz w:val="20"/>
          <w:lang w:val="nl-BE"/>
        </w:rPr>
      </w:pPr>
    </w:p>
    <w:p w:rsidR="003F05EB" w:rsidRPr="00604807" w:rsidRDefault="000E1D8F" w:rsidP="005C693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rPr>
      </w:pPr>
      <w:r>
        <w:rPr>
          <w:rFonts w:ascii="Arial" w:hAnsi="Arial" w:cs="Arial"/>
          <w:b/>
          <w:bCs/>
          <w:sz w:val="20"/>
        </w:rPr>
        <w:t xml:space="preserve">Artikel </w:t>
      </w:r>
      <w:r w:rsidR="003F05EB" w:rsidRPr="00604807">
        <w:rPr>
          <w:rFonts w:ascii="Arial" w:hAnsi="Arial" w:cs="Arial"/>
          <w:b/>
          <w:bCs/>
          <w:sz w:val="20"/>
        </w:rPr>
        <w:t>13</w:t>
      </w:r>
      <w:r>
        <w:rPr>
          <w:rFonts w:ascii="Arial" w:hAnsi="Arial" w:cs="Arial"/>
          <w:b/>
          <w:bCs/>
          <w:sz w:val="20"/>
        </w:rPr>
        <w:t xml:space="preserve"> </w:t>
      </w:r>
      <w:r w:rsidR="00613DB8">
        <w:rPr>
          <w:rFonts w:ascii="Arial" w:hAnsi="Arial" w:cs="Arial"/>
          <w:b/>
          <w:bCs/>
          <w:sz w:val="20"/>
        </w:rPr>
        <w:t xml:space="preserve">– scherpstelling </w:t>
      </w:r>
      <w:r>
        <w:rPr>
          <w:rFonts w:ascii="Arial" w:hAnsi="Arial" w:cs="Arial"/>
          <w:b/>
          <w:bCs/>
          <w:sz w:val="20"/>
        </w:rPr>
        <w:t>rond de band met strafzaken</w:t>
      </w:r>
    </w:p>
    <w:p w:rsidR="003F05EB" w:rsidRPr="000B2D4B" w:rsidRDefault="003F05EB" w:rsidP="005C6936">
      <w:pPr>
        <w:spacing w:after="0"/>
        <w:jc w:val="left"/>
        <w:rPr>
          <w:bCs/>
          <w:sz w:val="20"/>
          <w:lang w:val="nl-BE"/>
        </w:rPr>
      </w:pPr>
    </w:p>
    <w:p w:rsidR="000E1D8F" w:rsidRPr="00635A06" w:rsidRDefault="000E1D8F" w:rsidP="005C6936">
      <w:pPr>
        <w:spacing w:after="0"/>
        <w:jc w:val="left"/>
        <w:rPr>
          <w:b/>
          <w:sz w:val="20"/>
          <w:lang w:val="nl-BE"/>
        </w:rPr>
      </w:pPr>
      <w:r w:rsidRPr="00635A06">
        <w:rPr>
          <w:b/>
          <w:sz w:val="20"/>
          <w:lang w:val="nl-BE"/>
        </w:rPr>
        <w:t>V</w:t>
      </w:r>
      <w:r w:rsidR="005C6936" w:rsidRPr="00635A06">
        <w:rPr>
          <w:b/>
          <w:sz w:val="20"/>
          <w:lang w:val="nl-BE"/>
        </w:rPr>
        <w:t>oorstel</w:t>
      </w:r>
      <w:r w:rsidRPr="00635A06">
        <w:rPr>
          <w:b/>
          <w:sz w:val="20"/>
          <w:lang w:val="nl-BE"/>
        </w:rPr>
        <w:t xml:space="preserve"> toevoeging onderlijnde tekst</w:t>
      </w:r>
    </w:p>
    <w:p w:rsidR="000E1D8F" w:rsidRPr="00635A06" w:rsidRDefault="000E1D8F" w:rsidP="005C6936">
      <w:pPr>
        <w:spacing w:after="0"/>
        <w:jc w:val="left"/>
        <w:rPr>
          <w:b/>
          <w:sz w:val="20"/>
          <w:lang w:val="nl-BE"/>
        </w:rPr>
      </w:pPr>
    </w:p>
    <w:p w:rsidR="00BF73D5" w:rsidRPr="00BF73D5" w:rsidRDefault="003F05EB" w:rsidP="005C6936">
      <w:pPr>
        <w:spacing w:after="0"/>
        <w:jc w:val="left"/>
        <w:rPr>
          <w:bCs/>
          <w:sz w:val="20"/>
          <w:lang w:val="nl-BE"/>
        </w:rPr>
      </w:pPr>
      <w:r w:rsidRPr="00BF73D5">
        <w:rPr>
          <w:bCs/>
          <w:sz w:val="20"/>
          <w:lang w:val="nl-BE"/>
        </w:rPr>
        <w:t>§ 1</w:t>
      </w:r>
      <w:r w:rsidR="00BF73D5" w:rsidRPr="00BF73D5">
        <w:rPr>
          <w:bCs/>
          <w:sz w:val="20"/>
          <w:lang w:val="nl-BE"/>
        </w:rPr>
        <w:t>. Het versturen van de in artikel 12 bedoelde aanvraag schorst van rechtswege het onderzoek en de berechting van de burgerlijke rechtsvorderingen met betrekking tot dit medisch on</w:t>
      </w:r>
      <w:r w:rsidR="00BF73D5">
        <w:rPr>
          <w:bCs/>
          <w:sz w:val="20"/>
          <w:lang w:val="nl-BE"/>
        </w:rPr>
        <w:t>g</w:t>
      </w:r>
      <w:r w:rsidR="00BF73D5" w:rsidRPr="00BF73D5">
        <w:rPr>
          <w:bCs/>
          <w:sz w:val="20"/>
          <w:lang w:val="nl-BE"/>
        </w:rPr>
        <w:t>eval die zijn ingesteld voor de rechtscolleges van de rechterlijke orde, tot de dag volgend op de dag waarop :</w:t>
      </w:r>
    </w:p>
    <w:p w:rsidR="00BF73D5" w:rsidRPr="00BF73D5" w:rsidRDefault="003F05EB" w:rsidP="005C6936">
      <w:pPr>
        <w:spacing w:after="0"/>
        <w:jc w:val="left"/>
        <w:rPr>
          <w:bCs/>
          <w:sz w:val="20"/>
          <w:lang w:val="nl-BE"/>
        </w:rPr>
      </w:pPr>
      <w:r w:rsidRPr="00BF73D5">
        <w:rPr>
          <w:bCs/>
          <w:sz w:val="20"/>
          <w:lang w:val="nl-BE"/>
        </w:rPr>
        <w:t xml:space="preserve">1° </w:t>
      </w:r>
      <w:r w:rsidR="00BF73D5" w:rsidRPr="00BF73D5">
        <w:rPr>
          <w:bCs/>
          <w:sz w:val="20"/>
          <w:lang w:val="nl-BE"/>
        </w:rPr>
        <w:t xml:space="preserve">de aanvrager een definitief voorstel tot vergoeding aanvaardt ofwel van </w:t>
      </w:r>
      <w:proofErr w:type="spellStart"/>
      <w:r w:rsidR="00BF73D5" w:rsidRPr="00BF73D5">
        <w:rPr>
          <w:bCs/>
          <w:sz w:val="20"/>
          <w:lang w:val="nl-BE"/>
        </w:rPr>
        <w:t>ht</w:t>
      </w:r>
      <w:proofErr w:type="spellEnd"/>
      <w:r w:rsidR="00BF73D5" w:rsidRPr="00BF73D5">
        <w:rPr>
          <w:bCs/>
          <w:sz w:val="20"/>
          <w:lang w:val="nl-BE"/>
        </w:rPr>
        <w:t xml:space="preserve"> Fonds, ofwel van de zorgverlener, ofwel van de verzekeraar van laatstgenoemde ;</w:t>
      </w:r>
    </w:p>
    <w:p w:rsidR="00BF73D5" w:rsidRPr="00BF73D5" w:rsidRDefault="003F05EB" w:rsidP="005C6936">
      <w:pPr>
        <w:spacing w:after="0"/>
        <w:jc w:val="left"/>
        <w:rPr>
          <w:bCs/>
          <w:sz w:val="20"/>
          <w:lang w:val="nl-BE"/>
        </w:rPr>
      </w:pPr>
      <w:r w:rsidRPr="00BF73D5">
        <w:rPr>
          <w:bCs/>
          <w:sz w:val="20"/>
          <w:lang w:val="nl-BE"/>
        </w:rPr>
        <w:t xml:space="preserve">2° </w:t>
      </w:r>
      <w:r w:rsidR="00BF73D5" w:rsidRPr="00BF73D5">
        <w:rPr>
          <w:bCs/>
          <w:sz w:val="20"/>
          <w:lang w:val="nl-BE"/>
        </w:rPr>
        <w:t>de aan</w:t>
      </w:r>
      <w:r w:rsidR="00BF73D5">
        <w:rPr>
          <w:bCs/>
          <w:sz w:val="20"/>
          <w:lang w:val="nl-BE"/>
        </w:rPr>
        <w:t>vrager een voorlopig of definit</w:t>
      </w:r>
      <w:r w:rsidR="00BF73D5" w:rsidRPr="00BF73D5">
        <w:rPr>
          <w:bCs/>
          <w:sz w:val="20"/>
          <w:lang w:val="nl-BE"/>
        </w:rPr>
        <w:t>i</w:t>
      </w:r>
      <w:r w:rsidR="00BF73D5">
        <w:rPr>
          <w:bCs/>
          <w:sz w:val="20"/>
          <w:lang w:val="nl-BE"/>
        </w:rPr>
        <w:t>e</w:t>
      </w:r>
      <w:r w:rsidR="00BF73D5" w:rsidRPr="00BF73D5">
        <w:rPr>
          <w:bCs/>
          <w:sz w:val="20"/>
          <w:lang w:val="nl-BE"/>
        </w:rPr>
        <w:t>f voorstel tot vergoeding weigert ofwel van het Fonds,</w:t>
      </w:r>
      <w:r w:rsidR="00BF73D5">
        <w:rPr>
          <w:bCs/>
          <w:sz w:val="20"/>
          <w:lang w:val="nl-BE"/>
        </w:rPr>
        <w:t xml:space="preserve"> ofwel van de zor</w:t>
      </w:r>
      <w:r w:rsidR="00BF73D5" w:rsidRPr="00BF73D5">
        <w:rPr>
          <w:bCs/>
          <w:sz w:val="20"/>
          <w:lang w:val="nl-BE"/>
        </w:rPr>
        <w:t>gverlener, ofwel van de</w:t>
      </w:r>
      <w:r w:rsidR="00BF73D5">
        <w:rPr>
          <w:bCs/>
          <w:sz w:val="20"/>
          <w:lang w:val="nl-BE"/>
        </w:rPr>
        <w:t xml:space="preserve"> </w:t>
      </w:r>
      <w:r w:rsidR="00BF73D5" w:rsidRPr="00BF73D5">
        <w:rPr>
          <w:bCs/>
          <w:sz w:val="20"/>
          <w:lang w:val="nl-BE"/>
        </w:rPr>
        <w:t>verzekeraar van laatstgenoemde ;</w:t>
      </w:r>
    </w:p>
    <w:p w:rsidR="00C176E0" w:rsidRPr="00C176E0" w:rsidRDefault="00C176E0" w:rsidP="005C6936">
      <w:pPr>
        <w:spacing w:after="0"/>
        <w:jc w:val="left"/>
        <w:rPr>
          <w:bCs/>
          <w:sz w:val="20"/>
          <w:lang w:val="nl-BE"/>
        </w:rPr>
      </w:pPr>
      <w:r w:rsidRPr="00C176E0">
        <w:rPr>
          <w:bCs/>
          <w:sz w:val="20"/>
          <w:lang w:val="nl-BE"/>
        </w:rPr>
        <w:t xml:space="preserve">3° het </w:t>
      </w:r>
      <w:r w:rsidR="003F05EB" w:rsidRPr="00C176E0">
        <w:rPr>
          <w:bCs/>
          <w:sz w:val="20"/>
          <w:lang w:val="nl-BE"/>
        </w:rPr>
        <w:t xml:space="preserve">Fonds </w:t>
      </w:r>
      <w:r w:rsidRPr="00C176E0">
        <w:rPr>
          <w:bCs/>
          <w:sz w:val="20"/>
          <w:lang w:val="nl-BE"/>
        </w:rPr>
        <w:t xml:space="preserve">aan de aanvrager kennis geeft van een advies waarin het oordeelt dat de voorwaarden bepaald bij artikelen 4 en 5 niet zijn vervuld ; </w:t>
      </w:r>
    </w:p>
    <w:p w:rsidR="00C176E0" w:rsidRDefault="003F05EB" w:rsidP="005C6936">
      <w:pPr>
        <w:spacing w:after="0"/>
        <w:jc w:val="left"/>
        <w:rPr>
          <w:bCs/>
          <w:sz w:val="20"/>
          <w:lang w:val="nl-BE"/>
        </w:rPr>
      </w:pPr>
      <w:r w:rsidRPr="00C176E0">
        <w:rPr>
          <w:bCs/>
          <w:sz w:val="20"/>
          <w:lang w:val="nl-BE"/>
        </w:rPr>
        <w:t xml:space="preserve">4° </w:t>
      </w:r>
      <w:r w:rsidR="00C176E0" w:rsidRPr="00C176E0">
        <w:rPr>
          <w:bCs/>
          <w:sz w:val="20"/>
          <w:lang w:val="nl-BE"/>
        </w:rPr>
        <w:t xml:space="preserve">de aanvrager aan Het Fonds kennis geeft van zijn wil om een einde te maken aan de procedure voor het </w:t>
      </w:r>
      <w:r w:rsidR="00C176E0">
        <w:rPr>
          <w:bCs/>
          <w:sz w:val="20"/>
          <w:lang w:val="nl-BE"/>
        </w:rPr>
        <w:t xml:space="preserve">Fonds. </w:t>
      </w:r>
    </w:p>
    <w:p w:rsidR="00C176E0" w:rsidRDefault="003F05EB" w:rsidP="005C6936">
      <w:pPr>
        <w:spacing w:after="0"/>
        <w:jc w:val="left"/>
        <w:rPr>
          <w:bCs/>
          <w:sz w:val="20"/>
          <w:lang w:val="nl-BE"/>
        </w:rPr>
      </w:pPr>
      <w:r w:rsidRPr="00C176E0">
        <w:rPr>
          <w:bCs/>
          <w:sz w:val="20"/>
          <w:lang w:val="nl-BE"/>
        </w:rPr>
        <w:t xml:space="preserve">§ 2. </w:t>
      </w:r>
      <w:r w:rsidR="00C176E0" w:rsidRPr="00C176E0">
        <w:rPr>
          <w:bCs/>
          <w:sz w:val="20"/>
          <w:lang w:val="nl-BE"/>
        </w:rPr>
        <w:t>De verjaring van de burgerlijke rechtsvorderingen met betrekking tot dit medisch ongeval wordt geschorst onder dezelfde voorwaarden</w:t>
      </w:r>
      <w:r w:rsidR="00C176E0">
        <w:rPr>
          <w:bCs/>
          <w:sz w:val="20"/>
          <w:lang w:val="nl-BE"/>
        </w:rPr>
        <w:t xml:space="preserve">. </w:t>
      </w:r>
    </w:p>
    <w:p w:rsidR="00C176E0" w:rsidRDefault="003F05EB" w:rsidP="005C6936">
      <w:pPr>
        <w:spacing w:after="0"/>
        <w:jc w:val="left"/>
        <w:rPr>
          <w:bCs/>
          <w:sz w:val="20"/>
          <w:lang w:val="nl-BE"/>
        </w:rPr>
      </w:pPr>
      <w:r w:rsidRPr="00C176E0">
        <w:rPr>
          <w:bCs/>
          <w:sz w:val="20"/>
          <w:lang w:val="nl-BE"/>
        </w:rPr>
        <w:t xml:space="preserve">§ 3. </w:t>
      </w:r>
      <w:r w:rsidR="00C176E0" w:rsidRPr="00C176E0">
        <w:rPr>
          <w:bCs/>
          <w:sz w:val="20"/>
          <w:lang w:val="nl-BE"/>
        </w:rPr>
        <w:t xml:space="preserve">Het instellen van een rechtsvordering met betrekking tot dit medisch ongeval schorst de verjaring van de vordering bij en tegen het </w:t>
      </w:r>
      <w:r w:rsidR="00C176E0">
        <w:rPr>
          <w:bCs/>
          <w:sz w:val="20"/>
          <w:lang w:val="nl-BE"/>
        </w:rPr>
        <w:t>Fonds.</w:t>
      </w:r>
    </w:p>
    <w:p w:rsidR="003F05EB" w:rsidRPr="00D71CC2" w:rsidRDefault="003F05EB" w:rsidP="005C6936">
      <w:pPr>
        <w:spacing w:after="0"/>
        <w:jc w:val="left"/>
        <w:rPr>
          <w:rFonts w:cs="Arial"/>
          <w:sz w:val="20"/>
          <w:u w:val="single"/>
          <w:lang w:val="nl-BE"/>
        </w:rPr>
      </w:pPr>
    </w:p>
    <w:p w:rsidR="003F05EB" w:rsidRPr="00D71CC2" w:rsidRDefault="003F05EB" w:rsidP="003F05EB">
      <w:pPr>
        <w:pStyle w:val="ListParagraph"/>
        <w:spacing w:after="0" w:line="240" w:lineRule="auto"/>
        <w:ind w:left="1440"/>
        <w:rPr>
          <w:rFonts w:ascii="Arial" w:hAnsi="Arial" w:cs="Arial"/>
          <w:i/>
          <w:sz w:val="20"/>
          <w:szCs w:val="20"/>
        </w:rPr>
      </w:pPr>
    </w:p>
    <w:p w:rsidR="00D53DD2" w:rsidRPr="00D71CC2" w:rsidRDefault="00D53DD2" w:rsidP="00D53DD2">
      <w:pPr>
        <w:spacing w:after="0"/>
        <w:jc w:val="left"/>
        <w:rPr>
          <w:rFonts w:cs="Arial"/>
          <w:sz w:val="20"/>
          <w:u w:val="single"/>
          <w:lang w:val="nl-BE"/>
        </w:rPr>
      </w:pPr>
      <w:r w:rsidRPr="00D71CC2">
        <w:rPr>
          <w:rFonts w:cs="Arial"/>
          <w:sz w:val="20"/>
          <w:u w:val="single"/>
          <w:lang w:val="nl-BE"/>
        </w:rPr>
        <w:lastRenderedPageBreak/>
        <w:t>§ 4. Indien een strafvervolging is ingesteld voor dezelfde feiten als dit medisch ongeval, wordt het onderzoek van de in artikel 12 bedoelde aanvraag door het Fonds geschorst tot de dag volgend op de dag waarop het Fonds ervan in kennis is gesteld dat de strafrechtelijke procedure is beëindigd door een beslissing om de vervolging zonder gevolg te klasseren, een beslissing tot buitenvervolgingstelling, een correctioneel vonnis of arrest met kracht van gewijsde.</w:t>
      </w:r>
    </w:p>
    <w:p w:rsidR="00D53DD2" w:rsidRPr="00D71CC2" w:rsidRDefault="00D53DD2" w:rsidP="00D53DD2">
      <w:pPr>
        <w:spacing w:after="0"/>
        <w:jc w:val="left"/>
        <w:rPr>
          <w:rFonts w:cs="Arial"/>
          <w:b/>
          <w:bCs/>
          <w:sz w:val="20"/>
          <w:lang w:val="nl-BE"/>
        </w:rPr>
      </w:pPr>
    </w:p>
    <w:p w:rsidR="00D53DD2" w:rsidRPr="00D71CC2" w:rsidRDefault="00D53DD2" w:rsidP="00D53DD2">
      <w:pPr>
        <w:spacing w:after="0"/>
        <w:jc w:val="left"/>
        <w:rPr>
          <w:rFonts w:cs="Arial"/>
          <w:b/>
          <w:bCs/>
          <w:sz w:val="20"/>
          <w:lang w:val="nl-BE"/>
        </w:rPr>
      </w:pPr>
      <w:r w:rsidRPr="00D71CC2">
        <w:rPr>
          <w:rFonts w:cs="Arial"/>
          <w:b/>
          <w:bCs/>
          <w:sz w:val="20"/>
          <w:lang w:val="nl-BE"/>
        </w:rPr>
        <w:t>Motivering</w:t>
      </w:r>
    </w:p>
    <w:p w:rsidR="00D53DD2" w:rsidRPr="00D71CC2" w:rsidRDefault="00D53DD2" w:rsidP="00D53DD2">
      <w:pPr>
        <w:spacing w:after="0"/>
        <w:jc w:val="left"/>
        <w:rPr>
          <w:rFonts w:cs="Arial"/>
          <w:b/>
          <w:bCs/>
          <w:sz w:val="20"/>
          <w:lang w:val="nl-BE"/>
        </w:rPr>
      </w:pPr>
    </w:p>
    <w:p w:rsidR="00D53DD2" w:rsidRPr="00D71CC2" w:rsidRDefault="00D53DD2" w:rsidP="00D53DD2">
      <w:pPr>
        <w:spacing w:after="0"/>
        <w:jc w:val="left"/>
        <w:rPr>
          <w:rFonts w:cs="Arial"/>
          <w:sz w:val="20"/>
          <w:lang w:val="nl-BE"/>
        </w:rPr>
      </w:pPr>
      <w:r w:rsidRPr="00D71CC2">
        <w:rPr>
          <w:rFonts w:cs="Arial"/>
          <w:sz w:val="20"/>
          <w:lang w:val="nl-BE"/>
        </w:rPr>
        <w:t xml:space="preserve">De situatie waarin een adviesaanvraag bij het Fonds wordt ingediend terwijl de strafvordering zich in het stadium van het opsporingsonderzoek, het gerechtelijk onderzoek of de berechting bevindt, wordt niet duidelijk bepaald in artikel 13. De memorie van toelichting van de wet verschaft ons inzicht in deze kwestie met de verduidelijking dat de regel die is opgenomen in artikel 13, § 1, "ook geldt voor de burgerlijke rechtszaken die in het kader van een strafrechtelijke procedure worden ingespannen. In artikel 4, tweede lid, van de voorafgaande titel van het Wetboek van strafvordering wordt namelijk het volgende bepaald: "De rechter bij wie de strafvordering aanhangig is gemaakt, houdt ambtshalve de burgerlijke belangen aan, zelfs bij ontstentenis van burgerlijke-partijstelling, wanneer de zaak wat die belangen betreft niet in staat van </w:t>
      </w:r>
      <w:r w:rsidR="00F7690F">
        <w:rPr>
          <w:rFonts w:cs="Arial"/>
          <w:sz w:val="20"/>
          <w:lang w:val="nl-BE"/>
        </w:rPr>
        <w:t>gewijsde</w:t>
      </w:r>
      <w:r w:rsidRPr="00D71CC2">
        <w:rPr>
          <w:rFonts w:cs="Arial"/>
          <w:sz w:val="20"/>
          <w:lang w:val="nl-BE"/>
        </w:rPr>
        <w:t xml:space="preserve"> is.". Wanneer een aanvraag aanhangig is bij het Fonds, moet ervan worden uitgegaan dat de zaak wat de burgerlijke belangen betreft niet in staat van </w:t>
      </w:r>
      <w:r w:rsidR="00F7690F">
        <w:rPr>
          <w:rFonts w:cs="Arial"/>
          <w:sz w:val="20"/>
          <w:lang w:val="nl-BE"/>
        </w:rPr>
        <w:t>gewijsde</w:t>
      </w:r>
      <w:r w:rsidRPr="00D71CC2">
        <w:rPr>
          <w:rFonts w:cs="Arial"/>
          <w:sz w:val="20"/>
          <w:lang w:val="nl-BE"/>
        </w:rPr>
        <w:t xml:space="preserve"> is." </w:t>
      </w:r>
      <w:r w:rsidRPr="00F4117C">
        <w:rPr>
          <w:rFonts w:cs="Arial"/>
          <w:iCs/>
          <w:sz w:val="20"/>
          <w:vertAlign w:val="superscript"/>
          <w:lang w:val="fr-BE"/>
        </w:rPr>
        <w:footnoteReference w:id="22"/>
      </w:r>
    </w:p>
    <w:p w:rsidR="00D53DD2" w:rsidRPr="00D71CC2" w:rsidRDefault="00D53DD2" w:rsidP="00D53DD2">
      <w:pPr>
        <w:spacing w:after="0"/>
        <w:jc w:val="left"/>
        <w:rPr>
          <w:rFonts w:cs="Arial"/>
          <w:sz w:val="20"/>
          <w:lang w:val="nl-BE"/>
        </w:rPr>
      </w:pPr>
    </w:p>
    <w:p w:rsidR="00D53DD2" w:rsidRPr="00D71CC2" w:rsidRDefault="00D53DD2" w:rsidP="00D53DD2">
      <w:pPr>
        <w:spacing w:after="0"/>
        <w:jc w:val="left"/>
        <w:rPr>
          <w:rFonts w:cs="Arial"/>
          <w:sz w:val="20"/>
          <w:lang w:val="nl-BE"/>
        </w:rPr>
      </w:pPr>
      <w:r w:rsidRPr="00D71CC2">
        <w:rPr>
          <w:rFonts w:cs="Arial"/>
          <w:sz w:val="20"/>
          <w:lang w:val="nl-BE"/>
        </w:rPr>
        <w:t xml:space="preserve">Gelet op de memorie van toelichting, moet alleen het onderzoek van de burgerlijke belangen in het kader van een strafrechtelijke procedure worden geschorst, in de hypothese dat er een aanvraag is ingediend bij het Fonds. Bijgevolg kan er zich een situatie voordoen waarbij het Fonds verdergaat met de behandeling van de bij hem ingediende adviesaanvraag, het bestaan van een burgerlijke aansprakelijkheid weerhoudt in hoofde van een zorgverlener en de aanvrager(s) vergoedt, terwijl een strafrechtelijke procedure lopende is en de strafrechter na afloop kan beslissen dat er geen misdrijf is bewezen. </w:t>
      </w:r>
      <w:r w:rsidRPr="00F4117C">
        <w:rPr>
          <w:rStyle w:val="FootnoteReference"/>
          <w:rFonts w:cs="Arial"/>
          <w:iCs/>
          <w:sz w:val="20"/>
          <w:lang w:val="fr-BE"/>
        </w:rPr>
        <w:footnoteReference w:id="23"/>
      </w:r>
    </w:p>
    <w:p w:rsidR="00D53DD2" w:rsidRPr="00D71CC2" w:rsidRDefault="00D53DD2" w:rsidP="00D53DD2">
      <w:pPr>
        <w:spacing w:after="0"/>
        <w:jc w:val="left"/>
        <w:rPr>
          <w:rFonts w:cs="Arial"/>
          <w:sz w:val="20"/>
          <w:lang w:val="nl-BE"/>
        </w:rPr>
      </w:pPr>
      <w:r w:rsidRPr="00D71CC2">
        <w:rPr>
          <w:rFonts w:cs="Arial"/>
          <w:sz w:val="20"/>
          <w:lang w:val="nl-BE"/>
        </w:rPr>
        <w:t>In dat geval zou het Fonds mogelijk de financiële last van zijn beslissing moeten dragen zonder mogelijkheid tot terugvordering bij de burgerlijke rechtscolleges krachtens het principe dat het strafvonnis ten opzichte van de burgerlijke rechtsvordering gezag van gewijsde heeft.</w:t>
      </w:r>
    </w:p>
    <w:p w:rsidR="00F61B9C" w:rsidRPr="00D71CC2" w:rsidRDefault="00D53DD2" w:rsidP="00D53DD2">
      <w:pPr>
        <w:spacing w:after="0"/>
        <w:jc w:val="left"/>
        <w:rPr>
          <w:rFonts w:cs="Arial"/>
          <w:sz w:val="20"/>
          <w:lang w:val="nl-BE"/>
        </w:rPr>
      </w:pPr>
      <w:r w:rsidRPr="00D71CC2">
        <w:rPr>
          <w:rFonts w:cs="Arial"/>
          <w:sz w:val="20"/>
          <w:lang w:val="nl-BE"/>
        </w:rPr>
        <w:t>Dankzij die aanpassing wordt dus onder meer het risico op eventuele tegenstrijdige beslissingen uitgesloten.</w:t>
      </w:r>
      <w:r w:rsidRPr="00D71CC2">
        <w:rPr>
          <w:rFonts w:cs="Arial"/>
          <w:sz w:val="20"/>
          <w:lang w:val="nl-BE"/>
        </w:rPr>
        <w:cr/>
      </w:r>
    </w:p>
    <w:p w:rsidR="006A6FD0" w:rsidRPr="00D71CC2" w:rsidRDefault="00F61B9C" w:rsidP="00D53DD2">
      <w:pPr>
        <w:spacing w:after="0"/>
        <w:jc w:val="left"/>
        <w:rPr>
          <w:rFonts w:cs="Arial"/>
          <w:sz w:val="20"/>
          <w:szCs w:val="22"/>
          <w:lang w:val="nl-BE"/>
        </w:rPr>
      </w:pPr>
      <w:r w:rsidRPr="00D71CC2">
        <w:rPr>
          <w:rFonts w:cs="Arial"/>
          <w:sz w:val="20"/>
          <w:lang w:val="nl-BE"/>
        </w:rPr>
        <w:t>Er dient vastgesteld dat wanneer er een strafzaak loopt, de zorgverlener vaak geen medewerking verleent aan de procedure die simultaan voor het FMO lopende is. De mogelijkheden waarover het FMO beschikt (</w:t>
      </w:r>
      <w:proofErr w:type="spellStart"/>
      <w:r w:rsidRPr="00D71CC2">
        <w:rPr>
          <w:rFonts w:cs="Arial"/>
          <w:sz w:val="20"/>
          <w:lang w:val="nl-BE"/>
        </w:rPr>
        <w:t>oa</w:t>
      </w:r>
      <w:proofErr w:type="spellEnd"/>
      <w:r w:rsidRPr="00D71CC2">
        <w:rPr>
          <w:rFonts w:cs="Arial"/>
          <w:sz w:val="20"/>
          <w:lang w:val="nl-BE"/>
        </w:rPr>
        <w:t xml:space="preserve"> art. 15 WMO) om bewijzen en gegevens op te vragen zijn geenszins te vergelijken met deze van het Parket. Als de procedure voor het FMO dan verderloopt, kan dit in het nadeel zijn van de aanvrager. Het Fonds kan immers slechts op basis van de voorgelegde stukken besluiten tot een eventuele aansprakelijkheid. Wanneer echter de zorgverlener geen medewerking verleent aan de procedure voor het FMO bestaat het risico dat het FMO, gebonden door de wettelijke termijnen, een advies moet afleveren zonder over alle informatie te beschikken. Dit kan in het nadeel van de aanvrager/patiënt zijn.</w:t>
      </w:r>
      <w:r w:rsidR="006A6FD0" w:rsidRPr="00D71CC2">
        <w:rPr>
          <w:rFonts w:cs="Arial"/>
          <w:sz w:val="20"/>
          <w:lang w:val="nl-BE"/>
        </w:rPr>
        <w:br w:type="page"/>
      </w:r>
    </w:p>
    <w:p w:rsidR="003F05EB" w:rsidRPr="00604807" w:rsidRDefault="003F05EB" w:rsidP="00635A06">
      <w:pPr>
        <w:pStyle w:val="ListParagraph"/>
        <w:numPr>
          <w:ilvl w:val="0"/>
          <w:numId w:val="24"/>
        </w:num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rPr>
      </w:pPr>
      <w:r w:rsidRPr="00604807">
        <w:rPr>
          <w:rFonts w:ascii="Arial" w:hAnsi="Arial" w:cs="Arial"/>
          <w:b/>
          <w:bCs/>
          <w:sz w:val="20"/>
        </w:rPr>
        <w:lastRenderedPageBreak/>
        <w:t>Art 23</w:t>
      </w:r>
      <w:r w:rsidR="0037403A">
        <w:rPr>
          <w:rFonts w:ascii="Arial" w:hAnsi="Arial" w:cs="Arial"/>
          <w:b/>
          <w:bCs/>
          <w:sz w:val="20"/>
        </w:rPr>
        <w:t xml:space="preserve"> – </w:t>
      </w:r>
      <w:r w:rsidR="00613DB8">
        <w:rPr>
          <w:rFonts w:ascii="Arial" w:hAnsi="Arial" w:cs="Arial"/>
          <w:b/>
          <w:bCs/>
          <w:sz w:val="20"/>
        </w:rPr>
        <w:t xml:space="preserve">scherpstelling </w:t>
      </w:r>
      <w:r w:rsidR="0037403A">
        <w:rPr>
          <w:rFonts w:ascii="Arial" w:hAnsi="Arial" w:cs="Arial"/>
          <w:b/>
          <w:bCs/>
          <w:sz w:val="20"/>
        </w:rPr>
        <w:t xml:space="preserve">rond </w:t>
      </w:r>
      <w:r w:rsidR="0012641B">
        <w:rPr>
          <w:rFonts w:ascii="Arial" w:hAnsi="Arial" w:cs="Arial"/>
          <w:b/>
          <w:bCs/>
          <w:sz w:val="20"/>
        </w:rPr>
        <w:t>de beroepstermijn bij een burgerlijke rechtbank na een FMO-advies</w:t>
      </w:r>
      <w:r>
        <w:rPr>
          <w:rFonts w:ascii="Arial" w:hAnsi="Arial" w:cs="Arial"/>
          <w:b/>
          <w:bCs/>
          <w:sz w:val="20"/>
        </w:rPr>
        <w:t xml:space="preserve"> </w:t>
      </w:r>
    </w:p>
    <w:p w:rsidR="003F05EB" w:rsidRDefault="003F05EB" w:rsidP="00166682">
      <w:pPr>
        <w:spacing w:after="0"/>
        <w:rPr>
          <w:rFonts w:cs="Arial"/>
          <w:sz w:val="20"/>
          <w:lang w:val="nl-BE"/>
        </w:rPr>
      </w:pPr>
    </w:p>
    <w:p w:rsidR="00166682" w:rsidRPr="00394538" w:rsidRDefault="00166682" w:rsidP="00166682">
      <w:pPr>
        <w:spacing w:after="0"/>
        <w:jc w:val="left"/>
        <w:rPr>
          <w:b/>
          <w:sz w:val="20"/>
          <w:lang w:val="nl-BE"/>
        </w:rPr>
      </w:pPr>
      <w:r w:rsidRPr="00394538">
        <w:rPr>
          <w:b/>
          <w:sz w:val="20"/>
          <w:lang w:val="nl-BE"/>
        </w:rPr>
        <w:t>Voorstel toevoeging onderlijnde tekst</w:t>
      </w:r>
      <w:r w:rsidRPr="00BF73D5">
        <w:rPr>
          <w:rFonts w:cs="Arial"/>
          <w:b/>
          <w:spacing w:val="15"/>
          <w:sz w:val="20"/>
          <w:vertAlign w:val="superscript"/>
          <w:lang w:val="nl-BE"/>
        </w:rPr>
        <w:footnoteReference w:id="24"/>
      </w:r>
    </w:p>
    <w:p w:rsidR="00166682" w:rsidRDefault="00166682">
      <w:pPr>
        <w:spacing w:after="0"/>
        <w:jc w:val="left"/>
        <w:rPr>
          <w:rFonts w:eastAsia="Calibri" w:cs="Arial"/>
          <w:sz w:val="20"/>
          <w:lang w:val="nl-BE"/>
        </w:rPr>
      </w:pPr>
    </w:p>
    <w:p w:rsidR="008F2134" w:rsidRPr="00D71CC2" w:rsidRDefault="00AF7E4F" w:rsidP="00AF7E4F">
      <w:pPr>
        <w:spacing w:after="0"/>
        <w:jc w:val="left"/>
        <w:rPr>
          <w:rFonts w:asciiTheme="minorHAnsi" w:hAnsiTheme="minorHAnsi" w:cstheme="minorHAnsi"/>
          <w:b/>
          <w:bCs/>
          <w:szCs w:val="18"/>
          <w:lang w:val="nl-BE"/>
        </w:rPr>
      </w:pPr>
      <w:r w:rsidRPr="00D71CC2">
        <w:rPr>
          <w:bCs/>
          <w:sz w:val="20"/>
          <w:u w:val="single"/>
          <w:lang w:val="nl-BE"/>
        </w:rPr>
        <w:t>"Indien het Fonds in zijn advies niet besluit dat er aanleiding is tot vergoeding krachtens artikel 4, 1°, of 2° of 3°, kan de aanvrager die het advies van het FMO betwist, op straffe van verval, binnen het jaar na de kennisgeving van het advies, overeenkomstig het Gerechtelijk Wetboek, een vordering instellen tegen het F</w:t>
      </w:r>
      <w:r w:rsidR="00692058" w:rsidRPr="00D71CC2">
        <w:rPr>
          <w:bCs/>
          <w:sz w:val="20"/>
          <w:u w:val="single"/>
          <w:lang w:val="nl-BE"/>
        </w:rPr>
        <w:t>MO</w:t>
      </w:r>
      <w:r w:rsidRPr="00D71CC2">
        <w:rPr>
          <w:bCs/>
          <w:sz w:val="20"/>
          <w:u w:val="single"/>
          <w:lang w:val="nl-BE"/>
        </w:rPr>
        <w:t xml:space="preserve"> om van het FMO de vergoeding te verkrijgen waarop hij recht meent te hebben krachtens deze wet. Deze vordering doet geen afbreuk aan de gemeenrechtelijke rechtsvorderingen van de aanvrager tegen de zorgverlener of zijn verzekeraar"</w:t>
      </w:r>
      <w:r w:rsidRPr="00D71CC2">
        <w:rPr>
          <w:bCs/>
          <w:sz w:val="20"/>
          <w:u w:val="single"/>
          <w:lang w:val="nl-BE"/>
        </w:rPr>
        <w:cr/>
      </w:r>
    </w:p>
    <w:p w:rsidR="00166682" w:rsidRPr="00394538" w:rsidRDefault="00166682">
      <w:pPr>
        <w:spacing w:after="0"/>
        <w:rPr>
          <w:rFonts w:cs="Arial"/>
          <w:b/>
          <w:bCs/>
          <w:sz w:val="20"/>
          <w:lang w:val="nl-BE"/>
        </w:rPr>
      </w:pPr>
      <w:r w:rsidRPr="00394538">
        <w:rPr>
          <w:rFonts w:cs="Arial"/>
          <w:b/>
          <w:bCs/>
          <w:sz w:val="20"/>
          <w:lang w:val="nl-BE"/>
        </w:rPr>
        <w:t>Motivering</w:t>
      </w:r>
    </w:p>
    <w:p w:rsidR="00166682" w:rsidRPr="00A34A91" w:rsidRDefault="00166682">
      <w:pPr>
        <w:spacing w:after="0"/>
        <w:rPr>
          <w:rFonts w:cs="Arial"/>
          <w:sz w:val="20"/>
          <w:lang w:val="nl-BE"/>
        </w:rPr>
      </w:pPr>
    </w:p>
    <w:p w:rsidR="00166682" w:rsidRPr="00BF73D5" w:rsidRDefault="00166682" w:rsidP="00635A06">
      <w:pPr>
        <w:spacing w:after="0"/>
        <w:jc w:val="left"/>
        <w:rPr>
          <w:rFonts w:eastAsia="Calibri" w:cs="Arial"/>
          <w:sz w:val="20"/>
          <w:lang w:val="nl-BE"/>
        </w:rPr>
      </w:pPr>
      <w:r w:rsidRPr="00BF73D5">
        <w:rPr>
          <w:rFonts w:eastAsia="Calibri" w:cs="Arial"/>
          <w:sz w:val="20"/>
          <w:lang w:val="nl-BE"/>
        </w:rPr>
        <w:t>Uit art. 2, 4° van de wet openbaarheid bestuur</w:t>
      </w:r>
      <w:r w:rsidRPr="00BF73D5">
        <w:rPr>
          <w:rFonts w:eastAsia="Calibri" w:cs="Arial"/>
          <w:sz w:val="20"/>
          <w:lang w:val="nl-BE"/>
        </w:rPr>
        <w:footnoteReference w:id="25"/>
      </w:r>
      <w:r w:rsidRPr="00BF73D5">
        <w:rPr>
          <w:rFonts w:eastAsia="Calibri" w:cs="Arial"/>
          <w:sz w:val="20"/>
          <w:lang w:val="nl-BE"/>
        </w:rPr>
        <w:t xml:space="preserve"> volgt dat het bestuur, in </w:t>
      </w:r>
      <w:proofErr w:type="spellStart"/>
      <w:r w:rsidRPr="00BF73D5">
        <w:rPr>
          <w:rFonts w:eastAsia="Calibri" w:cs="Arial"/>
          <w:sz w:val="20"/>
          <w:lang w:val="nl-BE"/>
        </w:rPr>
        <w:t>casu</w:t>
      </w:r>
      <w:proofErr w:type="spellEnd"/>
      <w:r w:rsidRPr="00BF73D5">
        <w:rPr>
          <w:rFonts w:eastAsia="Calibri" w:cs="Arial"/>
          <w:sz w:val="20"/>
          <w:lang w:val="nl-BE"/>
        </w:rPr>
        <w:t xml:space="preserve"> het Fonds, de beroepsmogelijkheden moet vermelden alsmede de instantie die bevoegd is om kennis te nemen van het beroep.</w:t>
      </w:r>
      <w:r>
        <w:rPr>
          <w:rFonts w:eastAsia="Calibri" w:cs="Arial"/>
          <w:sz w:val="20"/>
          <w:lang w:val="nl-BE"/>
        </w:rPr>
        <w:t xml:space="preserve"> </w:t>
      </w:r>
      <w:r w:rsidRPr="00BF73D5">
        <w:rPr>
          <w:rFonts w:eastAsia="Calibri" w:cs="Arial"/>
          <w:sz w:val="20"/>
          <w:lang w:val="nl-BE"/>
        </w:rPr>
        <w:t xml:space="preserve">Momenteel is er geen duidelijkheid in de wet medische ongevallen over de termijn voor het instellen van een vordering tegen het Fonds na advies. Om een einde te maken aan die rechtsonzekerheid dringt een wijziging van art. 23 wet medische ongevallen zich op. </w:t>
      </w:r>
    </w:p>
    <w:p w:rsidR="00692058" w:rsidRPr="00D71CC2" w:rsidRDefault="00692058" w:rsidP="006B297B">
      <w:pPr>
        <w:spacing w:after="0"/>
        <w:ind w:left="357" w:hanging="357"/>
        <w:jc w:val="left"/>
        <w:rPr>
          <w:rFonts w:eastAsia="Calibri" w:cs="Arial"/>
          <w:sz w:val="20"/>
          <w:lang w:val="nl-BE"/>
        </w:rPr>
      </w:pPr>
    </w:p>
    <w:p w:rsidR="00692058" w:rsidRPr="00D71CC2" w:rsidRDefault="00692058" w:rsidP="001F621A">
      <w:pPr>
        <w:spacing w:after="0"/>
        <w:jc w:val="left"/>
        <w:rPr>
          <w:rFonts w:cs="Arial"/>
          <w:bCs/>
          <w:sz w:val="20"/>
          <w:lang w:val="nl-BE"/>
        </w:rPr>
      </w:pPr>
      <w:r w:rsidRPr="00D71CC2">
        <w:rPr>
          <w:rFonts w:cs="Arial"/>
          <w:bCs/>
          <w:sz w:val="20"/>
          <w:lang w:val="nl-BE"/>
        </w:rPr>
        <w:t>Dit voorstel biedt verschillende voordelen:</w:t>
      </w:r>
    </w:p>
    <w:p w:rsidR="00692058" w:rsidRPr="00D71CC2" w:rsidRDefault="00692058" w:rsidP="00B912DA">
      <w:pPr>
        <w:pStyle w:val="ListParagraph"/>
        <w:numPr>
          <w:ilvl w:val="0"/>
          <w:numId w:val="40"/>
        </w:numPr>
        <w:spacing w:after="0" w:line="240" w:lineRule="auto"/>
        <w:rPr>
          <w:rFonts w:ascii="Arial" w:hAnsi="Arial" w:cs="Arial"/>
          <w:bCs/>
          <w:sz w:val="20"/>
          <w:szCs w:val="20"/>
        </w:rPr>
      </w:pPr>
      <w:r w:rsidRPr="00D71CC2">
        <w:rPr>
          <w:rFonts w:ascii="Arial" w:hAnsi="Arial" w:cs="Arial"/>
          <w:bCs/>
          <w:sz w:val="20"/>
          <w:szCs w:val="20"/>
        </w:rPr>
        <w:t xml:space="preserve">Een unieke en identieke termijn voor alle aanvragers die ontevreden zijn over adviezen van het Fonds die geen aanleiding geven tot vergoeding; </w:t>
      </w:r>
    </w:p>
    <w:p w:rsidR="00692058" w:rsidRPr="00D71CC2" w:rsidRDefault="00692058" w:rsidP="0097278D">
      <w:pPr>
        <w:pStyle w:val="ListParagraph"/>
        <w:numPr>
          <w:ilvl w:val="0"/>
          <w:numId w:val="40"/>
        </w:numPr>
        <w:spacing w:after="0" w:line="240" w:lineRule="auto"/>
        <w:rPr>
          <w:rFonts w:cs="Arial"/>
          <w:b/>
          <w:spacing w:val="-10"/>
          <w:kern w:val="28"/>
          <w:position w:val="6"/>
          <w:sz w:val="20"/>
        </w:rPr>
      </w:pPr>
      <w:r w:rsidRPr="00D71CC2">
        <w:rPr>
          <w:rFonts w:ascii="Arial" w:hAnsi="Arial" w:cs="Arial"/>
          <w:bCs/>
          <w:sz w:val="20"/>
          <w:szCs w:val="20"/>
        </w:rPr>
        <w:t>Een welbepaald aanvangspunt voor de beroepstermijn, namelijk de datum van kennisgeving van het advies;</w:t>
      </w:r>
    </w:p>
    <w:p w:rsidR="006D333E" w:rsidRPr="00D71CC2" w:rsidRDefault="00692058" w:rsidP="001F621A">
      <w:pPr>
        <w:pStyle w:val="ListParagraph"/>
        <w:numPr>
          <w:ilvl w:val="0"/>
          <w:numId w:val="40"/>
        </w:numPr>
        <w:spacing w:after="0" w:line="240" w:lineRule="auto"/>
        <w:rPr>
          <w:rFonts w:cs="Arial"/>
          <w:b/>
          <w:spacing w:val="-10"/>
          <w:kern w:val="28"/>
          <w:position w:val="6"/>
          <w:sz w:val="20"/>
        </w:rPr>
      </w:pPr>
      <w:r w:rsidRPr="00D71CC2">
        <w:rPr>
          <w:rFonts w:ascii="Arial" w:hAnsi="Arial" w:cs="Arial"/>
          <w:bCs/>
          <w:sz w:val="20"/>
          <w:szCs w:val="20"/>
        </w:rPr>
        <w:t>Een duidelijke en nauwkeurige mededeling van de beroepstermijnen door de administratie in het kader van de kennisgeving van haar adviezen overeenkomstig artikel 2, vierde lid, van de wet van 11 april 1994 betreffende de openbaarheid van bestuur;</w:t>
      </w:r>
      <w:r w:rsidR="006D333E" w:rsidRPr="00D71CC2">
        <w:br w:type="page"/>
      </w:r>
    </w:p>
    <w:p w:rsidR="008F2134" w:rsidRPr="00A34A91" w:rsidRDefault="00696503" w:rsidP="008F2134">
      <w:pPr>
        <w:pStyle w:val="Heading1"/>
        <w:spacing w:line="240" w:lineRule="auto"/>
      </w:pPr>
      <w:bookmarkStart w:id="33" w:name="_Toc68955700"/>
      <w:r>
        <w:lastRenderedPageBreak/>
        <w:t>BIJLAGEN</w:t>
      </w:r>
      <w:bookmarkEnd w:id="33"/>
      <w:r w:rsidR="00197CB6">
        <w:t xml:space="preserve"> </w:t>
      </w:r>
    </w:p>
    <w:p w:rsidR="008F2134" w:rsidRPr="00A34A91" w:rsidRDefault="008F2134" w:rsidP="008F2134">
      <w:pPr>
        <w:spacing w:after="0"/>
        <w:jc w:val="left"/>
        <w:rPr>
          <w:rFonts w:cs="Arial"/>
          <w:b/>
          <w:bCs/>
          <w:sz w:val="20"/>
        </w:rPr>
      </w:pPr>
    </w:p>
    <w:p w:rsidR="006E652F" w:rsidRPr="006E652F" w:rsidRDefault="006E652F" w:rsidP="006E652F">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34" w:name="_Toc65438928"/>
      <w:bookmarkStart w:id="35" w:name="_Toc65439474"/>
      <w:bookmarkStart w:id="36" w:name="_Toc65438929"/>
      <w:bookmarkStart w:id="37" w:name="_Toc65439475"/>
      <w:bookmarkStart w:id="38" w:name="_Toc65438930"/>
      <w:bookmarkStart w:id="39" w:name="_Toc65439476"/>
      <w:bookmarkStart w:id="40" w:name="_Toc65438931"/>
      <w:bookmarkStart w:id="41" w:name="_Toc65439477"/>
      <w:bookmarkStart w:id="42" w:name="_Toc65438932"/>
      <w:bookmarkStart w:id="43" w:name="_Toc65439478"/>
      <w:bookmarkStart w:id="44" w:name="_Toc68955701"/>
      <w:bookmarkEnd w:id="34"/>
      <w:bookmarkEnd w:id="35"/>
      <w:bookmarkEnd w:id="36"/>
      <w:bookmarkEnd w:id="37"/>
      <w:bookmarkEnd w:id="38"/>
      <w:bookmarkEnd w:id="39"/>
      <w:bookmarkEnd w:id="40"/>
      <w:bookmarkEnd w:id="41"/>
      <w:bookmarkEnd w:id="42"/>
      <w:bookmarkEnd w:id="43"/>
      <w:proofErr w:type="spellStart"/>
      <w:r>
        <w:rPr>
          <w:rFonts w:cs="Arial"/>
          <w:sz w:val="20"/>
        </w:rPr>
        <w:t>Task</w:t>
      </w:r>
      <w:proofErr w:type="spellEnd"/>
      <w:r>
        <w:rPr>
          <w:rFonts w:cs="Arial"/>
          <w:sz w:val="20"/>
        </w:rPr>
        <w:t xml:space="preserve"> Force </w:t>
      </w:r>
      <w:r w:rsidR="006518FD">
        <w:rPr>
          <w:rFonts w:cs="Arial"/>
          <w:sz w:val="20"/>
        </w:rPr>
        <w:t xml:space="preserve">– </w:t>
      </w:r>
      <w:r w:rsidR="005935BC">
        <w:rPr>
          <w:rFonts w:cs="Arial"/>
          <w:sz w:val="20"/>
        </w:rPr>
        <w:t xml:space="preserve">onderliggende redenering van de </w:t>
      </w:r>
      <w:r w:rsidR="006518FD">
        <w:rPr>
          <w:rFonts w:cs="Arial"/>
          <w:sz w:val="20"/>
        </w:rPr>
        <w:t xml:space="preserve">impact voor </w:t>
      </w:r>
      <w:r>
        <w:rPr>
          <w:rFonts w:cs="Arial"/>
          <w:sz w:val="20"/>
        </w:rPr>
        <w:t>s</w:t>
      </w:r>
      <w:r w:rsidRPr="006E652F">
        <w:rPr>
          <w:rFonts w:cs="Arial"/>
          <w:sz w:val="20"/>
        </w:rPr>
        <w:t>chadevergoedingen</w:t>
      </w:r>
      <w:bookmarkEnd w:id="44"/>
    </w:p>
    <w:p w:rsidR="006E652F" w:rsidRPr="00E15053" w:rsidRDefault="006E652F" w:rsidP="006E652F">
      <w:pPr>
        <w:spacing w:after="0"/>
        <w:jc w:val="left"/>
        <w:rPr>
          <w:rFonts w:cs="Arial"/>
          <w:sz w:val="20"/>
          <w:u w:val="single"/>
          <w:lang w:val="nl-BE"/>
        </w:rPr>
      </w:pPr>
    </w:p>
    <w:p w:rsidR="006E652F" w:rsidRDefault="006E652F" w:rsidP="006E652F">
      <w:pPr>
        <w:spacing w:after="0"/>
        <w:jc w:val="left"/>
        <w:rPr>
          <w:rFonts w:cs="Arial"/>
          <w:sz w:val="20"/>
          <w:lang w:val="nl-BE"/>
        </w:rPr>
      </w:pPr>
      <w:r>
        <w:rPr>
          <w:rFonts w:cs="Arial"/>
          <w:sz w:val="20"/>
          <w:lang w:val="nl-BE"/>
        </w:rPr>
        <w:t xml:space="preserve">Na het verstrekken van het advies zijn er nog twee stappen die van de FMO-juristen in sommige dossiers substantieel tijd vragen: de schadeberekening en het opvolgen van de procedure voor recuperatie voor de rechtbank (nalezen van conclusies van advocaten </w:t>
      </w:r>
      <w:proofErr w:type="spellStart"/>
      <w:r>
        <w:rPr>
          <w:rFonts w:cs="Arial"/>
          <w:sz w:val="20"/>
          <w:lang w:val="nl-BE"/>
        </w:rPr>
        <w:t>ed</w:t>
      </w:r>
      <w:proofErr w:type="spellEnd"/>
      <w:r>
        <w:rPr>
          <w:rFonts w:cs="Arial"/>
          <w:sz w:val="20"/>
          <w:lang w:val="nl-BE"/>
        </w:rPr>
        <w:t xml:space="preserve">). Aan de geformuleerde doelstelling van een productie van 1300 dossiers bovenop het normale tempo </w:t>
      </w:r>
      <w:r w:rsidRPr="0004092D">
        <w:rPr>
          <w:rFonts w:cs="Arial"/>
          <w:sz w:val="20"/>
          <w:u w:val="single"/>
          <w:lang w:val="nl-BE"/>
        </w:rPr>
        <w:t xml:space="preserve">moeten </w:t>
      </w:r>
      <w:proofErr w:type="spellStart"/>
      <w:r w:rsidRPr="0004092D">
        <w:rPr>
          <w:rFonts w:cs="Arial"/>
          <w:sz w:val="20"/>
          <w:u w:val="single"/>
          <w:lang w:val="nl-BE"/>
        </w:rPr>
        <w:t>schadervergoedingen</w:t>
      </w:r>
      <w:proofErr w:type="spellEnd"/>
      <w:r w:rsidRPr="0004092D">
        <w:rPr>
          <w:rFonts w:cs="Arial"/>
          <w:sz w:val="20"/>
          <w:u w:val="single"/>
          <w:lang w:val="nl-BE"/>
        </w:rPr>
        <w:t xml:space="preserve"> verbonden worden</w:t>
      </w:r>
      <w:r>
        <w:rPr>
          <w:rFonts w:cs="Arial"/>
          <w:sz w:val="20"/>
          <w:lang w:val="nl-BE"/>
        </w:rPr>
        <w:t>. Die impliceren zowel een tijdsinvestering van de berekening als een budgettaire impact van de betaling zelf.</w:t>
      </w:r>
    </w:p>
    <w:p w:rsidR="006E652F" w:rsidRDefault="006E652F" w:rsidP="006E652F">
      <w:pPr>
        <w:spacing w:after="0"/>
        <w:jc w:val="left"/>
        <w:rPr>
          <w:rFonts w:cs="Arial"/>
          <w:sz w:val="20"/>
          <w:lang w:val="nl-BE"/>
        </w:rPr>
      </w:pPr>
    </w:p>
    <w:p w:rsidR="006E652F" w:rsidRDefault="006E652F" w:rsidP="006E652F">
      <w:pPr>
        <w:spacing w:after="0"/>
        <w:jc w:val="left"/>
        <w:rPr>
          <w:rFonts w:cs="Arial"/>
          <w:sz w:val="20"/>
          <w:lang w:val="nl-BE"/>
        </w:rPr>
      </w:pPr>
      <w:r>
        <w:rPr>
          <w:rFonts w:cs="Arial"/>
          <w:sz w:val="20"/>
          <w:lang w:val="nl-BE"/>
        </w:rPr>
        <w:t xml:space="preserve">Op basis van </w:t>
      </w:r>
      <w:r w:rsidR="00AF7E4F">
        <w:rPr>
          <w:rFonts w:cs="Arial"/>
          <w:sz w:val="20"/>
          <w:lang w:val="nl-BE"/>
        </w:rPr>
        <w:t xml:space="preserve">de gegevens van </w:t>
      </w:r>
      <w:r>
        <w:rPr>
          <w:rFonts w:cs="Arial"/>
          <w:sz w:val="20"/>
          <w:lang w:val="nl-BE"/>
        </w:rPr>
        <w:t xml:space="preserve">het verleden is </w:t>
      </w:r>
      <w:r w:rsidRPr="00634989">
        <w:rPr>
          <w:rFonts w:cs="Arial"/>
          <w:sz w:val="20"/>
          <w:lang w:val="nl-BE"/>
        </w:rPr>
        <w:t xml:space="preserve">slechts in 17% </w:t>
      </w:r>
      <w:r>
        <w:rPr>
          <w:rFonts w:cs="Arial"/>
          <w:sz w:val="20"/>
          <w:lang w:val="nl-BE"/>
        </w:rPr>
        <w:t xml:space="preserve">van de dossiers mogelijk </w:t>
      </w:r>
      <w:r w:rsidRPr="00634989">
        <w:rPr>
          <w:rFonts w:cs="Arial"/>
          <w:sz w:val="20"/>
          <w:lang w:val="nl-BE"/>
        </w:rPr>
        <w:t xml:space="preserve">schadevergoeding </w:t>
      </w:r>
      <w:r>
        <w:rPr>
          <w:rFonts w:cs="Arial"/>
          <w:sz w:val="20"/>
          <w:lang w:val="nl-BE"/>
        </w:rPr>
        <w:t xml:space="preserve">te betalen </w:t>
      </w:r>
      <w:r w:rsidRPr="00634989">
        <w:rPr>
          <w:rFonts w:cs="Arial"/>
          <w:sz w:val="20"/>
          <w:lang w:val="nl-BE"/>
        </w:rPr>
        <w:t>door het FMO</w:t>
      </w:r>
      <w:r>
        <w:rPr>
          <w:rFonts w:cs="Arial"/>
          <w:sz w:val="20"/>
          <w:lang w:val="nl-BE"/>
        </w:rPr>
        <w:t xml:space="preserve"> (aansprakelijkheid boven de ernst 10% en MOZA 7%)</w:t>
      </w:r>
      <w:r w:rsidRPr="00634989">
        <w:rPr>
          <w:rFonts w:cs="Arial"/>
          <w:sz w:val="20"/>
          <w:lang w:val="nl-BE"/>
        </w:rPr>
        <w:t xml:space="preserve">. </w:t>
      </w:r>
      <w:r>
        <w:rPr>
          <w:rFonts w:cs="Arial"/>
          <w:sz w:val="20"/>
          <w:lang w:val="nl-BE"/>
        </w:rPr>
        <w:t xml:space="preserve">In de dossiers met aansprakelijkheid aanvaardt de verzekeringsmaatschappij in 1/3 van de gevallen (dus 1/3 van 10%) de </w:t>
      </w:r>
      <w:r w:rsidRPr="00634989">
        <w:rPr>
          <w:rFonts w:cs="Arial"/>
          <w:sz w:val="20"/>
          <w:lang w:val="nl-BE"/>
        </w:rPr>
        <w:t>aansprakelijkheid</w:t>
      </w:r>
      <w:r>
        <w:rPr>
          <w:rFonts w:cs="Arial"/>
          <w:sz w:val="20"/>
          <w:lang w:val="nl-BE"/>
        </w:rPr>
        <w:t xml:space="preserve"> en zal zij dus vergoeden. Het FMO moet bijgevolg </w:t>
      </w:r>
      <w:r w:rsidRPr="00F46654">
        <w:rPr>
          <w:rFonts w:cs="Arial"/>
          <w:sz w:val="20"/>
          <w:u w:val="single"/>
          <w:lang w:val="nl-BE"/>
        </w:rPr>
        <w:t>vergoeden in 14% van de dossiers</w:t>
      </w:r>
      <w:r>
        <w:rPr>
          <w:rFonts w:cs="Arial"/>
          <w:sz w:val="20"/>
          <w:lang w:val="nl-BE"/>
        </w:rPr>
        <w:t xml:space="preserve"> (7% </w:t>
      </w:r>
      <w:proofErr w:type="spellStart"/>
      <w:r>
        <w:rPr>
          <w:rFonts w:cs="Arial"/>
          <w:sz w:val="20"/>
          <w:lang w:val="nl-BE"/>
        </w:rPr>
        <w:t>Moza</w:t>
      </w:r>
      <w:proofErr w:type="spellEnd"/>
      <w:r>
        <w:rPr>
          <w:rFonts w:cs="Arial"/>
          <w:sz w:val="20"/>
          <w:lang w:val="nl-BE"/>
        </w:rPr>
        <w:t xml:space="preserve"> en 7% aansprakelijkheid).</w:t>
      </w:r>
      <w:r w:rsidR="00574B1E">
        <w:rPr>
          <w:rStyle w:val="FootnoteReference"/>
          <w:rFonts w:cs="Arial"/>
          <w:sz w:val="20"/>
          <w:lang w:val="nl-BE"/>
        </w:rPr>
        <w:footnoteReference w:id="26"/>
      </w:r>
      <w:r>
        <w:rPr>
          <w:rFonts w:cs="Arial"/>
          <w:sz w:val="20"/>
          <w:lang w:val="nl-BE"/>
        </w:rPr>
        <w:t xml:space="preserve"> In de helft van deze dossiers is mogelijk een terugvorderingsprocedure voor de rechtbank nodig</w:t>
      </w:r>
      <w:r w:rsidR="00EB265D">
        <w:rPr>
          <w:rFonts w:cs="Arial"/>
          <w:sz w:val="20"/>
          <w:lang w:val="nl-BE"/>
        </w:rPr>
        <w:t xml:space="preserve"> gegeven de aanwezigheid van aansprakelijkheid.</w:t>
      </w:r>
    </w:p>
    <w:p w:rsidR="006E652F" w:rsidRDefault="006E652F" w:rsidP="006E652F">
      <w:pPr>
        <w:spacing w:after="0"/>
        <w:jc w:val="left"/>
        <w:rPr>
          <w:rFonts w:cs="Arial"/>
          <w:sz w:val="20"/>
          <w:lang w:val="nl-BE"/>
        </w:rPr>
      </w:pPr>
    </w:p>
    <w:p w:rsidR="006E652F" w:rsidRDefault="006E652F" w:rsidP="006E652F">
      <w:pPr>
        <w:spacing w:after="0"/>
        <w:jc w:val="left"/>
        <w:rPr>
          <w:rFonts w:cs="Arial"/>
          <w:sz w:val="20"/>
          <w:lang w:val="nl-BE"/>
        </w:rPr>
      </w:pPr>
      <w:r>
        <w:rPr>
          <w:rFonts w:cs="Arial"/>
          <w:sz w:val="20"/>
          <w:lang w:val="nl-BE"/>
        </w:rPr>
        <w:t xml:space="preserve">Gelet op de complexiteit van de schadeberekeningen </w:t>
      </w:r>
      <w:r w:rsidR="00EB265D">
        <w:rPr>
          <w:rFonts w:cs="Arial"/>
          <w:sz w:val="20"/>
          <w:lang w:val="nl-BE"/>
        </w:rPr>
        <w:t>moet die gebeuren door de PFMO-juristen</w:t>
      </w:r>
      <w:r>
        <w:rPr>
          <w:rFonts w:cs="Arial"/>
          <w:sz w:val="20"/>
          <w:lang w:val="nl-BE"/>
        </w:rPr>
        <w:t xml:space="preserve">. Een raming op basis van de FMO-statisteken suggereert dat voor de </w:t>
      </w:r>
      <w:proofErr w:type="spellStart"/>
      <w:r>
        <w:rPr>
          <w:rFonts w:cs="Arial"/>
          <w:sz w:val="20"/>
          <w:lang w:val="nl-BE"/>
        </w:rPr>
        <w:t>Ta</w:t>
      </w:r>
      <w:r w:rsidR="006F1032">
        <w:rPr>
          <w:rFonts w:cs="Arial"/>
          <w:sz w:val="20"/>
          <w:lang w:val="nl-BE"/>
        </w:rPr>
        <w:t>s</w:t>
      </w:r>
      <w:r>
        <w:rPr>
          <w:rFonts w:cs="Arial"/>
          <w:sz w:val="20"/>
          <w:lang w:val="nl-BE"/>
        </w:rPr>
        <w:t>k</w:t>
      </w:r>
      <w:proofErr w:type="spellEnd"/>
      <w:r>
        <w:rPr>
          <w:rFonts w:cs="Arial"/>
          <w:sz w:val="20"/>
          <w:lang w:val="nl-BE"/>
        </w:rPr>
        <w:t xml:space="preserve"> Force </w:t>
      </w:r>
      <w:r w:rsidRPr="009F514C">
        <w:rPr>
          <w:rFonts w:cs="Arial"/>
          <w:sz w:val="20"/>
          <w:u w:val="single"/>
          <w:lang w:val="nl-BE"/>
        </w:rPr>
        <w:t xml:space="preserve">ca </w:t>
      </w:r>
      <w:r w:rsidR="006F1032">
        <w:rPr>
          <w:rFonts w:cs="Arial"/>
          <w:sz w:val="20"/>
          <w:u w:val="single"/>
          <w:lang w:val="nl-BE"/>
        </w:rPr>
        <w:t>200</w:t>
      </w:r>
      <w:r w:rsidRPr="009F514C">
        <w:rPr>
          <w:rFonts w:cs="Arial"/>
          <w:sz w:val="20"/>
          <w:u w:val="single"/>
          <w:lang w:val="nl-BE"/>
        </w:rPr>
        <w:t xml:space="preserve"> schadeberekeningen</w:t>
      </w:r>
      <w:r>
        <w:rPr>
          <w:rStyle w:val="FootnoteReference"/>
          <w:rFonts w:cs="Arial"/>
          <w:sz w:val="20"/>
          <w:lang w:val="nl-BE"/>
        </w:rPr>
        <w:footnoteReference w:id="27"/>
      </w:r>
      <w:r>
        <w:rPr>
          <w:rFonts w:cs="Arial"/>
          <w:sz w:val="20"/>
          <w:lang w:val="nl-BE"/>
        </w:rPr>
        <w:t xml:space="preserve"> zullen moeten gebeuren voor de nog uitstaande dossiers (</w:t>
      </w:r>
      <w:r w:rsidRPr="009F514C">
        <w:rPr>
          <w:rFonts w:cs="Arial"/>
          <w:sz w:val="20"/>
          <w:u w:val="single"/>
          <w:lang w:val="nl-BE"/>
        </w:rPr>
        <w:t xml:space="preserve">bovenop de </w:t>
      </w:r>
      <w:r>
        <w:rPr>
          <w:rFonts w:cs="Arial"/>
          <w:sz w:val="20"/>
          <w:u w:val="single"/>
          <w:lang w:val="nl-BE"/>
        </w:rPr>
        <w:t>normale</w:t>
      </w:r>
      <w:r w:rsidRPr="009F514C">
        <w:rPr>
          <w:rFonts w:cs="Arial"/>
          <w:sz w:val="20"/>
          <w:u w:val="single"/>
          <w:lang w:val="nl-BE"/>
        </w:rPr>
        <w:t xml:space="preserve"> productie</w:t>
      </w:r>
      <w:r>
        <w:rPr>
          <w:rFonts w:cs="Arial"/>
          <w:sz w:val="20"/>
          <w:lang w:val="nl-BE"/>
        </w:rPr>
        <w:t>). D</w:t>
      </w:r>
      <w:r w:rsidR="00EB265D">
        <w:rPr>
          <w:rFonts w:cs="Arial"/>
          <w:sz w:val="20"/>
          <w:lang w:val="nl-BE"/>
        </w:rPr>
        <w:t xml:space="preserve">it kan </w:t>
      </w:r>
      <w:r>
        <w:rPr>
          <w:rFonts w:cs="Arial"/>
          <w:sz w:val="20"/>
          <w:lang w:val="nl-BE"/>
        </w:rPr>
        <w:t xml:space="preserve">opgenomen worden in het takenpakket van de huidige FMO-juristen. Indien nodig kan het FMO beroep doen op de externe advocaten waarmee het samenwerkt. (Voorkeur blijft wel gaan naar eigen berekening, in functie van behoud interne kennis en waken over de uniformiteit.) </w:t>
      </w:r>
    </w:p>
    <w:p w:rsidR="006E652F" w:rsidRDefault="006E652F" w:rsidP="006E652F">
      <w:pPr>
        <w:spacing w:after="0"/>
        <w:jc w:val="left"/>
        <w:rPr>
          <w:rFonts w:cs="Arial"/>
          <w:sz w:val="20"/>
          <w:lang w:val="nl-BE"/>
        </w:rPr>
      </w:pPr>
    </w:p>
    <w:p w:rsidR="006E652F" w:rsidRDefault="006E652F" w:rsidP="006E652F">
      <w:pPr>
        <w:spacing w:after="0"/>
        <w:jc w:val="left"/>
        <w:rPr>
          <w:rFonts w:cs="Arial"/>
          <w:sz w:val="20"/>
          <w:lang w:val="nl-BE"/>
        </w:rPr>
      </w:pPr>
      <w:r w:rsidRPr="009F514C">
        <w:rPr>
          <w:rFonts w:cs="Arial"/>
          <w:sz w:val="20"/>
          <w:lang w:val="nl-BE"/>
        </w:rPr>
        <w:t xml:space="preserve">De totale schadevergoeding van deze </w:t>
      </w:r>
      <w:r>
        <w:rPr>
          <w:rFonts w:cs="Arial"/>
          <w:sz w:val="20"/>
          <w:lang w:val="nl-BE"/>
        </w:rPr>
        <w:t>180</w:t>
      </w:r>
      <w:r w:rsidRPr="009F514C">
        <w:rPr>
          <w:rFonts w:cs="Arial"/>
          <w:sz w:val="20"/>
          <w:lang w:val="nl-BE"/>
        </w:rPr>
        <w:t xml:space="preserve"> dossiers, berekend aan een gemiddelde schadevergoeding van 150.000 euro komt neer op </w:t>
      </w:r>
      <w:r w:rsidRPr="0004092D">
        <w:rPr>
          <w:rFonts w:cs="Arial"/>
          <w:sz w:val="20"/>
          <w:u w:val="single"/>
          <w:lang w:val="nl-BE"/>
        </w:rPr>
        <w:t xml:space="preserve">bedrag aan schadevergoedingen van </w:t>
      </w:r>
      <w:r w:rsidR="006F1032">
        <w:rPr>
          <w:rFonts w:cs="Arial"/>
          <w:sz w:val="20"/>
          <w:u w:val="single"/>
          <w:lang w:val="nl-BE"/>
        </w:rPr>
        <w:t>ca 30</w:t>
      </w:r>
      <w:r w:rsidRPr="0004092D">
        <w:rPr>
          <w:rFonts w:cs="Arial"/>
          <w:sz w:val="20"/>
          <w:u w:val="single"/>
          <w:lang w:val="nl-BE"/>
        </w:rPr>
        <w:t xml:space="preserve">,3 </w:t>
      </w:r>
      <w:proofErr w:type="spellStart"/>
      <w:r w:rsidRPr="0004092D">
        <w:rPr>
          <w:rFonts w:cs="Arial"/>
          <w:sz w:val="20"/>
          <w:u w:val="single"/>
          <w:lang w:val="nl-BE"/>
        </w:rPr>
        <w:t>mln</w:t>
      </w:r>
      <w:proofErr w:type="spellEnd"/>
      <w:r w:rsidRPr="0004092D">
        <w:rPr>
          <w:rFonts w:cs="Arial"/>
          <w:sz w:val="20"/>
          <w:u w:val="single"/>
          <w:lang w:val="nl-BE"/>
        </w:rPr>
        <w:t xml:space="preserve"> euro bovenop het normale bedrag</w:t>
      </w:r>
      <w:r w:rsidRPr="009F514C">
        <w:rPr>
          <w:rFonts w:cs="Arial"/>
          <w:sz w:val="20"/>
          <w:lang w:val="nl-BE"/>
        </w:rPr>
        <w:t>.</w:t>
      </w:r>
      <w:r>
        <w:rPr>
          <w:rFonts w:cs="Arial"/>
          <w:sz w:val="20"/>
          <w:lang w:val="nl-BE"/>
        </w:rPr>
        <w:t xml:space="preserve"> </w:t>
      </w:r>
      <w:r w:rsidRPr="009F514C">
        <w:rPr>
          <w:rFonts w:cs="Arial"/>
          <w:sz w:val="20"/>
          <w:lang w:val="nl-BE"/>
        </w:rPr>
        <w:t xml:space="preserve">De schadevergoedingen worden uiteraard slechts gerealiseerd na de adviezen. </w:t>
      </w:r>
      <w:r>
        <w:rPr>
          <w:rFonts w:cs="Arial"/>
          <w:sz w:val="20"/>
          <w:lang w:val="nl-BE"/>
        </w:rPr>
        <w:t xml:space="preserve">De doorlooptijd hiervan is voor </w:t>
      </w:r>
      <w:r w:rsidRPr="009F514C">
        <w:rPr>
          <w:rFonts w:cs="Arial"/>
          <w:sz w:val="20"/>
          <w:lang w:val="nl-BE"/>
        </w:rPr>
        <w:t xml:space="preserve">een </w:t>
      </w:r>
      <w:proofErr w:type="spellStart"/>
      <w:r w:rsidRPr="009F514C">
        <w:rPr>
          <w:rFonts w:cs="Arial"/>
          <w:sz w:val="20"/>
          <w:lang w:val="nl-BE"/>
        </w:rPr>
        <w:t>Moza</w:t>
      </w:r>
      <w:proofErr w:type="spellEnd"/>
      <w:r w:rsidRPr="009F514C">
        <w:rPr>
          <w:rFonts w:cs="Arial"/>
          <w:sz w:val="20"/>
          <w:lang w:val="nl-BE"/>
        </w:rPr>
        <w:t xml:space="preserve"> 6</w:t>
      </w:r>
      <w:r>
        <w:rPr>
          <w:rFonts w:cs="Arial"/>
          <w:sz w:val="20"/>
          <w:lang w:val="nl-BE"/>
        </w:rPr>
        <w:t>,</w:t>
      </w:r>
      <w:r w:rsidRPr="009F514C">
        <w:rPr>
          <w:rFonts w:cs="Arial"/>
          <w:sz w:val="20"/>
          <w:lang w:val="nl-BE"/>
        </w:rPr>
        <w:t>5 maanden en voor een dossier aansprakelijkheid 11 maanden</w:t>
      </w:r>
      <w:r>
        <w:rPr>
          <w:rFonts w:cs="Arial"/>
          <w:sz w:val="20"/>
          <w:lang w:val="nl-BE"/>
        </w:rPr>
        <w:t xml:space="preserve">. Daardoor zal de eerste impact </w:t>
      </w:r>
      <w:r w:rsidRPr="009F514C">
        <w:rPr>
          <w:rFonts w:cs="Arial"/>
          <w:sz w:val="20"/>
          <w:lang w:val="nl-BE"/>
        </w:rPr>
        <w:t xml:space="preserve">pas zichtbaar zijn eind 2021. </w:t>
      </w:r>
      <w:r w:rsidR="000B1152">
        <w:rPr>
          <w:rFonts w:cs="Arial"/>
          <w:sz w:val="20"/>
          <w:lang w:val="nl-BE"/>
        </w:rPr>
        <w:t xml:space="preserve">Voor </w:t>
      </w:r>
      <w:r w:rsidRPr="009F514C">
        <w:rPr>
          <w:rFonts w:cs="Arial"/>
          <w:sz w:val="20"/>
          <w:lang w:val="nl-BE"/>
        </w:rPr>
        <w:t>2021 voorziet de opdrachtenbegroting 12</w:t>
      </w:r>
      <w:r>
        <w:rPr>
          <w:rFonts w:cs="Arial"/>
          <w:sz w:val="20"/>
          <w:lang w:val="nl-BE"/>
        </w:rPr>
        <w:t xml:space="preserve">,8 </w:t>
      </w:r>
      <w:proofErr w:type="spellStart"/>
      <w:r>
        <w:rPr>
          <w:rFonts w:cs="Arial"/>
          <w:sz w:val="20"/>
          <w:lang w:val="nl-BE"/>
        </w:rPr>
        <w:t>mln</w:t>
      </w:r>
      <w:proofErr w:type="spellEnd"/>
      <w:r w:rsidRPr="009F514C">
        <w:rPr>
          <w:rFonts w:cs="Arial"/>
          <w:sz w:val="20"/>
          <w:lang w:val="nl-BE"/>
        </w:rPr>
        <w:t xml:space="preserve"> euro. Ter info</w:t>
      </w:r>
      <w:r>
        <w:rPr>
          <w:rFonts w:cs="Arial"/>
          <w:sz w:val="20"/>
          <w:lang w:val="nl-BE"/>
        </w:rPr>
        <w:t>:</w:t>
      </w:r>
      <w:r w:rsidRPr="009F514C">
        <w:rPr>
          <w:rFonts w:cs="Arial"/>
          <w:sz w:val="20"/>
          <w:lang w:val="nl-BE"/>
        </w:rPr>
        <w:t xml:space="preserve"> in 2020 werd bijna 9.000.000 euro uitbetaald aan schadevergoedingen.  </w:t>
      </w:r>
    </w:p>
    <w:p w:rsidR="006E652F" w:rsidRPr="009F514C" w:rsidRDefault="006E652F" w:rsidP="006E652F">
      <w:pPr>
        <w:spacing w:after="0"/>
        <w:jc w:val="left"/>
        <w:rPr>
          <w:rFonts w:cs="Arial"/>
          <w:sz w:val="20"/>
          <w:lang w:val="nl-BE"/>
        </w:rPr>
      </w:pPr>
    </w:p>
    <w:p w:rsidR="00306784" w:rsidRDefault="00306784" w:rsidP="009C5A41">
      <w:pPr>
        <w:spacing w:after="0"/>
        <w:jc w:val="left"/>
        <w:rPr>
          <w:rFonts w:cs="Arial"/>
          <w:sz w:val="20"/>
        </w:rPr>
      </w:pPr>
    </w:p>
    <w:p w:rsidR="00306784" w:rsidRDefault="00306784" w:rsidP="009C5A41">
      <w:pPr>
        <w:spacing w:after="0"/>
        <w:jc w:val="left"/>
        <w:rPr>
          <w:rFonts w:cs="Arial"/>
          <w:sz w:val="20"/>
        </w:rPr>
      </w:pPr>
    </w:p>
    <w:p w:rsidR="00306784" w:rsidRDefault="00306784">
      <w:pPr>
        <w:spacing w:after="0"/>
        <w:jc w:val="left"/>
        <w:rPr>
          <w:rFonts w:cs="Arial"/>
          <w:b/>
          <w:spacing w:val="-4"/>
          <w:kern w:val="28"/>
          <w:sz w:val="20"/>
        </w:rPr>
      </w:pPr>
      <w:r>
        <w:rPr>
          <w:rFonts w:cs="Arial"/>
          <w:sz w:val="20"/>
        </w:rPr>
        <w:br w:type="page"/>
      </w:r>
    </w:p>
    <w:p w:rsidR="00306784" w:rsidRPr="006518FD" w:rsidRDefault="00306784" w:rsidP="00306784">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45" w:name="_Toc68955702"/>
      <w:proofErr w:type="spellStart"/>
      <w:r w:rsidRPr="006518FD">
        <w:rPr>
          <w:rFonts w:cs="Arial"/>
          <w:sz w:val="20"/>
        </w:rPr>
        <w:lastRenderedPageBreak/>
        <w:t>Task</w:t>
      </w:r>
      <w:proofErr w:type="spellEnd"/>
      <w:r w:rsidRPr="006518FD">
        <w:rPr>
          <w:rFonts w:cs="Arial"/>
          <w:sz w:val="20"/>
        </w:rPr>
        <w:t xml:space="preserve"> Force – </w:t>
      </w:r>
      <w:r>
        <w:rPr>
          <w:rFonts w:cs="Arial"/>
          <w:sz w:val="20"/>
        </w:rPr>
        <w:t>berekening vereiste resources</w:t>
      </w:r>
      <w:bookmarkEnd w:id="45"/>
    </w:p>
    <w:p w:rsidR="00306784" w:rsidRPr="00A34A91" w:rsidRDefault="00306784" w:rsidP="009C5A41">
      <w:pPr>
        <w:spacing w:after="0"/>
        <w:jc w:val="left"/>
        <w:rPr>
          <w:rFonts w:cs="Arial"/>
          <w:sz w:val="20"/>
        </w:rPr>
      </w:pPr>
    </w:p>
    <w:p w:rsidR="009C5A41" w:rsidRPr="00A34A91" w:rsidRDefault="009C5A41" w:rsidP="009C5A41">
      <w:pPr>
        <w:spacing w:after="0"/>
        <w:jc w:val="left"/>
        <w:rPr>
          <w:rFonts w:cs="Arial"/>
          <w:sz w:val="20"/>
        </w:rPr>
      </w:pPr>
      <w:r>
        <w:rPr>
          <w:rFonts w:cs="Arial"/>
          <w:sz w:val="20"/>
        </w:rPr>
        <w:t xml:space="preserve">Voor het bepalen van de nodige mankracht moeten we differentiëren volgens de processtap waarin de dossiers zich bevinden. Voor </w:t>
      </w:r>
      <w:r w:rsidRPr="00E92DCF">
        <w:rPr>
          <w:rFonts w:cs="Arial"/>
          <w:sz w:val="20"/>
          <w:u w:val="single"/>
        </w:rPr>
        <w:t xml:space="preserve">ieder van die </w:t>
      </w:r>
      <w:r>
        <w:rPr>
          <w:rFonts w:cs="Arial"/>
          <w:sz w:val="20"/>
          <w:u w:val="single"/>
        </w:rPr>
        <w:t>stappen</w:t>
      </w:r>
      <w:r w:rsidRPr="00E92DCF">
        <w:rPr>
          <w:rFonts w:cs="Arial"/>
          <w:sz w:val="20"/>
          <w:u w:val="single"/>
        </w:rPr>
        <w:t xml:space="preserve"> bekijken we de behoeften aan </w:t>
      </w:r>
      <w:r>
        <w:rPr>
          <w:rFonts w:cs="Arial"/>
          <w:sz w:val="20"/>
          <w:u w:val="single"/>
        </w:rPr>
        <w:t>interne FMO-</w:t>
      </w:r>
      <w:r w:rsidRPr="00E92DCF">
        <w:rPr>
          <w:rFonts w:cs="Arial"/>
          <w:sz w:val="20"/>
          <w:u w:val="single"/>
        </w:rPr>
        <w:t>behandelingstijd</w:t>
      </w:r>
      <w:r>
        <w:rPr>
          <w:rFonts w:cs="Arial"/>
          <w:sz w:val="20"/>
        </w:rPr>
        <w:t xml:space="preserve"> per functie. We volgen daarbij de kolomindeling van de tabel in punt </w:t>
      </w:r>
      <w:r w:rsidR="00C70B5D">
        <w:rPr>
          <w:rFonts w:cs="Arial"/>
          <w:sz w:val="20"/>
        </w:rPr>
        <w:t>5</w:t>
      </w:r>
      <w:r>
        <w:rPr>
          <w:rFonts w:cs="Arial"/>
          <w:sz w:val="20"/>
        </w:rPr>
        <w:t>.1.</w:t>
      </w:r>
    </w:p>
    <w:p w:rsidR="009C5A41" w:rsidRPr="00A34A91" w:rsidRDefault="009C5A41" w:rsidP="009C5A41">
      <w:pPr>
        <w:spacing w:after="0"/>
        <w:jc w:val="left"/>
        <w:rPr>
          <w:rFonts w:cs="Arial"/>
          <w:sz w:val="20"/>
        </w:rPr>
      </w:pPr>
    </w:p>
    <w:tbl>
      <w:tblPr>
        <w:tblStyle w:val="TableGrid"/>
        <w:tblW w:w="14454" w:type="dxa"/>
        <w:tblLook w:val="04A0" w:firstRow="1" w:lastRow="0" w:firstColumn="1" w:lastColumn="0" w:noHBand="0" w:noVBand="1"/>
      </w:tblPr>
      <w:tblGrid>
        <w:gridCol w:w="3114"/>
        <w:gridCol w:w="5103"/>
        <w:gridCol w:w="6237"/>
      </w:tblGrid>
      <w:tr w:rsidR="009C5A41" w:rsidRPr="003D6121" w:rsidTr="00E43D2D">
        <w:tc>
          <w:tcPr>
            <w:tcW w:w="3114" w:type="dxa"/>
          </w:tcPr>
          <w:p w:rsidR="009C5A41" w:rsidRPr="003D6121" w:rsidRDefault="009C5A41" w:rsidP="00E43D2D">
            <w:pPr>
              <w:spacing w:after="0"/>
              <w:jc w:val="left"/>
              <w:rPr>
                <w:rFonts w:cs="Arial"/>
                <w:b/>
                <w:bCs/>
                <w:i/>
                <w:iCs/>
                <w:szCs w:val="18"/>
              </w:rPr>
            </w:pPr>
            <w:r w:rsidRPr="003D6121">
              <w:rPr>
                <w:rFonts w:cs="Arial"/>
                <w:b/>
                <w:bCs/>
                <w:i/>
                <w:iCs/>
                <w:szCs w:val="18"/>
              </w:rPr>
              <w:t>Beschrijving</w:t>
            </w:r>
          </w:p>
        </w:tc>
        <w:tc>
          <w:tcPr>
            <w:tcW w:w="5103" w:type="dxa"/>
          </w:tcPr>
          <w:p w:rsidR="009C5A41" w:rsidRPr="003D6121" w:rsidRDefault="009C5A41" w:rsidP="00E43D2D">
            <w:pPr>
              <w:spacing w:after="0"/>
              <w:jc w:val="center"/>
              <w:rPr>
                <w:rFonts w:cs="Arial"/>
                <w:b/>
                <w:bCs/>
                <w:i/>
                <w:iCs/>
                <w:szCs w:val="18"/>
              </w:rPr>
            </w:pPr>
            <w:r w:rsidRPr="003D6121">
              <w:rPr>
                <w:rFonts w:cs="Arial"/>
                <w:b/>
                <w:bCs/>
                <w:i/>
                <w:iCs/>
                <w:szCs w:val="18"/>
              </w:rPr>
              <w:t>Te nemen actie</w:t>
            </w:r>
          </w:p>
        </w:tc>
        <w:tc>
          <w:tcPr>
            <w:tcW w:w="6237" w:type="dxa"/>
          </w:tcPr>
          <w:p w:rsidR="009C5A41" w:rsidRPr="003D6121" w:rsidRDefault="009C5A41" w:rsidP="00E43D2D">
            <w:pPr>
              <w:spacing w:after="0"/>
              <w:jc w:val="center"/>
              <w:rPr>
                <w:rFonts w:cs="Arial"/>
                <w:b/>
                <w:bCs/>
                <w:i/>
                <w:iCs/>
                <w:szCs w:val="18"/>
              </w:rPr>
            </w:pPr>
            <w:r w:rsidRPr="003D6121">
              <w:rPr>
                <w:rFonts w:cs="Arial"/>
                <w:b/>
                <w:bCs/>
                <w:i/>
                <w:iCs/>
                <w:szCs w:val="18"/>
              </w:rPr>
              <w:t>Behandelingstijd door FMO-mensen</w:t>
            </w:r>
          </w:p>
        </w:tc>
      </w:tr>
      <w:tr w:rsidR="009C5A41" w:rsidRPr="003D6121" w:rsidTr="00E43D2D">
        <w:tc>
          <w:tcPr>
            <w:tcW w:w="3114" w:type="dxa"/>
          </w:tcPr>
          <w:p w:rsidR="009C5A41" w:rsidRPr="003D6121" w:rsidRDefault="009C5A41" w:rsidP="00E43D2D">
            <w:pPr>
              <w:spacing w:after="0"/>
              <w:jc w:val="left"/>
              <w:rPr>
                <w:rFonts w:cs="Arial"/>
                <w:i/>
                <w:iCs/>
                <w:szCs w:val="18"/>
              </w:rPr>
            </w:pPr>
            <w:r w:rsidRPr="003D6121">
              <w:rPr>
                <w:rFonts w:cs="Arial"/>
                <w:i/>
                <w:iCs/>
                <w:szCs w:val="18"/>
              </w:rPr>
              <w:t>Stap 1</w:t>
            </w:r>
          </w:p>
          <w:p w:rsidR="009C5A41" w:rsidRPr="003D6121" w:rsidRDefault="009C5A41" w:rsidP="00E43D2D">
            <w:pPr>
              <w:spacing w:after="0"/>
              <w:jc w:val="left"/>
              <w:rPr>
                <w:rFonts w:cs="Arial"/>
                <w:i/>
                <w:iCs/>
                <w:sz w:val="16"/>
                <w:szCs w:val="16"/>
              </w:rPr>
            </w:pPr>
            <w:r w:rsidRPr="003D6121">
              <w:rPr>
                <w:rFonts w:cs="Arial"/>
                <w:i/>
                <w:iCs/>
                <w:sz w:val="16"/>
                <w:szCs w:val="16"/>
              </w:rPr>
              <w:t>(= klaarmaken overgang naar kolom C)</w:t>
            </w:r>
          </w:p>
        </w:tc>
        <w:tc>
          <w:tcPr>
            <w:tcW w:w="5103" w:type="dxa"/>
          </w:tcPr>
          <w:p w:rsidR="009C5A41" w:rsidRPr="003D6121" w:rsidRDefault="009C5A41" w:rsidP="00E43D2D">
            <w:pPr>
              <w:pStyle w:val="ListParagraph"/>
              <w:numPr>
                <w:ilvl w:val="0"/>
                <w:numId w:val="4"/>
              </w:numPr>
              <w:spacing w:after="0" w:line="240" w:lineRule="auto"/>
              <w:rPr>
                <w:rFonts w:ascii="Arial" w:hAnsi="Arial" w:cs="Arial"/>
                <w:sz w:val="18"/>
                <w:szCs w:val="18"/>
              </w:rPr>
            </w:pPr>
            <w:r w:rsidRPr="003D6121">
              <w:rPr>
                <w:rFonts w:ascii="Arial" w:hAnsi="Arial" w:cs="Arial"/>
                <w:sz w:val="18"/>
                <w:szCs w:val="18"/>
              </w:rPr>
              <w:t xml:space="preserve">Controleren en aanvullen stukken, vragenlijst opsturen, </w:t>
            </w:r>
          </w:p>
          <w:p w:rsidR="009C5A41" w:rsidRPr="003D6121" w:rsidRDefault="009C5A41" w:rsidP="00E43D2D">
            <w:pPr>
              <w:pStyle w:val="ListParagraph"/>
              <w:numPr>
                <w:ilvl w:val="0"/>
                <w:numId w:val="4"/>
              </w:numPr>
              <w:spacing w:after="0" w:line="240" w:lineRule="auto"/>
              <w:rPr>
                <w:rFonts w:ascii="Arial" w:hAnsi="Arial" w:cs="Arial"/>
                <w:sz w:val="18"/>
                <w:szCs w:val="18"/>
              </w:rPr>
            </w:pPr>
            <w:r w:rsidRPr="003D6121">
              <w:rPr>
                <w:rFonts w:ascii="Arial" w:hAnsi="Arial" w:cs="Arial"/>
                <w:sz w:val="18"/>
                <w:szCs w:val="18"/>
              </w:rPr>
              <w:t>Uitvoeren eerste en eventueel tweede Interne Analyse</w:t>
            </w:r>
          </w:p>
        </w:tc>
        <w:tc>
          <w:tcPr>
            <w:tcW w:w="6237" w:type="dxa"/>
          </w:tcPr>
          <w:p w:rsidR="009C5A41" w:rsidRPr="003D6121" w:rsidRDefault="009C5A41" w:rsidP="00E43D2D">
            <w:pPr>
              <w:pStyle w:val="ListParagraph"/>
              <w:numPr>
                <w:ilvl w:val="0"/>
                <w:numId w:val="4"/>
              </w:numPr>
              <w:spacing w:after="0" w:line="240" w:lineRule="auto"/>
              <w:rPr>
                <w:rFonts w:ascii="Arial" w:hAnsi="Arial" w:cs="Arial"/>
                <w:sz w:val="18"/>
                <w:szCs w:val="18"/>
              </w:rPr>
            </w:pPr>
            <w:r w:rsidRPr="00434FD3">
              <w:rPr>
                <w:rFonts w:ascii="Arial" w:hAnsi="Arial" w:cs="Arial"/>
                <w:i/>
                <w:iCs/>
                <w:sz w:val="18"/>
                <w:szCs w:val="18"/>
              </w:rPr>
              <w:t>Administratie</w:t>
            </w:r>
            <w:r w:rsidRPr="003D6121">
              <w:rPr>
                <w:rFonts w:ascii="Arial" w:hAnsi="Arial" w:cs="Arial"/>
                <w:sz w:val="18"/>
                <w:szCs w:val="18"/>
              </w:rPr>
              <w:t xml:space="preserve">: per dossier </w:t>
            </w:r>
            <w:r w:rsidR="00504749">
              <w:rPr>
                <w:rFonts w:ascii="Arial" w:hAnsi="Arial" w:cs="Arial"/>
                <w:sz w:val="18"/>
                <w:szCs w:val="18"/>
              </w:rPr>
              <w:t>4</w:t>
            </w:r>
            <w:r w:rsidRPr="003D6121">
              <w:rPr>
                <w:rFonts w:ascii="Arial" w:hAnsi="Arial" w:cs="Arial"/>
                <w:sz w:val="18"/>
                <w:szCs w:val="18"/>
              </w:rPr>
              <w:t xml:space="preserve"> uur </w:t>
            </w:r>
          </w:p>
          <w:p w:rsidR="009C5A41" w:rsidRPr="003D6121" w:rsidRDefault="009C5A41" w:rsidP="00E43D2D">
            <w:pPr>
              <w:pStyle w:val="ListParagraph"/>
              <w:numPr>
                <w:ilvl w:val="0"/>
                <w:numId w:val="4"/>
              </w:numPr>
              <w:spacing w:after="0" w:line="240" w:lineRule="auto"/>
              <w:rPr>
                <w:rFonts w:ascii="Arial" w:hAnsi="Arial" w:cs="Arial"/>
                <w:sz w:val="18"/>
                <w:szCs w:val="18"/>
              </w:rPr>
            </w:pPr>
            <w:r w:rsidRPr="00434FD3">
              <w:rPr>
                <w:rFonts w:ascii="Arial" w:hAnsi="Arial" w:cs="Arial"/>
                <w:i/>
                <w:iCs/>
                <w:sz w:val="18"/>
                <w:szCs w:val="18"/>
              </w:rPr>
              <w:t>Arts</w:t>
            </w:r>
            <w:r w:rsidRPr="003D6121">
              <w:rPr>
                <w:rFonts w:ascii="Arial" w:hAnsi="Arial" w:cs="Arial"/>
                <w:sz w:val="18"/>
                <w:szCs w:val="18"/>
              </w:rPr>
              <w:t>: per dossier 6 uur</w:t>
            </w:r>
            <w:r w:rsidRPr="003D6121">
              <w:rPr>
                <w:rStyle w:val="FootnoteReference"/>
                <w:rFonts w:ascii="Arial" w:hAnsi="Arial" w:cs="Arial"/>
                <w:sz w:val="18"/>
                <w:szCs w:val="18"/>
              </w:rPr>
              <w:footnoteReference w:id="28"/>
            </w:r>
          </w:p>
        </w:tc>
      </w:tr>
      <w:tr w:rsidR="009C5A41" w:rsidRPr="003D6121" w:rsidTr="00E43D2D">
        <w:tc>
          <w:tcPr>
            <w:tcW w:w="3114" w:type="dxa"/>
          </w:tcPr>
          <w:p w:rsidR="009C5A41" w:rsidRPr="003D6121" w:rsidRDefault="009C5A41" w:rsidP="00E43D2D">
            <w:pPr>
              <w:spacing w:after="0"/>
              <w:jc w:val="left"/>
              <w:rPr>
                <w:rFonts w:cs="Arial"/>
                <w:i/>
                <w:iCs/>
                <w:szCs w:val="18"/>
              </w:rPr>
            </w:pPr>
            <w:r w:rsidRPr="003D6121">
              <w:rPr>
                <w:rFonts w:cs="Arial"/>
                <w:i/>
                <w:iCs/>
                <w:szCs w:val="18"/>
              </w:rPr>
              <w:t>Stap 2</w:t>
            </w:r>
          </w:p>
          <w:p w:rsidR="009C5A41" w:rsidRPr="003D6121" w:rsidRDefault="009C5A41" w:rsidP="00E43D2D">
            <w:pPr>
              <w:spacing w:after="0"/>
              <w:jc w:val="left"/>
              <w:rPr>
                <w:rFonts w:cs="Arial"/>
                <w:i/>
                <w:iCs/>
                <w:sz w:val="16"/>
                <w:szCs w:val="16"/>
              </w:rPr>
            </w:pPr>
            <w:r w:rsidRPr="003D6121">
              <w:rPr>
                <w:rFonts w:cs="Arial"/>
                <w:i/>
                <w:iCs/>
                <w:sz w:val="16"/>
                <w:szCs w:val="16"/>
              </w:rPr>
              <w:t>(= klaarmaken overgang naar kolom E)</w:t>
            </w:r>
          </w:p>
        </w:tc>
        <w:tc>
          <w:tcPr>
            <w:tcW w:w="5103" w:type="dxa"/>
          </w:tcPr>
          <w:p w:rsidR="009C5A41" w:rsidRPr="003D6121" w:rsidRDefault="009C5A41" w:rsidP="00E43D2D">
            <w:pPr>
              <w:pStyle w:val="ListParagraph"/>
              <w:numPr>
                <w:ilvl w:val="0"/>
                <w:numId w:val="4"/>
              </w:numPr>
              <w:spacing w:after="0" w:line="240" w:lineRule="auto"/>
              <w:rPr>
                <w:rFonts w:ascii="Arial" w:hAnsi="Arial" w:cs="Arial"/>
                <w:sz w:val="18"/>
                <w:szCs w:val="18"/>
              </w:rPr>
            </w:pPr>
            <w:r w:rsidRPr="003D6121">
              <w:rPr>
                <w:rFonts w:ascii="Arial" w:hAnsi="Arial" w:cs="Arial"/>
                <w:sz w:val="18"/>
                <w:szCs w:val="18"/>
                <w:lang w:val="nl-NL"/>
              </w:rPr>
              <w:t xml:space="preserve">Strikte opvolging expertise, </w:t>
            </w:r>
            <w:r w:rsidRPr="003D6121">
              <w:rPr>
                <w:rFonts w:ascii="Arial" w:hAnsi="Arial" w:cs="Arial"/>
                <w:sz w:val="18"/>
                <w:szCs w:val="18"/>
              </w:rPr>
              <w:t>voltooid (gespreid in de tijd: opvolgen artsen, ingrijpen bij vertragingen)</w:t>
            </w:r>
          </w:p>
        </w:tc>
        <w:tc>
          <w:tcPr>
            <w:tcW w:w="6237" w:type="dxa"/>
          </w:tcPr>
          <w:p w:rsidR="009C5A41" w:rsidRPr="003D6121" w:rsidRDefault="009C5A41" w:rsidP="00504749">
            <w:pPr>
              <w:pStyle w:val="ListParagraph"/>
              <w:numPr>
                <w:ilvl w:val="0"/>
                <w:numId w:val="4"/>
              </w:numPr>
              <w:spacing w:after="0" w:line="240" w:lineRule="auto"/>
              <w:rPr>
                <w:rFonts w:ascii="Arial" w:hAnsi="Arial" w:cs="Arial"/>
                <w:sz w:val="18"/>
                <w:szCs w:val="18"/>
              </w:rPr>
            </w:pPr>
            <w:r w:rsidRPr="00434FD3">
              <w:rPr>
                <w:rFonts w:ascii="Arial" w:hAnsi="Arial" w:cs="Arial"/>
                <w:i/>
                <w:iCs/>
                <w:sz w:val="18"/>
                <w:szCs w:val="18"/>
              </w:rPr>
              <w:t>Administratie</w:t>
            </w:r>
            <w:r w:rsidRPr="00A93045">
              <w:rPr>
                <w:rFonts w:ascii="Arial" w:hAnsi="Arial" w:cs="Arial"/>
                <w:sz w:val="18"/>
                <w:szCs w:val="18"/>
              </w:rPr>
              <w:t xml:space="preserve">: </w:t>
            </w:r>
            <w:r w:rsidR="00504749">
              <w:rPr>
                <w:rFonts w:ascii="Arial" w:hAnsi="Arial" w:cs="Arial"/>
                <w:sz w:val="18"/>
                <w:szCs w:val="18"/>
              </w:rPr>
              <w:t>per dossier 1 dag</w:t>
            </w:r>
          </w:p>
        </w:tc>
      </w:tr>
      <w:tr w:rsidR="009C5A41" w:rsidRPr="003D6121" w:rsidTr="00E43D2D">
        <w:tc>
          <w:tcPr>
            <w:tcW w:w="3114" w:type="dxa"/>
          </w:tcPr>
          <w:p w:rsidR="009C5A41" w:rsidRPr="003D6121" w:rsidRDefault="009C5A41" w:rsidP="00E43D2D">
            <w:pPr>
              <w:spacing w:after="0"/>
              <w:jc w:val="left"/>
              <w:rPr>
                <w:rFonts w:cs="Arial"/>
                <w:i/>
                <w:iCs/>
                <w:szCs w:val="18"/>
              </w:rPr>
            </w:pPr>
            <w:r w:rsidRPr="003D6121">
              <w:rPr>
                <w:rFonts w:cs="Arial"/>
                <w:i/>
                <w:iCs/>
                <w:szCs w:val="18"/>
              </w:rPr>
              <w:t>Stap 3</w:t>
            </w:r>
          </w:p>
          <w:p w:rsidR="009C5A41" w:rsidRPr="003D6121" w:rsidRDefault="009C5A41" w:rsidP="00E43D2D">
            <w:pPr>
              <w:spacing w:after="0"/>
              <w:jc w:val="left"/>
              <w:rPr>
                <w:rFonts w:cs="Arial"/>
                <w:i/>
                <w:iCs/>
                <w:sz w:val="16"/>
                <w:szCs w:val="16"/>
              </w:rPr>
            </w:pPr>
            <w:r w:rsidRPr="003D6121">
              <w:rPr>
                <w:rFonts w:cs="Arial"/>
                <w:i/>
                <w:iCs/>
                <w:sz w:val="16"/>
                <w:szCs w:val="16"/>
              </w:rPr>
              <w:t>(= klaarmaken afronding)</w:t>
            </w:r>
          </w:p>
        </w:tc>
        <w:tc>
          <w:tcPr>
            <w:tcW w:w="5103" w:type="dxa"/>
          </w:tcPr>
          <w:p w:rsidR="009C5A41" w:rsidRPr="003D6121" w:rsidRDefault="009C5A41" w:rsidP="00E43D2D">
            <w:pPr>
              <w:pStyle w:val="ListParagraph"/>
              <w:numPr>
                <w:ilvl w:val="0"/>
                <w:numId w:val="4"/>
              </w:numPr>
              <w:spacing w:after="0" w:line="240" w:lineRule="auto"/>
              <w:rPr>
                <w:rFonts w:ascii="Arial" w:hAnsi="Arial" w:cs="Arial"/>
                <w:sz w:val="18"/>
                <w:szCs w:val="18"/>
              </w:rPr>
            </w:pPr>
            <w:r w:rsidRPr="003D6121">
              <w:rPr>
                <w:rFonts w:ascii="Arial" w:hAnsi="Arial" w:cs="Arial"/>
                <w:sz w:val="18"/>
                <w:szCs w:val="18"/>
              </w:rPr>
              <w:t xml:space="preserve">Jurist die voorrapport en expertiserapport analyseert, overleg </w:t>
            </w:r>
            <w:proofErr w:type="spellStart"/>
            <w:r w:rsidRPr="003D6121">
              <w:rPr>
                <w:rFonts w:ascii="Arial" w:hAnsi="Arial" w:cs="Arial"/>
                <w:sz w:val="18"/>
                <w:szCs w:val="18"/>
              </w:rPr>
              <w:t>oa</w:t>
            </w:r>
            <w:proofErr w:type="spellEnd"/>
            <w:r w:rsidRPr="003D6121">
              <w:rPr>
                <w:rFonts w:ascii="Arial" w:hAnsi="Arial" w:cs="Arial"/>
                <w:sz w:val="18"/>
                <w:szCs w:val="18"/>
              </w:rPr>
              <w:t xml:space="preserve"> met artsen</w:t>
            </w:r>
          </w:p>
        </w:tc>
        <w:tc>
          <w:tcPr>
            <w:tcW w:w="6237" w:type="dxa"/>
          </w:tcPr>
          <w:p w:rsidR="009C5A41" w:rsidRDefault="009C5A41" w:rsidP="00E43D2D">
            <w:pPr>
              <w:pStyle w:val="ListParagraph"/>
              <w:numPr>
                <w:ilvl w:val="0"/>
                <w:numId w:val="4"/>
              </w:numPr>
              <w:spacing w:after="0" w:line="240" w:lineRule="auto"/>
              <w:rPr>
                <w:rFonts w:ascii="Arial" w:hAnsi="Arial" w:cs="Arial"/>
                <w:sz w:val="18"/>
                <w:szCs w:val="18"/>
              </w:rPr>
            </w:pPr>
            <w:r w:rsidRPr="00434FD3">
              <w:rPr>
                <w:rFonts w:ascii="Arial" w:hAnsi="Arial" w:cs="Arial"/>
                <w:i/>
                <w:iCs/>
                <w:sz w:val="18"/>
                <w:szCs w:val="18"/>
              </w:rPr>
              <w:t>Jurist</w:t>
            </w:r>
            <w:r w:rsidRPr="003D6121">
              <w:rPr>
                <w:rFonts w:ascii="Arial" w:hAnsi="Arial" w:cs="Arial"/>
                <w:sz w:val="18"/>
                <w:szCs w:val="18"/>
              </w:rPr>
              <w:t xml:space="preserve">: per dossier </w:t>
            </w:r>
            <w:r w:rsidR="00456257" w:rsidRPr="00456257">
              <w:rPr>
                <w:rFonts w:ascii="Arial" w:hAnsi="Arial" w:cs="Arial"/>
                <w:i/>
                <w:iCs/>
                <w:sz w:val="18"/>
                <w:szCs w:val="18"/>
              </w:rPr>
              <w:t>1</w:t>
            </w:r>
            <w:r w:rsidRPr="00456257">
              <w:rPr>
                <w:rFonts w:ascii="Arial" w:hAnsi="Arial" w:cs="Arial"/>
                <w:i/>
                <w:iCs/>
                <w:sz w:val="18"/>
                <w:szCs w:val="18"/>
              </w:rPr>
              <w:t>,5 dagen</w:t>
            </w:r>
            <w:r w:rsidRPr="003D6121">
              <w:rPr>
                <w:rFonts w:ascii="Arial" w:hAnsi="Arial" w:cs="Arial"/>
                <w:sz w:val="18"/>
                <w:szCs w:val="18"/>
              </w:rPr>
              <w:t xml:space="preserve"> (gemiddeld</w:t>
            </w:r>
            <w:r w:rsidRPr="003D6121">
              <w:rPr>
                <w:rStyle w:val="FootnoteReference"/>
                <w:rFonts w:ascii="Arial" w:hAnsi="Arial" w:cs="Arial"/>
                <w:sz w:val="18"/>
                <w:szCs w:val="18"/>
              </w:rPr>
              <w:footnoteReference w:id="29"/>
            </w:r>
            <w:r w:rsidRPr="003D6121">
              <w:rPr>
                <w:rFonts w:ascii="Arial" w:hAnsi="Arial" w:cs="Arial"/>
                <w:sz w:val="18"/>
                <w:szCs w:val="18"/>
              </w:rPr>
              <w:t>)</w:t>
            </w:r>
          </w:p>
          <w:p w:rsidR="009C5A41" w:rsidRPr="003D6121" w:rsidRDefault="009C5A41" w:rsidP="00E43D2D">
            <w:pPr>
              <w:pStyle w:val="ListParagraph"/>
              <w:numPr>
                <w:ilvl w:val="0"/>
                <w:numId w:val="4"/>
              </w:numPr>
              <w:spacing w:after="0" w:line="240" w:lineRule="auto"/>
              <w:rPr>
                <w:rFonts w:ascii="Arial" w:hAnsi="Arial" w:cs="Arial"/>
                <w:sz w:val="18"/>
                <w:szCs w:val="18"/>
              </w:rPr>
            </w:pPr>
            <w:r w:rsidRPr="00434FD3">
              <w:rPr>
                <w:rFonts w:ascii="Arial" w:hAnsi="Arial" w:cs="Arial"/>
                <w:i/>
                <w:iCs/>
                <w:sz w:val="18"/>
                <w:szCs w:val="18"/>
              </w:rPr>
              <w:t>Administratie</w:t>
            </w:r>
            <w:r>
              <w:rPr>
                <w:rFonts w:ascii="Arial" w:hAnsi="Arial" w:cs="Arial"/>
                <w:sz w:val="18"/>
                <w:szCs w:val="18"/>
              </w:rPr>
              <w:t xml:space="preserve">: brief geen tussenkomst per dossier 0,50 dag (30% gevallen) geeft voor deze stap gemiddeld per dossier </w:t>
            </w:r>
            <w:r w:rsidRPr="000A44D9">
              <w:rPr>
                <w:rFonts w:ascii="Arial" w:hAnsi="Arial" w:cs="Arial"/>
                <w:i/>
                <w:iCs/>
                <w:sz w:val="18"/>
                <w:szCs w:val="18"/>
              </w:rPr>
              <w:t>0,15 dag</w:t>
            </w:r>
          </w:p>
        </w:tc>
      </w:tr>
    </w:tbl>
    <w:p w:rsidR="009C5A41" w:rsidRDefault="009C5A41" w:rsidP="009C5A41">
      <w:pPr>
        <w:spacing w:after="0"/>
        <w:jc w:val="left"/>
        <w:rPr>
          <w:rFonts w:cs="Arial"/>
          <w:bCs/>
          <w:spacing w:val="-10"/>
          <w:kern w:val="28"/>
          <w:position w:val="6"/>
          <w:sz w:val="20"/>
          <w:lang w:val="nl-BE"/>
        </w:rPr>
      </w:pPr>
    </w:p>
    <w:p w:rsidR="009C5A41" w:rsidRPr="00BE19D5" w:rsidRDefault="009C5A41" w:rsidP="009C5A41">
      <w:pPr>
        <w:spacing w:after="0"/>
        <w:jc w:val="left"/>
        <w:rPr>
          <w:rFonts w:cs="Arial"/>
          <w:bCs/>
          <w:spacing w:val="-10"/>
          <w:kern w:val="28"/>
          <w:position w:val="6"/>
          <w:sz w:val="20"/>
          <w:lang w:val="nl-BE"/>
        </w:rPr>
      </w:pPr>
      <w:r w:rsidRPr="00BE19D5">
        <w:rPr>
          <w:rFonts w:cs="Arial"/>
          <w:bCs/>
          <w:spacing w:val="-10"/>
          <w:kern w:val="28"/>
          <w:position w:val="6"/>
          <w:sz w:val="20"/>
          <w:lang w:val="nl-BE"/>
        </w:rPr>
        <w:t xml:space="preserve">De dossiers die nog geen tweede Interne Analyse hebben gehad, moeten alle stappen doorlopen, de andere twee telkens een stap minder. Zo bepalen we </w:t>
      </w:r>
      <w:r w:rsidRPr="00BE19D5">
        <w:rPr>
          <w:rFonts w:cs="Arial"/>
          <w:bCs/>
          <w:spacing w:val="-10"/>
          <w:kern w:val="28"/>
          <w:position w:val="6"/>
          <w:sz w:val="20"/>
          <w:u w:val="single"/>
          <w:lang w:val="nl-BE"/>
        </w:rPr>
        <w:t>op basis van de behandelingstijd de totale VTE-behoefte om de achterstand weg te werken</w:t>
      </w:r>
      <w:r w:rsidRPr="00BE19D5">
        <w:rPr>
          <w:rFonts w:cs="Arial"/>
          <w:bCs/>
          <w:spacing w:val="-10"/>
          <w:kern w:val="28"/>
          <w:position w:val="6"/>
          <w:sz w:val="20"/>
          <w:lang w:val="nl-BE"/>
        </w:rPr>
        <w:t>. Dit is uiteraard een</w:t>
      </w:r>
      <w:r>
        <w:rPr>
          <w:rFonts w:cs="Arial"/>
          <w:bCs/>
          <w:spacing w:val="-10"/>
          <w:kern w:val="28"/>
          <w:position w:val="6"/>
          <w:sz w:val="20"/>
          <w:lang w:val="nl-BE"/>
        </w:rPr>
        <w:t xml:space="preserve"> zeer</w:t>
      </w:r>
      <w:r w:rsidRPr="00BE19D5">
        <w:rPr>
          <w:rFonts w:cs="Arial"/>
          <w:bCs/>
          <w:spacing w:val="-10"/>
          <w:kern w:val="28"/>
          <w:position w:val="6"/>
          <w:sz w:val="20"/>
          <w:lang w:val="nl-BE"/>
        </w:rPr>
        <w:t xml:space="preserve"> </w:t>
      </w:r>
      <w:r w:rsidRPr="00BE19D5">
        <w:rPr>
          <w:rFonts w:cs="Arial"/>
          <w:bCs/>
          <w:spacing w:val="-10"/>
          <w:kern w:val="28"/>
          <w:position w:val="6"/>
          <w:sz w:val="20"/>
          <w:u w:val="single"/>
          <w:lang w:val="nl-BE"/>
        </w:rPr>
        <w:t>ruwe benadering</w:t>
      </w:r>
      <w:r w:rsidRPr="00BE19D5">
        <w:rPr>
          <w:rFonts w:cs="Arial"/>
          <w:bCs/>
          <w:spacing w:val="-10"/>
          <w:kern w:val="28"/>
          <w:position w:val="6"/>
          <w:sz w:val="20"/>
          <w:lang w:val="nl-BE"/>
        </w:rPr>
        <w:t>, maar geeft hoe dan ook enig houvast.</w:t>
      </w:r>
      <w:r>
        <w:rPr>
          <w:rFonts w:cs="Arial"/>
          <w:bCs/>
          <w:spacing w:val="-10"/>
          <w:kern w:val="28"/>
          <w:position w:val="6"/>
          <w:sz w:val="20"/>
          <w:lang w:val="nl-BE"/>
        </w:rPr>
        <w:t xml:space="preserve"> arts</w:t>
      </w:r>
    </w:p>
    <w:p w:rsidR="009C5A41" w:rsidRPr="00A34A91" w:rsidRDefault="009C5A41" w:rsidP="009C5A41">
      <w:pPr>
        <w:spacing w:after="0"/>
        <w:jc w:val="left"/>
        <w:rPr>
          <w:rFonts w:cs="Arial"/>
          <w:bCs/>
          <w:spacing w:val="-10"/>
          <w:kern w:val="28"/>
          <w:position w:val="6"/>
          <w:sz w:val="20"/>
          <w:lang w:val="nl-BE"/>
        </w:rPr>
      </w:pPr>
    </w:p>
    <w:tbl>
      <w:tblPr>
        <w:tblStyle w:val="TableGrid"/>
        <w:tblW w:w="14454" w:type="dxa"/>
        <w:tblLayout w:type="fixed"/>
        <w:tblLook w:val="04A0" w:firstRow="1" w:lastRow="0" w:firstColumn="1" w:lastColumn="0" w:noHBand="0" w:noVBand="1"/>
      </w:tblPr>
      <w:tblGrid>
        <w:gridCol w:w="3114"/>
        <w:gridCol w:w="1559"/>
        <w:gridCol w:w="3260"/>
        <w:gridCol w:w="3260"/>
        <w:gridCol w:w="3261"/>
      </w:tblGrid>
      <w:tr w:rsidR="009C5A41" w:rsidRPr="00B92060" w:rsidTr="00E43D2D">
        <w:tc>
          <w:tcPr>
            <w:tcW w:w="3114" w:type="dxa"/>
          </w:tcPr>
          <w:p w:rsidR="009C5A41" w:rsidRPr="00B92060" w:rsidRDefault="009C5A41" w:rsidP="00E43D2D">
            <w:pPr>
              <w:spacing w:after="0"/>
              <w:jc w:val="left"/>
              <w:rPr>
                <w:rFonts w:cs="Arial"/>
                <w:b/>
                <w:bCs/>
                <w:i/>
                <w:iCs/>
                <w:szCs w:val="18"/>
              </w:rPr>
            </w:pPr>
            <w:r w:rsidRPr="00B92060">
              <w:rPr>
                <w:rFonts w:cs="Arial"/>
                <w:b/>
                <w:bCs/>
                <w:i/>
                <w:iCs/>
                <w:szCs w:val="18"/>
              </w:rPr>
              <w:t>Beschrijving</w:t>
            </w:r>
          </w:p>
        </w:tc>
        <w:tc>
          <w:tcPr>
            <w:tcW w:w="1559" w:type="dxa"/>
          </w:tcPr>
          <w:p w:rsidR="009C5A41" w:rsidRPr="00B92060" w:rsidRDefault="009C5A41" w:rsidP="00E43D2D">
            <w:pPr>
              <w:spacing w:after="0"/>
              <w:jc w:val="center"/>
              <w:rPr>
                <w:rFonts w:cs="Arial"/>
                <w:b/>
                <w:bCs/>
                <w:i/>
                <w:iCs/>
                <w:szCs w:val="18"/>
              </w:rPr>
            </w:pPr>
            <w:r w:rsidRPr="00B92060">
              <w:rPr>
                <w:rFonts w:cs="Arial"/>
                <w:b/>
                <w:bCs/>
                <w:i/>
                <w:iCs/>
                <w:szCs w:val="18"/>
              </w:rPr>
              <w:t>Startaantal</w:t>
            </w:r>
          </w:p>
        </w:tc>
        <w:tc>
          <w:tcPr>
            <w:tcW w:w="3260" w:type="dxa"/>
          </w:tcPr>
          <w:p w:rsidR="009C5A41" w:rsidRPr="00B92060" w:rsidRDefault="009C5A41" w:rsidP="00E43D2D">
            <w:pPr>
              <w:spacing w:after="0"/>
              <w:jc w:val="center"/>
              <w:rPr>
                <w:rFonts w:cs="Arial"/>
                <w:b/>
                <w:bCs/>
                <w:i/>
                <w:iCs/>
                <w:szCs w:val="18"/>
              </w:rPr>
            </w:pPr>
            <w:r w:rsidRPr="00B92060">
              <w:rPr>
                <w:rFonts w:cs="Arial"/>
                <w:b/>
                <w:bCs/>
                <w:i/>
                <w:iCs/>
                <w:szCs w:val="18"/>
              </w:rPr>
              <w:t>VTE-behoefte</w:t>
            </w:r>
          </w:p>
          <w:p w:rsidR="009C5A41" w:rsidRPr="00B92060" w:rsidRDefault="009C5A41" w:rsidP="00E43D2D">
            <w:pPr>
              <w:spacing w:after="0"/>
              <w:jc w:val="center"/>
              <w:rPr>
                <w:rFonts w:cs="Arial"/>
                <w:b/>
                <w:bCs/>
                <w:i/>
                <w:iCs/>
                <w:szCs w:val="18"/>
              </w:rPr>
            </w:pPr>
            <w:r w:rsidRPr="00B92060">
              <w:rPr>
                <w:rFonts w:cs="Arial"/>
                <w:b/>
                <w:bCs/>
                <w:i/>
                <w:iCs/>
                <w:szCs w:val="18"/>
              </w:rPr>
              <w:t>Stap 1</w:t>
            </w:r>
          </w:p>
        </w:tc>
        <w:tc>
          <w:tcPr>
            <w:tcW w:w="3260" w:type="dxa"/>
          </w:tcPr>
          <w:p w:rsidR="009C5A41" w:rsidRPr="00B92060" w:rsidRDefault="009C5A41" w:rsidP="00E43D2D">
            <w:pPr>
              <w:spacing w:after="0"/>
              <w:jc w:val="center"/>
              <w:rPr>
                <w:rFonts w:cs="Arial"/>
                <w:b/>
                <w:bCs/>
                <w:i/>
                <w:iCs/>
                <w:szCs w:val="18"/>
              </w:rPr>
            </w:pPr>
            <w:r w:rsidRPr="00B92060">
              <w:rPr>
                <w:rFonts w:cs="Arial"/>
                <w:b/>
                <w:bCs/>
                <w:i/>
                <w:iCs/>
                <w:szCs w:val="18"/>
              </w:rPr>
              <w:t>VTE-behoefte</w:t>
            </w:r>
          </w:p>
          <w:p w:rsidR="009C5A41" w:rsidRPr="00B92060" w:rsidRDefault="009C5A41" w:rsidP="00E43D2D">
            <w:pPr>
              <w:spacing w:after="0"/>
              <w:jc w:val="center"/>
              <w:rPr>
                <w:rFonts w:cs="Arial"/>
                <w:b/>
                <w:bCs/>
                <w:i/>
                <w:iCs/>
                <w:szCs w:val="18"/>
              </w:rPr>
            </w:pPr>
            <w:r w:rsidRPr="00B92060">
              <w:rPr>
                <w:rFonts w:cs="Arial"/>
                <w:b/>
                <w:bCs/>
                <w:i/>
                <w:iCs/>
                <w:szCs w:val="18"/>
              </w:rPr>
              <w:t>Stap 2</w:t>
            </w:r>
          </w:p>
        </w:tc>
        <w:tc>
          <w:tcPr>
            <w:tcW w:w="3261" w:type="dxa"/>
          </w:tcPr>
          <w:p w:rsidR="009C5A41" w:rsidRPr="00B92060" w:rsidRDefault="009C5A41" w:rsidP="00E43D2D">
            <w:pPr>
              <w:spacing w:after="0"/>
              <w:jc w:val="center"/>
              <w:rPr>
                <w:rFonts w:cs="Arial"/>
                <w:b/>
                <w:bCs/>
                <w:i/>
                <w:iCs/>
                <w:szCs w:val="18"/>
              </w:rPr>
            </w:pPr>
            <w:r w:rsidRPr="00B92060">
              <w:rPr>
                <w:rFonts w:cs="Arial"/>
                <w:b/>
                <w:bCs/>
                <w:i/>
                <w:iCs/>
                <w:szCs w:val="18"/>
              </w:rPr>
              <w:t>VTE-behoefte</w:t>
            </w:r>
          </w:p>
          <w:p w:rsidR="009C5A41" w:rsidRPr="00B92060" w:rsidRDefault="009C5A41" w:rsidP="00E43D2D">
            <w:pPr>
              <w:spacing w:after="0"/>
              <w:jc w:val="center"/>
              <w:rPr>
                <w:rFonts w:cs="Arial"/>
                <w:b/>
                <w:bCs/>
                <w:i/>
                <w:iCs/>
                <w:szCs w:val="18"/>
              </w:rPr>
            </w:pPr>
            <w:r w:rsidRPr="00B92060">
              <w:rPr>
                <w:rFonts w:cs="Arial"/>
                <w:b/>
                <w:bCs/>
                <w:i/>
                <w:iCs/>
                <w:szCs w:val="18"/>
              </w:rPr>
              <w:t>Stap 3</w:t>
            </w:r>
          </w:p>
        </w:tc>
      </w:tr>
      <w:tr w:rsidR="009C5A41" w:rsidRPr="00B92060" w:rsidTr="003E4E5C">
        <w:tc>
          <w:tcPr>
            <w:tcW w:w="3114" w:type="dxa"/>
          </w:tcPr>
          <w:p w:rsidR="009C5A41" w:rsidRPr="00B92060" w:rsidRDefault="009C5A41" w:rsidP="00E43D2D">
            <w:pPr>
              <w:spacing w:after="0"/>
              <w:jc w:val="left"/>
              <w:rPr>
                <w:rFonts w:cs="Arial"/>
                <w:szCs w:val="18"/>
              </w:rPr>
            </w:pPr>
            <w:r w:rsidRPr="00B92060">
              <w:rPr>
                <w:rFonts w:cs="Arial"/>
                <w:szCs w:val="18"/>
              </w:rPr>
              <w:t>Nog geen tweede Interne Analyse (kolom A+B)</w:t>
            </w:r>
          </w:p>
        </w:tc>
        <w:tc>
          <w:tcPr>
            <w:tcW w:w="1559" w:type="dxa"/>
          </w:tcPr>
          <w:p w:rsidR="009C5A41" w:rsidRPr="00B92060" w:rsidRDefault="009C5A41" w:rsidP="00E43D2D">
            <w:pPr>
              <w:spacing w:after="0"/>
              <w:jc w:val="center"/>
              <w:rPr>
                <w:rFonts w:cs="Arial"/>
                <w:szCs w:val="18"/>
              </w:rPr>
            </w:pPr>
            <w:r w:rsidRPr="00B92060">
              <w:rPr>
                <w:rFonts w:cs="Arial"/>
                <w:szCs w:val="18"/>
              </w:rPr>
              <w:t>118</w:t>
            </w:r>
            <w:r w:rsidR="00C70B5D" w:rsidRPr="00B92060">
              <w:rPr>
                <w:rFonts w:cs="Arial"/>
                <w:szCs w:val="18"/>
              </w:rPr>
              <w:t>6</w:t>
            </w:r>
          </w:p>
        </w:tc>
        <w:tc>
          <w:tcPr>
            <w:tcW w:w="3260" w:type="dxa"/>
            <w:shd w:val="clear" w:color="auto" w:fill="auto"/>
          </w:tcPr>
          <w:p w:rsidR="00360E21" w:rsidRDefault="00360E21" w:rsidP="00E43D2D">
            <w:pPr>
              <w:spacing w:after="0"/>
              <w:jc w:val="center"/>
              <w:rPr>
                <w:rFonts w:cs="Arial"/>
                <w:szCs w:val="18"/>
              </w:rPr>
            </w:pPr>
            <w:r w:rsidRPr="00B92060">
              <w:rPr>
                <w:rFonts w:cs="Arial"/>
                <w:szCs w:val="18"/>
              </w:rPr>
              <w:t xml:space="preserve">Arts 7116 uur / 1017 dagen </w:t>
            </w:r>
          </w:p>
          <w:p w:rsidR="009C5A41" w:rsidRPr="00B92060" w:rsidRDefault="009C5A41" w:rsidP="00360E21">
            <w:pPr>
              <w:spacing w:after="0"/>
              <w:jc w:val="center"/>
              <w:rPr>
                <w:rFonts w:cs="Arial"/>
                <w:szCs w:val="18"/>
              </w:rPr>
            </w:pPr>
            <w:proofErr w:type="spellStart"/>
            <w:r w:rsidRPr="00B92060">
              <w:rPr>
                <w:rFonts w:cs="Arial"/>
                <w:szCs w:val="18"/>
              </w:rPr>
              <w:t>Admin</w:t>
            </w:r>
            <w:proofErr w:type="spellEnd"/>
            <w:r w:rsidRPr="00B92060">
              <w:rPr>
                <w:rFonts w:cs="Arial"/>
                <w:szCs w:val="18"/>
              </w:rPr>
              <w:t xml:space="preserve">. </w:t>
            </w:r>
            <w:r w:rsidR="00504749">
              <w:rPr>
                <w:rFonts w:cs="Arial"/>
                <w:szCs w:val="18"/>
              </w:rPr>
              <w:t>4744</w:t>
            </w:r>
            <w:r w:rsidRPr="00B92060">
              <w:rPr>
                <w:rFonts w:cs="Arial"/>
                <w:szCs w:val="18"/>
              </w:rPr>
              <w:t xml:space="preserve"> uur</w:t>
            </w:r>
            <w:r w:rsidRPr="00B92060">
              <w:rPr>
                <w:rStyle w:val="FootnoteReference"/>
                <w:rFonts w:cs="Arial"/>
                <w:szCs w:val="18"/>
              </w:rPr>
              <w:footnoteReference w:id="30"/>
            </w:r>
            <w:r w:rsidRPr="00B92060">
              <w:rPr>
                <w:rFonts w:cs="Arial"/>
                <w:szCs w:val="18"/>
              </w:rPr>
              <w:t xml:space="preserve"> / </w:t>
            </w:r>
            <w:r w:rsidR="00504749">
              <w:rPr>
                <w:rFonts w:cs="Arial"/>
                <w:szCs w:val="18"/>
              </w:rPr>
              <w:t>678</w:t>
            </w:r>
            <w:r w:rsidRPr="00B92060">
              <w:rPr>
                <w:rFonts w:cs="Arial"/>
                <w:szCs w:val="18"/>
              </w:rPr>
              <w:t xml:space="preserve"> dagen</w:t>
            </w:r>
            <w:r w:rsidRPr="00B92060">
              <w:rPr>
                <w:rStyle w:val="FootnoteReference"/>
                <w:rFonts w:cs="Arial"/>
                <w:szCs w:val="18"/>
              </w:rPr>
              <w:footnoteReference w:id="31"/>
            </w:r>
          </w:p>
        </w:tc>
        <w:tc>
          <w:tcPr>
            <w:tcW w:w="3260" w:type="dxa"/>
            <w:shd w:val="clear" w:color="auto" w:fill="auto"/>
          </w:tcPr>
          <w:p w:rsidR="000B1152" w:rsidRDefault="000B1152" w:rsidP="00E43D2D">
            <w:pPr>
              <w:spacing w:after="0"/>
              <w:jc w:val="center"/>
              <w:rPr>
                <w:rFonts w:cs="Arial"/>
                <w:szCs w:val="18"/>
              </w:rPr>
            </w:pPr>
          </w:p>
          <w:p w:rsidR="009C5A41" w:rsidRPr="00B92060" w:rsidRDefault="009C5A41" w:rsidP="00E43D2D">
            <w:pPr>
              <w:spacing w:after="0"/>
              <w:jc w:val="center"/>
              <w:rPr>
                <w:rFonts w:cs="Arial"/>
                <w:szCs w:val="18"/>
              </w:rPr>
            </w:pPr>
            <w:proofErr w:type="spellStart"/>
            <w:r w:rsidRPr="00B92060">
              <w:rPr>
                <w:rFonts w:cs="Arial"/>
                <w:szCs w:val="18"/>
              </w:rPr>
              <w:t>Admin</w:t>
            </w:r>
            <w:proofErr w:type="spellEnd"/>
            <w:r w:rsidRPr="00B92060">
              <w:rPr>
                <w:rFonts w:cs="Arial"/>
                <w:szCs w:val="18"/>
              </w:rPr>
              <w:t xml:space="preserve">. </w:t>
            </w:r>
            <w:r w:rsidR="00504749">
              <w:rPr>
                <w:rFonts w:cs="Arial"/>
                <w:szCs w:val="18"/>
              </w:rPr>
              <w:t>1186</w:t>
            </w:r>
            <w:r w:rsidRPr="00B92060">
              <w:rPr>
                <w:rFonts w:cs="Arial"/>
                <w:szCs w:val="18"/>
              </w:rPr>
              <w:t xml:space="preserve"> dagen</w:t>
            </w:r>
            <w:r w:rsidRPr="00B92060">
              <w:rPr>
                <w:rStyle w:val="FootnoteReference"/>
                <w:rFonts w:cs="Arial"/>
                <w:szCs w:val="18"/>
              </w:rPr>
              <w:footnoteReference w:id="32"/>
            </w:r>
          </w:p>
        </w:tc>
        <w:tc>
          <w:tcPr>
            <w:tcW w:w="3261" w:type="dxa"/>
            <w:shd w:val="clear" w:color="auto" w:fill="auto"/>
          </w:tcPr>
          <w:p w:rsidR="009C5A41" w:rsidRPr="00B92060" w:rsidRDefault="009C5A41" w:rsidP="00E43D2D">
            <w:pPr>
              <w:spacing w:after="0"/>
              <w:jc w:val="center"/>
              <w:rPr>
                <w:rFonts w:cs="Arial"/>
                <w:szCs w:val="18"/>
              </w:rPr>
            </w:pPr>
            <w:r w:rsidRPr="00B92060">
              <w:rPr>
                <w:rFonts w:cs="Arial"/>
                <w:szCs w:val="18"/>
              </w:rPr>
              <w:t>Jurist 17</w:t>
            </w:r>
            <w:r w:rsidR="00456257" w:rsidRPr="00B92060">
              <w:rPr>
                <w:rFonts w:cs="Arial"/>
                <w:szCs w:val="18"/>
              </w:rPr>
              <w:t>79</w:t>
            </w:r>
            <w:r w:rsidRPr="00B92060">
              <w:rPr>
                <w:rFonts w:cs="Arial"/>
                <w:szCs w:val="18"/>
              </w:rPr>
              <w:t xml:space="preserve"> dagen</w:t>
            </w:r>
            <w:r w:rsidRPr="00B92060">
              <w:rPr>
                <w:rStyle w:val="FootnoteReference"/>
                <w:rFonts w:cs="Arial"/>
                <w:szCs w:val="18"/>
              </w:rPr>
              <w:footnoteReference w:id="33"/>
            </w:r>
          </w:p>
          <w:p w:rsidR="009C5A41" w:rsidRPr="00B92060" w:rsidRDefault="009C5A41" w:rsidP="00E43D2D">
            <w:pPr>
              <w:spacing w:after="0"/>
              <w:jc w:val="center"/>
              <w:rPr>
                <w:rFonts w:cs="Arial"/>
                <w:szCs w:val="18"/>
              </w:rPr>
            </w:pPr>
            <w:proofErr w:type="spellStart"/>
            <w:r w:rsidRPr="00B92060">
              <w:rPr>
                <w:rFonts w:cs="Arial"/>
                <w:szCs w:val="18"/>
              </w:rPr>
              <w:t>Admin</w:t>
            </w:r>
            <w:proofErr w:type="spellEnd"/>
            <w:r w:rsidRPr="00B92060">
              <w:rPr>
                <w:rFonts w:cs="Arial"/>
                <w:szCs w:val="18"/>
              </w:rPr>
              <w:t>. 178 dagen</w:t>
            </w:r>
          </w:p>
        </w:tc>
      </w:tr>
      <w:tr w:rsidR="009C5A41" w:rsidRPr="00B92060" w:rsidTr="003E4E5C">
        <w:tc>
          <w:tcPr>
            <w:tcW w:w="3114" w:type="dxa"/>
          </w:tcPr>
          <w:p w:rsidR="009C5A41" w:rsidRPr="00B92060" w:rsidRDefault="009C5A41" w:rsidP="00E43D2D">
            <w:pPr>
              <w:spacing w:after="0"/>
              <w:jc w:val="left"/>
              <w:rPr>
                <w:rFonts w:cs="Arial"/>
                <w:szCs w:val="18"/>
              </w:rPr>
            </w:pPr>
            <w:r w:rsidRPr="00B92060">
              <w:rPr>
                <w:rFonts w:cs="Arial"/>
                <w:szCs w:val="18"/>
              </w:rPr>
              <w:t>Externe expertise is lopend (kolom C+D)</w:t>
            </w:r>
          </w:p>
        </w:tc>
        <w:tc>
          <w:tcPr>
            <w:tcW w:w="1559" w:type="dxa"/>
          </w:tcPr>
          <w:p w:rsidR="009C5A41" w:rsidRPr="00B92060" w:rsidRDefault="000B1152" w:rsidP="00E43D2D">
            <w:pPr>
              <w:spacing w:after="0"/>
              <w:jc w:val="center"/>
              <w:rPr>
                <w:rFonts w:cs="Arial"/>
                <w:szCs w:val="18"/>
              </w:rPr>
            </w:pPr>
            <w:r>
              <w:rPr>
                <w:rFonts w:cs="Arial"/>
                <w:szCs w:val="18"/>
              </w:rPr>
              <w:t>120</w:t>
            </w:r>
          </w:p>
        </w:tc>
        <w:tc>
          <w:tcPr>
            <w:tcW w:w="3260" w:type="dxa"/>
            <w:shd w:val="clear" w:color="auto" w:fill="auto"/>
          </w:tcPr>
          <w:p w:rsidR="009C5A41" w:rsidRPr="00B92060" w:rsidRDefault="009C5A41" w:rsidP="00E43D2D">
            <w:pPr>
              <w:spacing w:after="0"/>
              <w:jc w:val="center"/>
              <w:rPr>
                <w:rFonts w:cs="Arial"/>
                <w:szCs w:val="18"/>
              </w:rPr>
            </w:pPr>
            <w:r w:rsidRPr="00B92060">
              <w:rPr>
                <w:rFonts w:cs="Arial"/>
                <w:szCs w:val="18"/>
              </w:rPr>
              <w:t>0</w:t>
            </w:r>
          </w:p>
        </w:tc>
        <w:tc>
          <w:tcPr>
            <w:tcW w:w="3260" w:type="dxa"/>
            <w:shd w:val="clear" w:color="auto" w:fill="auto"/>
          </w:tcPr>
          <w:p w:rsidR="000B1152" w:rsidRDefault="000B1152" w:rsidP="00E43D2D">
            <w:pPr>
              <w:spacing w:after="0"/>
              <w:jc w:val="center"/>
              <w:rPr>
                <w:rFonts w:cs="Arial"/>
                <w:szCs w:val="18"/>
              </w:rPr>
            </w:pPr>
          </w:p>
          <w:p w:rsidR="009C5A41" w:rsidRPr="00B92060" w:rsidRDefault="009C5A41" w:rsidP="00E43D2D">
            <w:pPr>
              <w:spacing w:after="0"/>
              <w:jc w:val="center"/>
              <w:rPr>
                <w:rFonts w:cs="Arial"/>
                <w:szCs w:val="18"/>
              </w:rPr>
            </w:pPr>
            <w:proofErr w:type="spellStart"/>
            <w:r w:rsidRPr="00B92060">
              <w:rPr>
                <w:rFonts w:cs="Arial"/>
                <w:szCs w:val="18"/>
              </w:rPr>
              <w:t>Admin</w:t>
            </w:r>
            <w:proofErr w:type="spellEnd"/>
            <w:r w:rsidRPr="00B92060">
              <w:rPr>
                <w:rFonts w:cs="Arial"/>
                <w:szCs w:val="18"/>
              </w:rPr>
              <w:t xml:space="preserve">. </w:t>
            </w:r>
            <w:r w:rsidR="000B1152">
              <w:rPr>
                <w:rFonts w:cs="Arial"/>
                <w:szCs w:val="18"/>
              </w:rPr>
              <w:t>120</w:t>
            </w:r>
            <w:r w:rsidRPr="00B92060">
              <w:rPr>
                <w:rFonts w:cs="Arial"/>
                <w:szCs w:val="18"/>
              </w:rPr>
              <w:t xml:space="preserve"> dagen</w:t>
            </w:r>
          </w:p>
        </w:tc>
        <w:tc>
          <w:tcPr>
            <w:tcW w:w="3261" w:type="dxa"/>
            <w:shd w:val="clear" w:color="auto" w:fill="auto"/>
          </w:tcPr>
          <w:p w:rsidR="009C5A41" w:rsidRPr="00B92060" w:rsidRDefault="009C5A41" w:rsidP="00E43D2D">
            <w:pPr>
              <w:spacing w:after="0"/>
              <w:jc w:val="center"/>
              <w:rPr>
                <w:rFonts w:cs="Arial"/>
                <w:szCs w:val="18"/>
              </w:rPr>
            </w:pPr>
            <w:r w:rsidRPr="00B92060">
              <w:rPr>
                <w:rFonts w:cs="Arial"/>
                <w:szCs w:val="18"/>
              </w:rPr>
              <w:t xml:space="preserve">Jurist </w:t>
            </w:r>
            <w:r w:rsidR="000B1152">
              <w:rPr>
                <w:rFonts w:cs="Arial"/>
                <w:szCs w:val="18"/>
              </w:rPr>
              <w:t>180</w:t>
            </w:r>
            <w:r w:rsidRPr="00B92060">
              <w:rPr>
                <w:rFonts w:cs="Arial"/>
                <w:szCs w:val="18"/>
              </w:rPr>
              <w:t xml:space="preserve"> dagen</w:t>
            </w:r>
          </w:p>
          <w:p w:rsidR="009C5A41" w:rsidRPr="00B92060" w:rsidRDefault="009C5A41" w:rsidP="00E43D2D">
            <w:pPr>
              <w:spacing w:after="0"/>
              <w:jc w:val="center"/>
              <w:rPr>
                <w:rFonts w:cs="Arial"/>
                <w:szCs w:val="18"/>
              </w:rPr>
            </w:pPr>
            <w:proofErr w:type="spellStart"/>
            <w:r w:rsidRPr="00B92060">
              <w:rPr>
                <w:rFonts w:cs="Arial"/>
                <w:szCs w:val="18"/>
              </w:rPr>
              <w:t>Admin</w:t>
            </w:r>
            <w:proofErr w:type="spellEnd"/>
            <w:r w:rsidRPr="00B92060">
              <w:rPr>
                <w:rFonts w:cs="Arial"/>
                <w:szCs w:val="18"/>
              </w:rPr>
              <w:t xml:space="preserve">. geen </w:t>
            </w:r>
          </w:p>
        </w:tc>
      </w:tr>
      <w:tr w:rsidR="009C5A41" w:rsidRPr="00B92060" w:rsidTr="003E4E5C">
        <w:tc>
          <w:tcPr>
            <w:tcW w:w="3114" w:type="dxa"/>
          </w:tcPr>
          <w:p w:rsidR="009C5A41" w:rsidRPr="00B92060" w:rsidRDefault="009C5A41" w:rsidP="00E43D2D">
            <w:pPr>
              <w:spacing w:after="0"/>
              <w:jc w:val="left"/>
              <w:rPr>
                <w:rFonts w:cs="Arial"/>
                <w:szCs w:val="18"/>
              </w:rPr>
            </w:pPr>
            <w:r w:rsidRPr="00B92060">
              <w:rPr>
                <w:rFonts w:cs="Arial"/>
                <w:szCs w:val="18"/>
              </w:rPr>
              <w:t>Advies nog te schrijven (kolom E)</w:t>
            </w:r>
          </w:p>
          <w:p w:rsidR="009C5A41" w:rsidRPr="00B92060" w:rsidRDefault="009C5A41" w:rsidP="00E43D2D">
            <w:pPr>
              <w:spacing w:after="0"/>
              <w:jc w:val="left"/>
              <w:rPr>
                <w:rFonts w:cs="Arial"/>
                <w:szCs w:val="18"/>
              </w:rPr>
            </w:pPr>
          </w:p>
        </w:tc>
        <w:tc>
          <w:tcPr>
            <w:tcW w:w="1559" w:type="dxa"/>
          </w:tcPr>
          <w:p w:rsidR="009C5A41" w:rsidRPr="00B92060" w:rsidRDefault="00C70B5D" w:rsidP="00E43D2D">
            <w:pPr>
              <w:spacing w:after="0"/>
              <w:jc w:val="center"/>
              <w:rPr>
                <w:rFonts w:cs="Arial"/>
                <w:szCs w:val="18"/>
              </w:rPr>
            </w:pPr>
            <w:r w:rsidRPr="00B92060">
              <w:rPr>
                <w:rFonts w:cs="Arial"/>
                <w:szCs w:val="18"/>
              </w:rPr>
              <w:t>0</w:t>
            </w:r>
          </w:p>
        </w:tc>
        <w:tc>
          <w:tcPr>
            <w:tcW w:w="3260" w:type="dxa"/>
            <w:shd w:val="clear" w:color="auto" w:fill="auto"/>
          </w:tcPr>
          <w:p w:rsidR="009C5A41" w:rsidRPr="00B92060" w:rsidRDefault="009C5A41" w:rsidP="00E43D2D">
            <w:pPr>
              <w:spacing w:after="0"/>
              <w:jc w:val="center"/>
              <w:rPr>
                <w:rFonts w:cs="Arial"/>
                <w:szCs w:val="18"/>
              </w:rPr>
            </w:pPr>
            <w:r w:rsidRPr="00B92060">
              <w:rPr>
                <w:rFonts w:cs="Arial"/>
                <w:szCs w:val="18"/>
              </w:rPr>
              <w:t>0</w:t>
            </w:r>
          </w:p>
        </w:tc>
        <w:tc>
          <w:tcPr>
            <w:tcW w:w="3260" w:type="dxa"/>
            <w:shd w:val="clear" w:color="auto" w:fill="auto"/>
          </w:tcPr>
          <w:p w:rsidR="009C5A41" w:rsidRPr="00B92060" w:rsidRDefault="009C5A41" w:rsidP="00E43D2D">
            <w:pPr>
              <w:spacing w:after="0"/>
              <w:jc w:val="center"/>
              <w:rPr>
                <w:rFonts w:cs="Arial"/>
                <w:szCs w:val="18"/>
              </w:rPr>
            </w:pPr>
            <w:r w:rsidRPr="00B92060">
              <w:rPr>
                <w:rFonts w:cs="Arial"/>
                <w:szCs w:val="18"/>
              </w:rPr>
              <w:t>0</w:t>
            </w:r>
          </w:p>
        </w:tc>
        <w:tc>
          <w:tcPr>
            <w:tcW w:w="3261" w:type="dxa"/>
            <w:shd w:val="clear" w:color="auto" w:fill="auto"/>
          </w:tcPr>
          <w:p w:rsidR="009C5A41" w:rsidRPr="00B92060" w:rsidRDefault="00C70B5D" w:rsidP="00E43D2D">
            <w:pPr>
              <w:spacing w:after="0"/>
              <w:jc w:val="center"/>
              <w:rPr>
                <w:rFonts w:cs="Arial"/>
                <w:szCs w:val="18"/>
              </w:rPr>
            </w:pPr>
            <w:r w:rsidRPr="00B92060">
              <w:rPr>
                <w:rFonts w:cs="Arial"/>
                <w:szCs w:val="18"/>
              </w:rPr>
              <w:t>0</w:t>
            </w:r>
          </w:p>
        </w:tc>
      </w:tr>
      <w:tr w:rsidR="009C5A41" w:rsidRPr="00B92060" w:rsidTr="003E4E5C">
        <w:tc>
          <w:tcPr>
            <w:tcW w:w="3114" w:type="dxa"/>
          </w:tcPr>
          <w:p w:rsidR="009C5A41" w:rsidRPr="00B92060" w:rsidRDefault="009C5A41" w:rsidP="00E43D2D">
            <w:pPr>
              <w:spacing w:after="0"/>
              <w:jc w:val="left"/>
              <w:rPr>
                <w:rFonts w:cs="Arial"/>
                <w:i/>
                <w:iCs/>
                <w:szCs w:val="18"/>
              </w:rPr>
            </w:pPr>
            <w:r w:rsidRPr="00B92060">
              <w:rPr>
                <w:rFonts w:cs="Arial"/>
                <w:i/>
                <w:iCs/>
                <w:szCs w:val="18"/>
              </w:rPr>
              <w:t>Totaal</w:t>
            </w:r>
          </w:p>
        </w:tc>
        <w:tc>
          <w:tcPr>
            <w:tcW w:w="1559" w:type="dxa"/>
          </w:tcPr>
          <w:p w:rsidR="009C5A41" w:rsidRPr="00B92060" w:rsidRDefault="009C5A41" w:rsidP="00E43D2D">
            <w:pPr>
              <w:spacing w:after="0"/>
              <w:jc w:val="center"/>
              <w:rPr>
                <w:rFonts w:cs="Arial"/>
                <w:i/>
                <w:iCs/>
                <w:szCs w:val="18"/>
              </w:rPr>
            </w:pPr>
          </w:p>
        </w:tc>
        <w:tc>
          <w:tcPr>
            <w:tcW w:w="3260" w:type="dxa"/>
            <w:shd w:val="clear" w:color="auto" w:fill="auto"/>
          </w:tcPr>
          <w:p w:rsidR="00360E21" w:rsidRDefault="00360E21" w:rsidP="00E43D2D">
            <w:pPr>
              <w:spacing w:after="0"/>
              <w:jc w:val="center"/>
              <w:rPr>
                <w:rFonts w:cs="Arial"/>
                <w:i/>
                <w:iCs/>
                <w:szCs w:val="18"/>
              </w:rPr>
            </w:pPr>
            <w:r w:rsidRPr="00B92060">
              <w:rPr>
                <w:rFonts w:cs="Arial"/>
                <w:i/>
                <w:iCs/>
                <w:szCs w:val="18"/>
              </w:rPr>
              <w:t xml:space="preserve">Arts 1017 dagen </w:t>
            </w:r>
          </w:p>
          <w:p w:rsidR="009C5A41" w:rsidRPr="00B92060" w:rsidRDefault="009C5A41" w:rsidP="00360E21">
            <w:pPr>
              <w:spacing w:after="0"/>
              <w:jc w:val="center"/>
              <w:rPr>
                <w:rFonts w:cs="Arial"/>
                <w:i/>
                <w:iCs/>
                <w:szCs w:val="18"/>
              </w:rPr>
            </w:pPr>
            <w:proofErr w:type="spellStart"/>
            <w:r w:rsidRPr="00B92060">
              <w:rPr>
                <w:rFonts w:cs="Arial"/>
                <w:i/>
                <w:iCs/>
                <w:szCs w:val="18"/>
              </w:rPr>
              <w:t>Admin</w:t>
            </w:r>
            <w:proofErr w:type="spellEnd"/>
            <w:r w:rsidRPr="00B92060">
              <w:rPr>
                <w:rFonts w:cs="Arial"/>
                <w:i/>
                <w:iCs/>
                <w:szCs w:val="18"/>
              </w:rPr>
              <w:t xml:space="preserve">. </w:t>
            </w:r>
            <w:r w:rsidR="00504749">
              <w:rPr>
                <w:rFonts w:cs="Arial"/>
                <w:i/>
                <w:iCs/>
                <w:szCs w:val="18"/>
              </w:rPr>
              <w:t>678</w:t>
            </w:r>
            <w:r w:rsidRPr="00B92060">
              <w:rPr>
                <w:rFonts w:cs="Arial"/>
                <w:i/>
                <w:iCs/>
                <w:szCs w:val="18"/>
              </w:rPr>
              <w:t xml:space="preserve"> dagen</w:t>
            </w:r>
          </w:p>
        </w:tc>
        <w:tc>
          <w:tcPr>
            <w:tcW w:w="3260" w:type="dxa"/>
            <w:shd w:val="clear" w:color="auto" w:fill="auto"/>
          </w:tcPr>
          <w:p w:rsidR="00360E21" w:rsidRDefault="00360E21" w:rsidP="00E43D2D">
            <w:pPr>
              <w:spacing w:after="0"/>
              <w:jc w:val="center"/>
              <w:rPr>
                <w:rFonts w:cs="Arial"/>
                <w:i/>
                <w:iCs/>
                <w:szCs w:val="18"/>
              </w:rPr>
            </w:pPr>
          </w:p>
          <w:p w:rsidR="009C5A41" w:rsidRPr="00B92060" w:rsidRDefault="009C5A41" w:rsidP="00E43D2D">
            <w:pPr>
              <w:spacing w:after="0"/>
              <w:jc w:val="center"/>
              <w:rPr>
                <w:rFonts w:cs="Arial"/>
                <w:i/>
                <w:iCs/>
                <w:szCs w:val="18"/>
              </w:rPr>
            </w:pPr>
            <w:proofErr w:type="spellStart"/>
            <w:r w:rsidRPr="00B92060">
              <w:rPr>
                <w:rFonts w:cs="Arial"/>
                <w:i/>
                <w:iCs/>
                <w:szCs w:val="18"/>
              </w:rPr>
              <w:t>Admin</w:t>
            </w:r>
            <w:proofErr w:type="spellEnd"/>
            <w:r w:rsidRPr="00B92060">
              <w:rPr>
                <w:rFonts w:cs="Arial"/>
                <w:i/>
                <w:iCs/>
                <w:szCs w:val="18"/>
              </w:rPr>
              <w:t>. 1</w:t>
            </w:r>
            <w:r w:rsidR="00360E21">
              <w:rPr>
                <w:rFonts w:cs="Arial"/>
                <w:i/>
                <w:iCs/>
                <w:szCs w:val="18"/>
              </w:rPr>
              <w:t>306</w:t>
            </w:r>
            <w:r w:rsidRPr="00B92060">
              <w:rPr>
                <w:rFonts w:cs="Arial"/>
                <w:i/>
                <w:iCs/>
                <w:szCs w:val="18"/>
              </w:rPr>
              <w:t xml:space="preserve"> dagen</w:t>
            </w:r>
          </w:p>
        </w:tc>
        <w:tc>
          <w:tcPr>
            <w:tcW w:w="3261" w:type="dxa"/>
            <w:shd w:val="clear" w:color="auto" w:fill="auto"/>
          </w:tcPr>
          <w:p w:rsidR="009C5A41" w:rsidRPr="00B92060" w:rsidRDefault="009C5A41" w:rsidP="00E43D2D">
            <w:pPr>
              <w:spacing w:after="0"/>
              <w:jc w:val="center"/>
              <w:rPr>
                <w:rFonts w:cs="Arial"/>
                <w:i/>
                <w:iCs/>
                <w:szCs w:val="18"/>
              </w:rPr>
            </w:pPr>
            <w:r w:rsidRPr="00B92060">
              <w:rPr>
                <w:rFonts w:cs="Arial"/>
                <w:i/>
                <w:iCs/>
                <w:szCs w:val="18"/>
              </w:rPr>
              <w:t xml:space="preserve">Jurist </w:t>
            </w:r>
            <w:r w:rsidR="00360E21">
              <w:rPr>
                <w:rFonts w:cs="Arial"/>
                <w:i/>
                <w:iCs/>
                <w:szCs w:val="18"/>
              </w:rPr>
              <w:t>1959</w:t>
            </w:r>
            <w:r w:rsidRPr="00B92060">
              <w:rPr>
                <w:rFonts w:cs="Arial"/>
                <w:i/>
                <w:iCs/>
                <w:szCs w:val="18"/>
              </w:rPr>
              <w:t xml:space="preserve"> dagen </w:t>
            </w:r>
          </w:p>
          <w:p w:rsidR="009C5A41" w:rsidRPr="00B92060" w:rsidRDefault="009C5A41" w:rsidP="00E43D2D">
            <w:pPr>
              <w:spacing w:after="0"/>
              <w:jc w:val="center"/>
              <w:rPr>
                <w:rFonts w:cs="Arial"/>
                <w:i/>
                <w:iCs/>
                <w:szCs w:val="18"/>
              </w:rPr>
            </w:pPr>
            <w:proofErr w:type="spellStart"/>
            <w:r w:rsidRPr="00B92060">
              <w:rPr>
                <w:rFonts w:cs="Arial"/>
                <w:i/>
                <w:iCs/>
                <w:szCs w:val="18"/>
              </w:rPr>
              <w:t>Admin</w:t>
            </w:r>
            <w:proofErr w:type="spellEnd"/>
            <w:r w:rsidRPr="00B92060">
              <w:rPr>
                <w:rFonts w:cs="Arial"/>
                <w:i/>
                <w:iCs/>
                <w:szCs w:val="18"/>
              </w:rPr>
              <w:t>. 178 dagen</w:t>
            </w:r>
          </w:p>
        </w:tc>
      </w:tr>
    </w:tbl>
    <w:p w:rsidR="009C5A41" w:rsidRDefault="009C5A41" w:rsidP="009C5A41">
      <w:pPr>
        <w:spacing w:after="0"/>
        <w:jc w:val="left"/>
        <w:rPr>
          <w:rFonts w:cs="Arial"/>
          <w:sz w:val="20"/>
        </w:rPr>
      </w:pPr>
    </w:p>
    <w:p w:rsidR="009C5A41" w:rsidRDefault="009C5A41" w:rsidP="009C5A41">
      <w:pPr>
        <w:spacing w:after="0"/>
        <w:jc w:val="left"/>
        <w:rPr>
          <w:rFonts w:cs="Arial"/>
          <w:sz w:val="20"/>
        </w:rPr>
      </w:pPr>
      <w:r>
        <w:rPr>
          <w:rFonts w:cs="Arial"/>
          <w:sz w:val="20"/>
        </w:rPr>
        <w:br w:type="page"/>
      </w:r>
    </w:p>
    <w:p w:rsidR="009C5A41" w:rsidRPr="006518FD" w:rsidRDefault="006518FD" w:rsidP="0027101A">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cs="Arial"/>
          <w:sz w:val="20"/>
        </w:rPr>
      </w:pPr>
      <w:bookmarkStart w:id="46" w:name="_Toc68955703"/>
      <w:proofErr w:type="spellStart"/>
      <w:r w:rsidRPr="006518FD">
        <w:rPr>
          <w:rFonts w:cs="Arial"/>
          <w:sz w:val="20"/>
        </w:rPr>
        <w:lastRenderedPageBreak/>
        <w:t>Task</w:t>
      </w:r>
      <w:proofErr w:type="spellEnd"/>
      <w:r w:rsidRPr="006518FD">
        <w:rPr>
          <w:rFonts w:cs="Arial"/>
          <w:sz w:val="20"/>
        </w:rPr>
        <w:t xml:space="preserve"> Force – </w:t>
      </w:r>
      <w:r>
        <w:rPr>
          <w:rFonts w:cs="Arial"/>
          <w:sz w:val="20"/>
        </w:rPr>
        <w:t>c</w:t>
      </w:r>
      <w:r w:rsidR="009C5A41" w:rsidRPr="006518FD">
        <w:rPr>
          <w:rFonts w:cs="Arial"/>
          <w:sz w:val="20"/>
        </w:rPr>
        <w:t xml:space="preserve">oncrete acties </w:t>
      </w:r>
      <w:r w:rsidR="009D7503" w:rsidRPr="006518FD">
        <w:rPr>
          <w:rFonts w:cs="Arial"/>
          <w:sz w:val="20"/>
        </w:rPr>
        <w:t xml:space="preserve">rond opstart </w:t>
      </w:r>
      <w:r w:rsidR="009C5A41" w:rsidRPr="006518FD">
        <w:rPr>
          <w:rFonts w:cs="Arial"/>
          <w:sz w:val="20"/>
        </w:rPr>
        <w:t xml:space="preserve">in </w:t>
      </w:r>
      <w:r w:rsidR="006A2B58" w:rsidRPr="006518FD">
        <w:rPr>
          <w:rFonts w:cs="Arial"/>
          <w:sz w:val="20"/>
        </w:rPr>
        <w:t xml:space="preserve">eerste </w:t>
      </w:r>
      <w:r w:rsidR="009C5A41" w:rsidRPr="006518FD">
        <w:rPr>
          <w:rFonts w:cs="Arial"/>
          <w:sz w:val="20"/>
        </w:rPr>
        <w:t>semester</w:t>
      </w:r>
      <w:r w:rsidR="006A2B58" w:rsidRPr="006518FD">
        <w:rPr>
          <w:rFonts w:cs="Arial"/>
          <w:sz w:val="20"/>
        </w:rPr>
        <w:t xml:space="preserve"> </w:t>
      </w:r>
      <w:r w:rsidR="009C5A41" w:rsidRPr="006518FD">
        <w:rPr>
          <w:rFonts w:cs="Arial"/>
          <w:sz w:val="20"/>
        </w:rPr>
        <w:t>van 2021</w:t>
      </w:r>
      <w:bookmarkEnd w:id="46"/>
    </w:p>
    <w:p w:rsidR="009C5A41" w:rsidRPr="007A4A14" w:rsidRDefault="009C5A41" w:rsidP="009C5A41">
      <w:pPr>
        <w:spacing w:after="0"/>
        <w:jc w:val="left"/>
        <w:rPr>
          <w:rFonts w:cs="Arial"/>
          <w:sz w:val="20"/>
          <w:lang w:val="nl-BE"/>
        </w:rPr>
      </w:pPr>
    </w:p>
    <w:p w:rsidR="009C5A41" w:rsidRPr="005B45BF" w:rsidRDefault="009C5A41" w:rsidP="009C5A41">
      <w:pPr>
        <w:pStyle w:val="FootnoteText"/>
        <w:numPr>
          <w:ilvl w:val="0"/>
          <w:numId w:val="18"/>
        </w:numPr>
        <w:pBdr>
          <w:top w:val="single" w:sz="4" w:space="1" w:color="auto"/>
          <w:left w:val="single" w:sz="4" w:space="4" w:color="auto"/>
          <w:bottom w:val="single" w:sz="4" w:space="1" w:color="auto"/>
          <w:right w:val="single" w:sz="4" w:space="4" w:color="auto"/>
        </w:pBdr>
        <w:spacing w:after="0" w:line="240" w:lineRule="auto"/>
        <w:rPr>
          <w:rFonts w:cs="Arial"/>
          <w:b/>
          <w:bCs/>
          <w:sz w:val="20"/>
        </w:rPr>
      </w:pPr>
      <w:r w:rsidRPr="005B45BF">
        <w:rPr>
          <w:rFonts w:cs="Arial"/>
          <w:b/>
          <w:bCs/>
          <w:sz w:val="20"/>
        </w:rPr>
        <w:t>Nieuwe procedure uitrol start 1</w:t>
      </w:r>
      <w:r>
        <w:rPr>
          <w:rFonts w:cs="Arial"/>
          <w:b/>
          <w:bCs/>
          <w:sz w:val="20"/>
        </w:rPr>
        <w:t xml:space="preserve"> </w:t>
      </w:r>
      <w:r w:rsidR="006A2B58">
        <w:rPr>
          <w:rFonts w:cs="Arial"/>
          <w:b/>
          <w:bCs/>
          <w:sz w:val="20"/>
        </w:rPr>
        <w:t>maart</w:t>
      </w:r>
      <w:r>
        <w:rPr>
          <w:rFonts w:cs="Arial"/>
          <w:b/>
          <w:bCs/>
          <w:sz w:val="20"/>
        </w:rPr>
        <w:t xml:space="preserve"> </w:t>
      </w:r>
      <w:r w:rsidRPr="005B45BF">
        <w:rPr>
          <w:rFonts w:cs="Arial"/>
          <w:b/>
          <w:bCs/>
          <w:sz w:val="20"/>
        </w:rPr>
        <w:t>2021</w:t>
      </w:r>
    </w:p>
    <w:p w:rsidR="009C5A41" w:rsidRDefault="009C5A41" w:rsidP="009C5A41">
      <w:pPr>
        <w:spacing w:after="0"/>
        <w:jc w:val="left"/>
        <w:rPr>
          <w:rFonts w:cs="Arial"/>
          <w:sz w:val="20"/>
          <w:lang w:val="nl-BE"/>
        </w:rPr>
      </w:pPr>
    </w:p>
    <w:p w:rsidR="009C5A41" w:rsidRPr="00ED39A8" w:rsidRDefault="009C5A41" w:rsidP="009C5A41">
      <w:pPr>
        <w:spacing w:after="0"/>
        <w:jc w:val="left"/>
        <w:rPr>
          <w:rFonts w:cs="Arial"/>
          <w:sz w:val="20"/>
          <w:lang w:val="nl-BE"/>
        </w:rPr>
      </w:pPr>
      <w:r w:rsidRPr="00ED39A8">
        <w:rPr>
          <w:rFonts w:cs="Arial"/>
          <w:sz w:val="20"/>
          <w:lang w:val="nl-BE"/>
        </w:rPr>
        <w:t xml:space="preserve">De opstart en de implementatie van de nieuwe werkwijze gebeurt door de bestaande equipe. Dit zal </w:t>
      </w:r>
      <w:r>
        <w:rPr>
          <w:rFonts w:cs="Arial"/>
          <w:sz w:val="20"/>
          <w:lang w:val="nl-BE"/>
        </w:rPr>
        <w:t>ook</w:t>
      </w:r>
      <w:r w:rsidRPr="00ED39A8">
        <w:rPr>
          <w:rFonts w:cs="Arial"/>
          <w:sz w:val="20"/>
          <w:lang w:val="nl-BE"/>
        </w:rPr>
        <w:t xml:space="preserve"> als basis dienen voor de procedures voor de </w:t>
      </w:r>
      <w:proofErr w:type="spellStart"/>
      <w:r>
        <w:rPr>
          <w:rFonts w:cs="Arial"/>
          <w:sz w:val="20"/>
          <w:lang w:val="nl-BE"/>
        </w:rPr>
        <w:t>T</w:t>
      </w:r>
      <w:r w:rsidRPr="00ED39A8">
        <w:rPr>
          <w:rFonts w:cs="Arial"/>
          <w:sz w:val="20"/>
          <w:lang w:val="nl-BE"/>
        </w:rPr>
        <w:t>ask</w:t>
      </w:r>
      <w:proofErr w:type="spellEnd"/>
      <w:r w:rsidRPr="00ED39A8">
        <w:rPr>
          <w:rFonts w:cs="Arial"/>
          <w:sz w:val="20"/>
          <w:lang w:val="nl-BE"/>
        </w:rPr>
        <w:t xml:space="preserve"> </w:t>
      </w:r>
      <w:r>
        <w:rPr>
          <w:rFonts w:cs="Arial"/>
          <w:sz w:val="20"/>
          <w:lang w:val="nl-BE"/>
        </w:rPr>
        <w:t>F</w:t>
      </w:r>
      <w:r w:rsidRPr="00ED39A8">
        <w:rPr>
          <w:rFonts w:cs="Arial"/>
          <w:sz w:val="20"/>
          <w:lang w:val="nl-BE"/>
        </w:rPr>
        <w:t xml:space="preserve">orce. </w:t>
      </w:r>
    </w:p>
    <w:p w:rsidR="009C5A41" w:rsidRPr="00ED39A8" w:rsidRDefault="009C5A41" w:rsidP="009C5A41">
      <w:pPr>
        <w:spacing w:after="0"/>
        <w:jc w:val="left"/>
        <w:rPr>
          <w:rFonts w:cs="Arial"/>
          <w:sz w:val="20"/>
          <w:lang w:val="nl-BE"/>
        </w:rPr>
      </w:pPr>
    </w:p>
    <w:p w:rsidR="009C5A41" w:rsidRDefault="009C5A41" w:rsidP="009C5A41">
      <w:pPr>
        <w:spacing w:after="0"/>
        <w:jc w:val="left"/>
        <w:rPr>
          <w:rFonts w:cs="Arial"/>
          <w:sz w:val="20"/>
          <w:lang w:val="nl-BE"/>
        </w:rPr>
      </w:pPr>
      <w:r w:rsidRPr="00ED39A8">
        <w:rPr>
          <w:rFonts w:cs="Arial"/>
          <w:sz w:val="20"/>
          <w:lang w:val="nl-BE"/>
        </w:rPr>
        <w:t>In afwachting laten we de lopende expertises verder gaan</w:t>
      </w:r>
      <w:r>
        <w:rPr>
          <w:rFonts w:cs="Arial"/>
          <w:sz w:val="20"/>
          <w:lang w:val="nl-BE"/>
        </w:rPr>
        <w:t xml:space="preserve">. </w:t>
      </w:r>
    </w:p>
    <w:p w:rsidR="009C5A41" w:rsidRPr="00ED39A8" w:rsidRDefault="009C5A41" w:rsidP="009C5A41">
      <w:pPr>
        <w:pStyle w:val="ListParagraph"/>
        <w:numPr>
          <w:ilvl w:val="0"/>
          <w:numId w:val="5"/>
        </w:numPr>
        <w:spacing w:after="0" w:line="240" w:lineRule="auto"/>
        <w:rPr>
          <w:rFonts w:ascii="Arial" w:hAnsi="Arial" w:cs="Arial"/>
          <w:sz w:val="20"/>
          <w:szCs w:val="20"/>
        </w:rPr>
      </w:pPr>
      <w:r w:rsidRPr="00ED39A8">
        <w:rPr>
          <w:rFonts w:ascii="Arial" w:hAnsi="Arial" w:cs="Arial"/>
          <w:sz w:val="20"/>
          <w:szCs w:val="20"/>
        </w:rPr>
        <w:t xml:space="preserve">Behalve een nauwgezette opvolging, is er geen tussenkomst van het FMO. </w:t>
      </w:r>
    </w:p>
    <w:p w:rsidR="009C5A41" w:rsidRPr="00ED39A8" w:rsidRDefault="009C5A41" w:rsidP="009C5A41">
      <w:pPr>
        <w:pStyle w:val="ListParagraph"/>
        <w:numPr>
          <w:ilvl w:val="0"/>
          <w:numId w:val="5"/>
        </w:numPr>
        <w:spacing w:after="0" w:line="240" w:lineRule="auto"/>
        <w:rPr>
          <w:rFonts w:ascii="Arial" w:hAnsi="Arial" w:cs="Arial"/>
          <w:sz w:val="20"/>
          <w:szCs w:val="20"/>
        </w:rPr>
      </w:pPr>
      <w:r w:rsidRPr="00ED39A8">
        <w:rPr>
          <w:rFonts w:ascii="Arial" w:hAnsi="Arial" w:cs="Arial"/>
          <w:sz w:val="20"/>
          <w:szCs w:val="20"/>
        </w:rPr>
        <w:t xml:space="preserve">Eens er een verslag is van de expertise wordt het dossier verder afgewerkt </w:t>
      </w:r>
      <w:proofErr w:type="spellStart"/>
      <w:r w:rsidRPr="00ED39A8">
        <w:rPr>
          <w:rFonts w:ascii="Arial" w:hAnsi="Arial" w:cs="Arial"/>
          <w:sz w:val="20"/>
          <w:szCs w:val="20"/>
        </w:rPr>
        <w:t>cfr</w:t>
      </w:r>
      <w:proofErr w:type="spellEnd"/>
      <w:r w:rsidRPr="00ED39A8">
        <w:rPr>
          <w:rFonts w:ascii="Arial" w:hAnsi="Arial" w:cs="Arial"/>
          <w:sz w:val="20"/>
          <w:szCs w:val="20"/>
        </w:rPr>
        <w:t xml:space="preserve"> de tabel in punt 1.1. </w:t>
      </w:r>
    </w:p>
    <w:p w:rsidR="009C5A41" w:rsidRPr="00ED39A8" w:rsidRDefault="009C5A41" w:rsidP="009C5A41">
      <w:pPr>
        <w:pStyle w:val="ListParagraph"/>
        <w:numPr>
          <w:ilvl w:val="0"/>
          <w:numId w:val="5"/>
        </w:numPr>
        <w:spacing w:after="0" w:line="240" w:lineRule="auto"/>
        <w:rPr>
          <w:rFonts w:ascii="Arial" w:hAnsi="Arial" w:cs="Arial"/>
          <w:sz w:val="20"/>
          <w:szCs w:val="20"/>
        </w:rPr>
      </w:pPr>
      <w:r w:rsidRPr="00ED39A8">
        <w:rPr>
          <w:rFonts w:ascii="Arial" w:hAnsi="Arial" w:cs="Arial"/>
          <w:sz w:val="20"/>
          <w:szCs w:val="20"/>
        </w:rPr>
        <w:t xml:space="preserve">De dossierbeheerders blijven dossiers verder behandelen in fase 1 (ontvankelijkheid op basis van art 12), met aandacht vanaf dag 1 voor medisch dossier/inlichtingen arbeidsongeschiktheid/ vragenlijst. </w:t>
      </w:r>
    </w:p>
    <w:p w:rsidR="009C5A41" w:rsidRDefault="0012641B" w:rsidP="009C5A41">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Dossiers kunnen altijd </w:t>
      </w:r>
      <w:r w:rsidR="00E966CC">
        <w:rPr>
          <w:rFonts w:ascii="Arial" w:hAnsi="Arial" w:cs="Arial"/>
          <w:sz w:val="20"/>
          <w:szCs w:val="20"/>
        </w:rPr>
        <w:t>prioritair worden.</w:t>
      </w:r>
    </w:p>
    <w:p w:rsidR="009C5A41" w:rsidRDefault="009C5A41" w:rsidP="009C5A41">
      <w:pPr>
        <w:spacing w:after="0"/>
        <w:jc w:val="left"/>
        <w:rPr>
          <w:rFonts w:cs="Arial"/>
          <w:sz w:val="20"/>
          <w:lang w:val="nl-BE"/>
        </w:rPr>
      </w:pPr>
    </w:p>
    <w:tbl>
      <w:tblPr>
        <w:tblStyle w:val="TableGrid"/>
        <w:tblW w:w="0" w:type="auto"/>
        <w:tblLook w:val="04A0" w:firstRow="1" w:lastRow="0" w:firstColumn="1" w:lastColumn="0" w:noHBand="0" w:noVBand="1"/>
      </w:tblPr>
      <w:tblGrid>
        <w:gridCol w:w="1129"/>
        <w:gridCol w:w="2835"/>
        <w:gridCol w:w="1560"/>
        <w:gridCol w:w="7654"/>
        <w:gridCol w:w="1234"/>
      </w:tblGrid>
      <w:tr w:rsidR="009C5A41" w:rsidRPr="00E542CF" w:rsidTr="00E43D2D">
        <w:tc>
          <w:tcPr>
            <w:tcW w:w="1129" w:type="dxa"/>
          </w:tcPr>
          <w:p w:rsidR="009C5A41" w:rsidRPr="00E542CF" w:rsidRDefault="009C5A41" w:rsidP="00E43D2D">
            <w:pPr>
              <w:spacing w:after="0"/>
              <w:jc w:val="left"/>
              <w:rPr>
                <w:rFonts w:cs="Arial"/>
                <w:sz w:val="16"/>
                <w:szCs w:val="16"/>
                <w:lang w:val="nl-BE"/>
              </w:rPr>
            </w:pPr>
            <w:r w:rsidRPr="00E542CF">
              <w:rPr>
                <w:rFonts w:cs="Arial"/>
                <w:b/>
                <w:bCs/>
                <w:sz w:val="16"/>
                <w:szCs w:val="16"/>
                <w:lang w:val="nl-BE"/>
              </w:rPr>
              <w:t>Timing</w:t>
            </w:r>
          </w:p>
        </w:tc>
        <w:tc>
          <w:tcPr>
            <w:tcW w:w="2835" w:type="dxa"/>
          </w:tcPr>
          <w:p w:rsidR="009C5A41" w:rsidRPr="00E542CF" w:rsidRDefault="009C5A41" w:rsidP="00E43D2D">
            <w:pPr>
              <w:spacing w:after="0"/>
              <w:jc w:val="left"/>
              <w:rPr>
                <w:rFonts w:cs="Arial"/>
                <w:sz w:val="16"/>
                <w:szCs w:val="16"/>
                <w:lang w:val="nl-BE"/>
              </w:rPr>
            </w:pPr>
            <w:r w:rsidRPr="00E542CF">
              <w:rPr>
                <w:rFonts w:cs="Arial"/>
                <w:b/>
                <w:bCs/>
                <w:sz w:val="16"/>
                <w:szCs w:val="16"/>
                <w:lang w:val="nl-BE"/>
              </w:rPr>
              <w:t>wat</w:t>
            </w:r>
          </w:p>
        </w:tc>
        <w:tc>
          <w:tcPr>
            <w:tcW w:w="1560" w:type="dxa"/>
          </w:tcPr>
          <w:p w:rsidR="009C5A41" w:rsidRPr="00E542CF" w:rsidRDefault="009C5A41" w:rsidP="00E43D2D">
            <w:pPr>
              <w:spacing w:after="0"/>
              <w:jc w:val="left"/>
              <w:rPr>
                <w:rFonts w:cs="Arial"/>
                <w:sz w:val="16"/>
                <w:szCs w:val="16"/>
                <w:lang w:val="nl-BE"/>
              </w:rPr>
            </w:pPr>
            <w:r w:rsidRPr="00E542CF">
              <w:rPr>
                <w:rFonts w:cs="Arial"/>
                <w:b/>
                <w:bCs/>
                <w:sz w:val="16"/>
                <w:szCs w:val="16"/>
                <w:lang w:val="nl-BE"/>
              </w:rPr>
              <w:t xml:space="preserve">Wie </w:t>
            </w:r>
          </w:p>
        </w:tc>
        <w:tc>
          <w:tcPr>
            <w:tcW w:w="7654" w:type="dxa"/>
          </w:tcPr>
          <w:p w:rsidR="009C5A41" w:rsidRPr="00E542CF" w:rsidRDefault="009C5A41" w:rsidP="00E43D2D">
            <w:pPr>
              <w:spacing w:after="0"/>
              <w:jc w:val="left"/>
              <w:rPr>
                <w:rFonts w:cs="Arial"/>
                <w:sz w:val="16"/>
                <w:szCs w:val="16"/>
                <w:lang w:val="nl-BE"/>
              </w:rPr>
            </w:pPr>
          </w:p>
        </w:tc>
        <w:tc>
          <w:tcPr>
            <w:tcW w:w="1234" w:type="dxa"/>
          </w:tcPr>
          <w:p w:rsidR="009C5A41" w:rsidRPr="00E542CF" w:rsidRDefault="009C5A41" w:rsidP="00E43D2D">
            <w:pPr>
              <w:spacing w:after="0"/>
              <w:jc w:val="left"/>
              <w:rPr>
                <w:rFonts w:cs="Arial"/>
                <w:sz w:val="16"/>
                <w:szCs w:val="16"/>
                <w:lang w:val="nl-BE"/>
              </w:rPr>
            </w:pPr>
            <w:proofErr w:type="spellStart"/>
            <w:r w:rsidRPr="00E542CF">
              <w:rPr>
                <w:rFonts w:cs="Arial"/>
                <w:b/>
                <w:bCs/>
                <w:sz w:val="16"/>
                <w:szCs w:val="16"/>
                <w:lang w:val="nl-BE"/>
              </w:rPr>
              <w:t>Finalisatie</w:t>
            </w:r>
            <w:proofErr w:type="spellEnd"/>
            <w:r w:rsidRPr="00E542CF">
              <w:rPr>
                <w:rFonts w:cs="Arial"/>
                <w:b/>
                <w:bCs/>
                <w:sz w:val="16"/>
                <w:szCs w:val="16"/>
                <w:lang w:val="nl-BE"/>
              </w:rPr>
              <w:t xml:space="preserve"> </w:t>
            </w:r>
          </w:p>
        </w:tc>
      </w:tr>
      <w:tr w:rsidR="009C5A41" w:rsidRPr="00E542CF" w:rsidTr="00E43D2D">
        <w:tc>
          <w:tcPr>
            <w:tcW w:w="1129" w:type="dxa"/>
            <w:vMerge w:val="restart"/>
          </w:tcPr>
          <w:p w:rsidR="009C5A41" w:rsidRPr="00E542CF" w:rsidRDefault="009C5A41" w:rsidP="00E43D2D">
            <w:pPr>
              <w:spacing w:after="0"/>
              <w:jc w:val="left"/>
              <w:rPr>
                <w:rFonts w:cs="Arial"/>
                <w:sz w:val="16"/>
                <w:szCs w:val="16"/>
                <w:lang w:val="nl-BE"/>
              </w:rPr>
            </w:pPr>
            <w:r w:rsidRPr="00E542CF">
              <w:rPr>
                <w:rFonts w:cs="Arial"/>
                <w:sz w:val="16"/>
                <w:szCs w:val="16"/>
                <w:lang w:val="nl-BE"/>
              </w:rPr>
              <w:t>Februari</w:t>
            </w:r>
          </w:p>
        </w:tc>
        <w:tc>
          <w:tcPr>
            <w:tcW w:w="2835"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Informatie alle medewerkers  FMO </w:t>
            </w:r>
          </w:p>
        </w:tc>
        <w:tc>
          <w:tcPr>
            <w:tcW w:w="1560"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MH</w:t>
            </w:r>
          </w:p>
        </w:tc>
        <w:tc>
          <w:tcPr>
            <w:tcW w:w="765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Verspreiding nota </w:t>
            </w:r>
          </w:p>
        </w:tc>
        <w:tc>
          <w:tcPr>
            <w:tcW w:w="1234" w:type="dxa"/>
          </w:tcPr>
          <w:p w:rsidR="009C5A41" w:rsidRPr="00E542CF" w:rsidRDefault="009C5A41" w:rsidP="00E43D2D">
            <w:pPr>
              <w:spacing w:after="0"/>
              <w:jc w:val="left"/>
              <w:rPr>
                <w:rFonts w:cs="Arial"/>
                <w:sz w:val="16"/>
                <w:szCs w:val="16"/>
                <w:lang w:val="nl-BE"/>
              </w:rPr>
            </w:pPr>
          </w:p>
        </w:tc>
      </w:tr>
      <w:tr w:rsidR="009C5A41" w:rsidRPr="00E542CF" w:rsidTr="00E43D2D">
        <w:tc>
          <w:tcPr>
            <w:tcW w:w="1129" w:type="dxa"/>
            <w:vMerge/>
          </w:tcPr>
          <w:p w:rsidR="009C5A41" w:rsidRPr="00E542CF" w:rsidRDefault="009C5A41" w:rsidP="00E43D2D">
            <w:pPr>
              <w:spacing w:after="0"/>
              <w:jc w:val="left"/>
              <w:rPr>
                <w:rFonts w:cs="Arial"/>
                <w:sz w:val="16"/>
                <w:szCs w:val="16"/>
                <w:lang w:val="nl-BE"/>
              </w:rPr>
            </w:pPr>
          </w:p>
        </w:tc>
        <w:tc>
          <w:tcPr>
            <w:tcW w:w="2835"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Opstart werkgroep </w:t>
            </w:r>
          </w:p>
        </w:tc>
        <w:tc>
          <w:tcPr>
            <w:tcW w:w="1560"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MH+SP+HL+AR</w:t>
            </w:r>
          </w:p>
        </w:tc>
        <w:tc>
          <w:tcPr>
            <w:tcW w:w="765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Uitwerken stappen nieuwe procedures  </w:t>
            </w:r>
          </w:p>
        </w:tc>
        <w:tc>
          <w:tcPr>
            <w:tcW w:w="123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Februari </w:t>
            </w:r>
          </w:p>
        </w:tc>
      </w:tr>
      <w:tr w:rsidR="009C5A41" w:rsidRPr="00E542CF" w:rsidTr="00E43D2D">
        <w:tc>
          <w:tcPr>
            <w:tcW w:w="1129" w:type="dxa"/>
            <w:vMerge/>
          </w:tcPr>
          <w:p w:rsidR="009C5A41" w:rsidRPr="00E542CF" w:rsidRDefault="009C5A41" w:rsidP="00E43D2D">
            <w:pPr>
              <w:spacing w:after="0"/>
              <w:jc w:val="left"/>
              <w:rPr>
                <w:rFonts w:cs="Arial"/>
                <w:sz w:val="16"/>
                <w:szCs w:val="16"/>
                <w:lang w:val="nl-BE"/>
              </w:rPr>
            </w:pPr>
          </w:p>
        </w:tc>
        <w:tc>
          <w:tcPr>
            <w:tcW w:w="2835"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DAMO</w:t>
            </w:r>
          </w:p>
        </w:tc>
        <w:tc>
          <w:tcPr>
            <w:tcW w:w="1560"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IT + SS + RD</w:t>
            </w:r>
          </w:p>
        </w:tc>
        <w:tc>
          <w:tcPr>
            <w:tcW w:w="765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Aanpassen DAMO</w:t>
            </w:r>
          </w:p>
        </w:tc>
        <w:tc>
          <w:tcPr>
            <w:tcW w:w="123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April </w:t>
            </w:r>
          </w:p>
        </w:tc>
      </w:tr>
      <w:tr w:rsidR="009C5A41" w:rsidRPr="00E542CF" w:rsidTr="00E43D2D">
        <w:tc>
          <w:tcPr>
            <w:tcW w:w="1129" w:type="dxa"/>
            <w:vMerge/>
          </w:tcPr>
          <w:p w:rsidR="009C5A41" w:rsidRPr="00E542CF" w:rsidRDefault="009C5A41" w:rsidP="00E43D2D">
            <w:pPr>
              <w:spacing w:after="0"/>
              <w:jc w:val="left"/>
              <w:rPr>
                <w:rFonts w:cs="Arial"/>
                <w:sz w:val="16"/>
                <w:szCs w:val="16"/>
                <w:lang w:val="nl-BE"/>
              </w:rPr>
            </w:pPr>
          </w:p>
        </w:tc>
        <w:tc>
          <w:tcPr>
            <w:tcW w:w="2835"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Voorbereiden documenten</w:t>
            </w:r>
          </w:p>
        </w:tc>
        <w:tc>
          <w:tcPr>
            <w:tcW w:w="1560"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SP</w:t>
            </w:r>
          </w:p>
          <w:p w:rsidR="009C5A41" w:rsidRPr="00E542CF" w:rsidRDefault="009C5A41" w:rsidP="00E43D2D">
            <w:pPr>
              <w:spacing w:after="0"/>
              <w:jc w:val="left"/>
              <w:rPr>
                <w:rFonts w:cs="Arial"/>
                <w:sz w:val="16"/>
                <w:szCs w:val="16"/>
                <w:lang w:val="nl-BE"/>
              </w:rPr>
            </w:pPr>
            <w:r w:rsidRPr="00E542CF">
              <w:rPr>
                <w:rFonts w:cs="Arial"/>
                <w:sz w:val="16"/>
                <w:szCs w:val="16"/>
                <w:lang w:val="nl-BE"/>
              </w:rPr>
              <w:t>MH</w:t>
            </w:r>
          </w:p>
        </w:tc>
        <w:tc>
          <w:tcPr>
            <w:tcW w:w="765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Template brief geen tussenkomst FMO </w:t>
            </w:r>
          </w:p>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Vragenlijst </w:t>
            </w:r>
          </w:p>
          <w:p w:rsidR="009C5A41" w:rsidRPr="00E542CF" w:rsidRDefault="009C5A41" w:rsidP="00E43D2D">
            <w:pPr>
              <w:numPr>
                <w:ilvl w:val="0"/>
                <w:numId w:val="14"/>
              </w:numPr>
              <w:spacing w:after="0"/>
              <w:contextualSpacing/>
              <w:jc w:val="left"/>
              <w:rPr>
                <w:rFonts w:cs="Arial"/>
                <w:sz w:val="16"/>
                <w:szCs w:val="16"/>
                <w:lang w:val="nl-BE"/>
              </w:rPr>
            </w:pPr>
            <w:r w:rsidRPr="00E542CF">
              <w:rPr>
                <w:rFonts w:cs="Arial"/>
                <w:sz w:val="16"/>
                <w:szCs w:val="16"/>
                <w:lang w:val="nl-BE"/>
              </w:rPr>
              <w:t xml:space="preserve">Opstellen vragenlijst </w:t>
            </w:r>
            <w:proofErr w:type="spellStart"/>
            <w:r w:rsidRPr="00E542CF">
              <w:rPr>
                <w:rFonts w:cs="Arial"/>
                <w:sz w:val="16"/>
                <w:szCs w:val="16"/>
                <w:lang w:val="nl-BE"/>
              </w:rPr>
              <w:t>Ndl</w:t>
            </w:r>
            <w:proofErr w:type="spellEnd"/>
            <w:r w:rsidRPr="00E542CF">
              <w:rPr>
                <w:rFonts w:cs="Arial"/>
                <w:sz w:val="16"/>
                <w:szCs w:val="16"/>
                <w:lang w:val="nl-BE"/>
              </w:rPr>
              <w:t>/</w:t>
            </w:r>
            <w:proofErr w:type="spellStart"/>
            <w:r w:rsidRPr="00E542CF">
              <w:rPr>
                <w:rFonts w:cs="Arial"/>
                <w:sz w:val="16"/>
                <w:szCs w:val="16"/>
                <w:lang w:val="nl-BE"/>
              </w:rPr>
              <w:t>fr</w:t>
            </w:r>
            <w:proofErr w:type="spellEnd"/>
          </w:p>
          <w:p w:rsidR="009C5A41" w:rsidRPr="00E542CF" w:rsidRDefault="009C5A41" w:rsidP="00E43D2D">
            <w:pPr>
              <w:numPr>
                <w:ilvl w:val="0"/>
                <w:numId w:val="14"/>
              </w:numPr>
              <w:spacing w:after="0"/>
              <w:contextualSpacing/>
              <w:jc w:val="left"/>
              <w:rPr>
                <w:rFonts w:cs="Arial"/>
                <w:sz w:val="16"/>
                <w:szCs w:val="16"/>
                <w:lang w:val="nl-BE"/>
              </w:rPr>
            </w:pPr>
            <w:r w:rsidRPr="00E542CF">
              <w:rPr>
                <w:rFonts w:cs="Arial"/>
                <w:sz w:val="16"/>
                <w:szCs w:val="16"/>
                <w:lang w:val="nl-BE"/>
              </w:rPr>
              <w:t xml:space="preserve">Model factuur </w:t>
            </w:r>
          </w:p>
          <w:p w:rsidR="009C5A41" w:rsidRPr="00E542CF" w:rsidRDefault="009C5A41" w:rsidP="00E43D2D">
            <w:pPr>
              <w:numPr>
                <w:ilvl w:val="0"/>
                <w:numId w:val="14"/>
              </w:numPr>
              <w:spacing w:after="0"/>
              <w:contextualSpacing/>
              <w:jc w:val="left"/>
              <w:rPr>
                <w:rFonts w:cs="Arial"/>
                <w:sz w:val="16"/>
                <w:szCs w:val="16"/>
                <w:lang w:val="nl-BE"/>
              </w:rPr>
            </w:pPr>
            <w:r w:rsidRPr="00E542CF">
              <w:rPr>
                <w:rFonts w:cs="Arial"/>
                <w:sz w:val="16"/>
                <w:szCs w:val="16"/>
                <w:lang w:val="nl-BE"/>
              </w:rPr>
              <w:t xml:space="preserve">Begeleidende brief </w:t>
            </w:r>
          </w:p>
        </w:tc>
        <w:tc>
          <w:tcPr>
            <w:tcW w:w="123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Februari </w:t>
            </w:r>
          </w:p>
        </w:tc>
      </w:tr>
      <w:tr w:rsidR="009C5A41" w:rsidRPr="00E542CF" w:rsidTr="00E43D2D">
        <w:tc>
          <w:tcPr>
            <w:tcW w:w="1129" w:type="dxa"/>
            <w:vMerge/>
          </w:tcPr>
          <w:p w:rsidR="009C5A41" w:rsidRPr="00E542CF" w:rsidRDefault="009C5A41" w:rsidP="00E43D2D">
            <w:pPr>
              <w:spacing w:after="0"/>
              <w:jc w:val="left"/>
              <w:rPr>
                <w:rFonts w:cs="Arial"/>
                <w:sz w:val="16"/>
                <w:szCs w:val="16"/>
                <w:lang w:val="nl-BE"/>
              </w:rPr>
            </w:pPr>
          </w:p>
        </w:tc>
        <w:tc>
          <w:tcPr>
            <w:tcW w:w="2835" w:type="dxa"/>
            <w:vMerge w:val="restart"/>
          </w:tcPr>
          <w:p w:rsidR="009C5A41" w:rsidRPr="00E542CF" w:rsidRDefault="009C5A41" w:rsidP="00E43D2D">
            <w:pPr>
              <w:spacing w:after="0"/>
              <w:jc w:val="left"/>
              <w:rPr>
                <w:rFonts w:cs="Arial"/>
                <w:sz w:val="16"/>
                <w:szCs w:val="16"/>
                <w:lang w:val="nl-BE"/>
              </w:rPr>
            </w:pPr>
            <w:r w:rsidRPr="00E542CF">
              <w:rPr>
                <w:rFonts w:cs="Arial"/>
                <w:sz w:val="16"/>
                <w:szCs w:val="16"/>
                <w:lang w:val="nl-BE"/>
              </w:rPr>
              <w:t>Analyse dossiers</w:t>
            </w:r>
          </w:p>
        </w:tc>
        <w:tc>
          <w:tcPr>
            <w:tcW w:w="1560"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AR</w:t>
            </w:r>
          </w:p>
        </w:tc>
        <w:tc>
          <w:tcPr>
            <w:tcW w:w="765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Controle: Beschikbare info in dossiers </w:t>
            </w:r>
          </w:p>
          <w:p w:rsidR="009C5A41" w:rsidRPr="00E542CF" w:rsidRDefault="009C5A41" w:rsidP="00E43D2D">
            <w:pPr>
              <w:numPr>
                <w:ilvl w:val="0"/>
                <w:numId w:val="14"/>
              </w:numPr>
              <w:spacing w:after="0"/>
              <w:contextualSpacing/>
              <w:jc w:val="left"/>
              <w:rPr>
                <w:rFonts w:cs="Arial"/>
                <w:sz w:val="16"/>
                <w:szCs w:val="16"/>
                <w:lang w:val="nl-BE"/>
              </w:rPr>
            </w:pPr>
            <w:r w:rsidRPr="00E542CF">
              <w:rPr>
                <w:rFonts w:cs="Arial"/>
                <w:sz w:val="16"/>
                <w:szCs w:val="16"/>
                <w:lang w:val="nl-BE"/>
              </w:rPr>
              <w:t>Dossiers nieuwe aanpak van bij het begin  : medisch dossier/info VI &lt; 65j + vragenlijst 1</w:t>
            </w:r>
          </w:p>
          <w:p w:rsidR="009C5A41" w:rsidRPr="00E542CF" w:rsidRDefault="009C5A41" w:rsidP="00E966CC">
            <w:pPr>
              <w:numPr>
                <w:ilvl w:val="0"/>
                <w:numId w:val="14"/>
              </w:numPr>
              <w:spacing w:after="0"/>
              <w:contextualSpacing/>
              <w:jc w:val="left"/>
              <w:rPr>
                <w:rFonts w:cs="Arial"/>
                <w:sz w:val="16"/>
                <w:szCs w:val="16"/>
                <w:lang w:val="nl-BE"/>
              </w:rPr>
            </w:pPr>
            <w:r w:rsidRPr="00E542CF">
              <w:rPr>
                <w:rFonts w:cs="Arial"/>
                <w:sz w:val="16"/>
                <w:szCs w:val="16"/>
                <w:lang w:val="nl-BE"/>
              </w:rPr>
              <w:t xml:space="preserve">Dossiers nieuwe aanpak na fase 1 </w:t>
            </w:r>
          </w:p>
        </w:tc>
        <w:tc>
          <w:tcPr>
            <w:tcW w:w="123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Eind maart </w:t>
            </w:r>
          </w:p>
        </w:tc>
      </w:tr>
      <w:tr w:rsidR="009C5A41" w:rsidRPr="00E542CF" w:rsidTr="00E43D2D">
        <w:tc>
          <w:tcPr>
            <w:tcW w:w="1129" w:type="dxa"/>
            <w:vMerge/>
          </w:tcPr>
          <w:p w:rsidR="009C5A41" w:rsidRPr="00E542CF" w:rsidRDefault="009C5A41" w:rsidP="00E43D2D">
            <w:pPr>
              <w:spacing w:after="0"/>
              <w:jc w:val="left"/>
              <w:rPr>
                <w:rFonts w:cs="Arial"/>
                <w:sz w:val="16"/>
                <w:szCs w:val="16"/>
                <w:lang w:val="nl-BE"/>
              </w:rPr>
            </w:pPr>
          </w:p>
        </w:tc>
        <w:tc>
          <w:tcPr>
            <w:tcW w:w="2835" w:type="dxa"/>
            <w:vMerge/>
          </w:tcPr>
          <w:p w:rsidR="009C5A41" w:rsidRPr="00E542CF" w:rsidRDefault="009C5A41" w:rsidP="00E43D2D">
            <w:pPr>
              <w:spacing w:after="0"/>
              <w:jc w:val="left"/>
              <w:rPr>
                <w:rFonts w:cs="Arial"/>
                <w:sz w:val="16"/>
                <w:szCs w:val="16"/>
                <w:lang w:val="nl-BE"/>
              </w:rPr>
            </w:pPr>
          </w:p>
        </w:tc>
        <w:tc>
          <w:tcPr>
            <w:tcW w:w="1560"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AR en SP </w:t>
            </w:r>
          </w:p>
        </w:tc>
        <w:tc>
          <w:tcPr>
            <w:tcW w:w="765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Invoer nieuwe aanpak voor dossiers in lopende expertise </w:t>
            </w:r>
          </w:p>
          <w:p w:rsidR="009C5A41" w:rsidRPr="00E542CF" w:rsidRDefault="009C5A41" w:rsidP="00E43D2D">
            <w:pPr>
              <w:numPr>
                <w:ilvl w:val="0"/>
                <w:numId w:val="14"/>
              </w:numPr>
              <w:spacing w:after="0"/>
              <w:contextualSpacing/>
              <w:jc w:val="left"/>
              <w:rPr>
                <w:rFonts w:cs="Arial"/>
                <w:sz w:val="16"/>
                <w:szCs w:val="16"/>
                <w:lang w:val="nl-BE"/>
              </w:rPr>
            </w:pPr>
            <w:r w:rsidRPr="00E542CF">
              <w:rPr>
                <w:rFonts w:cs="Arial"/>
                <w:sz w:val="16"/>
                <w:szCs w:val="16"/>
                <w:lang w:val="nl-BE"/>
              </w:rPr>
              <w:t>Afsluiting met brief</w:t>
            </w:r>
          </w:p>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Afsluiting met advies </w:t>
            </w:r>
            <w:proofErr w:type="spellStart"/>
            <w:r w:rsidRPr="00E542CF">
              <w:rPr>
                <w:rFonts w:cs="Arial"/>
                <w:sz w:val="16"/>
                <w:szCs w:val="16"/>
                <w:lang w:val="nl-BE"/>
              </w:rPr>
              <w:t>evt</w:t>
            </w:r>
            <w:proofErr w:type="spellEnd"/>
            <w:r w:rsidRPr="00E542CF">
              <w:rPr>
                <w:rFonts w:cs="Arial"/>
                <w:sz w:val="16"/>
                <w:szCs w:val="16"/>
                <w:lang w:val="nl-BE"/>
              </w:rPr>
              <w:t xml:space="preserve"> na MLO </w:t>
            </w:r>
          </w:p>
        </w:tc>
        <w:tc>
          <w:tcPr>
            <w:tcW w:w="123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Maart </w:t>
            </w:r>
          </w:p>
        </w:tc>
      </w:tr>
      <w:tr w:rsidR="009C5A41" w:rsidRPr="00E542CF" w:rsidTr="00E43D2D">
        <w:tc>
          <w:tcPr>
            <w:tcW w:w="1129" w:type="dxa"/>
            <w:vMerge/>
          </w:tcPr>
          <w:p w:rsidR="009C5A41" w:rsidRPr="00E542CF" w:rsidRDefault="009C5A41" w:rsidP="00E43D2D">
            <w:pPr>
              <w:spacing w:after="0"/>
              <w:jc w:val="left"/>
              <w:rPr>
                <w:rFonts w:cs="Arial"/>
                <w:sz w:val="16"/>
                <w:szCs w:val="16"/>
                <w:lang w:val="nl-BE"/>
              </w:rPr>
            </w:pPr>
          </w:p>
        </w:tc>
        <w:tc>
          <w:tcPr>
            <w:tcW w:w="2835"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Communicatie</w:t>
            </w:r>
          </w:p>
        </w:tc>
        <w:tc>
          <w:tcPr>
            <w:tcW w:w="1560"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MS en HL</w:t>
            </w:r>
          </w:p>
          <w:p w:rsidR="009C5A41" w:rsidRPr="00E542CF" w:rsidRDefault="009C5A41" w:rsidP="00E43D2D">
            <w:pPr>
              <w:spacing w:after="0"/>
              <w:jc w:val="left"/>
              <w:rPr>
                <w:rFonts w:cs="Arial"/>
                <w:sz w:val="16"/>
                <w:szCs w:val="16"/>
                <w:lang w:val="nl-BE"/>
              </w:rPr>
            </w:pPr>
            <w:r w:rsidRPr="00E542CF">
              <w:rPr>
                <w:rFonts w:cs="Arial"/>
                <w:sz w:val="16"/>
                <w:szCs w:val="16"/>
                <w:lang w:val="nl-BE"/>
              </w:rPr>
              <w:t>MS en AR</w:t>
            </w:r>
          </w:p>
        </w:tc>
        <w:tc>
          <w:tcPr>
            <w:tcW w:w="765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Op site RIZIV vragenlijst en instructies </w:t>
            </w:r>
          </w:p>
          <w:p w:rsidR="009C5A41" w:rsidRPr="00E542CF" w:rsidRDefault="009C5A41" w:rsidP="00E43D2D">
            <w:pPr>
              <w:spacing w:after="0"/>
              <w:jc w:val="left"/>
              <w:rPr>
                <w:rFonts w:cs="Arial"/>
                <w:sz w:val="16"/>
                <w:szCs w:val="16"/>
                <w:lang w:val="nl-BE"/>
              </w:rPr>
            </w:pPr>
            <w:r w:rsidRPr="00E542CF">
              <w:rPr>
                <w:rFonts w:cs="Arial"/>
                <w:sz w:val="16"/>
                <w:szCs w:val="16"/>
                <w:lang w:val="nl-BE"/>
              </w:rPr>
              <w:t>Aanpassing aanvraagformulier (medisch dossier, info VI)</w:t>
            </w:r>
          </w:p>
        </w:tc>
        <w:tc>
          <w:tcPr>
            <w:tcW w:w="123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Februari </w:t>
            </w:r>
          </w:p>
        </w:tc>
      </w:tr>
      <w:tr w:rsidR="009C5A41" w:rsidRPr="00E542CF" w:rsidTr="00E43D2D">
        <w:tc>
          <w:tcPr>
            <w:tcW w:w="1129"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Maart</w:t>
            </w:r>
          </w:p>
        </w:tc>
        <w:tc>
          <w:tcPr>
            <w:tcW w:w="2835" w:type="dxa"/>
          </w:tcPr>
          <w:p w:rsidR="009C5A41" w:rsidRPr="00E542CF" w:rsidRDefault="009C5A41" w:rsidP="00E43D2D">
            <w:pPr>
              <w:spacing w:after="0"/>
              <w:jc w:val="left"/>
              <w:rPr>
                <w:rFonts w:cs="Arial"/>
                <w:sz w:val="16"/>
                <w:szCs w:val="16"/>
                <w:lang w:val="nl-BE"/>
              </w:rPr>
            </w:pPr>
          </w:p>
        </w:tc>
        <w:tc>
          <w:tcPr>
            <w:tcW w:w="1560"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AR + HL</w:t>
            </w:r>
          </w:p>
        </w:tc>
        <w:tc>
          <w:tcPr>
            <w:tcW w:w="765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Start nieuwe procedure met verzenden eerste vragenlijsten en vragen medisch dossier en info VI voor nieuwe dossiers </w:t>
            </w:r>
          </w:p>
        </w:tc>
        <w:tc>
          <w:tcPr>
            <w:tcW w:w="1234" w:type="dxa"/>
          </w:tcPr>
          <w:p w:rsidR="009C5A41" w:rsidRPr="00E542CF" w:rsidRDefault="009C5A41" w:rsidP="00E43D2D">
            <w:pPr>
              <w:spacing w:after="0"/>
              <w:jc w:val="left"/>
              <w:rPr>
                <w:rFonts w:cs="Arial"/>
                <w:sz w:val="16"/>
                <w:szCs w:val="16"/>
                <w:lang w:val="nl-BE"/>
              </w:rPr>
            </w:pPr>
          </w:p>
        </w:tc>
      </w:tr>
      <w:tr w:rsidR="009C5A41" w:rsidRPr="00E542CF" w:rsidTr="00E43D2D">
        <w:tc>
          <w:tcPr>
            <w:tcW w:w="1129"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Juni</w:t>
            </w:r>
          </w:p>
        </w:tc>
        <w:tc>
          <w:tcPr>
            <w:tcW w:w="2835" w:type="dxa"/>
          </w:tcPr>
          <w:p w:rsidR="009C5A41" w:rsidRPr="00E542CF" w:rsidRDefault="009C5A41" w:rsidP="00E43D2D">
            <w:pPr>
              <w:spacing w:after="0"/>
              <w:jc w:val="left"/>
              <w:rPr>
                <w:rFonts w:cs="Arial"/>
                <w:sz w:val="16"/>
                <w:szCs w:val="16"/>
                <w:lang w:val="nl-BE"/>
              </w:rPr>
            </w:pPr>
          </w:p>
        </w:tc>
        <w:tc>
          <w:tcPr>
            <w:tcW w:w="1560"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MH+SP+AR+HL</w:t>
            </w:r>
          </w:p>
        </w:tc>
        <w:tc>
          <w:tcPr>
            <w:tcW w:w="7654" w:type="dxa"/>
          </w:tcPr>
          <w:p w:rsidR="009C5A41" w:rsidRPr="00E542CF" w:rsidRDefault="009C5A41" w:rsidP="00E43D2D">
            <w:pPr>
              <w:spacing w:after="0"/>
              <w:jc w:val="left"/>
              <w:rPr>
                <w:rFonts w:cs="Arial"/>
                <w:sz w:val="16"/>
                <w:szCs w:val="16"/>
                <w:lang w:val="nl-BE"/>
              </w:rPr>
            </w:pPr>
            <w:r w:rsidRPr="00E542CF">
              <w:rPr>
                <w:rFonts w:cs="Arial"/>
                <w:sz w:val="16"/>
                <w:szCs w:val="16"/>
                <w:lang w:val="nl-BE"/>
              </w:rPr>
              <w:t xml:space="preserve">Evaluatie van de nieuwe werkwijze </w:t>
            </w:r>
          </w:p>
        </w:tc>
        <w:tc>
          <w:tcPr>
            <w:tcW w:w="1234" w:type="dxa"/>
          </w:tcPr>
          <w:p w:rsidR="009C5A41" w:rsidRPr="00E542CF" w:rsidRDefault="009C5A41" w:rsidP="00E43D2D">
            <w:pPr>
              <w:spacing w:after="0"/>
              <w:jc w:val="left"/>
              <w:rPr>
                <w:rFonts w:cs="Arial"/>
                <w:sz w:val="16"/>
                <w:szCs w:val="16"/>
                <w:lang w:val="nl-BE"/>
              </w:rPr>
            </w:pPr>
          </w:p>
        </w:tc>
      </w:tr>
    </w:tbl>
    <w:p w:rsidR="00366B46" w:rsidRDefault="00366B46" w:rsidP="009C5A41">
      <w:pPr>
        <w:rPr>
          <w:rFonts w:cs="Arial"/>
          <w:sz w:val="16"/>
          <w:szCs w:val="16"/>
          <w:lang w:val="nl-BE"/>
        </w:rPr>
      </w:pPr>
    </w:p>
    <w:p w:rsidR="00366B46" w:rsidRDefault="00366B46">
      <w:pPr>
        <w:spacing w:after="0"/>
        <w:jc w:val="left"/>
        <w:rPr>
          <w:rFonts w:cs="Arial"/>
          <w:b/>
          <w:bCs/>
          <w:sz w:val="20"/>
        </w:rPr>
      </w:pPr>
      <w:r>
        <w:rPr>
          <w:rFonts w:cs="Arial"/>
          <w:b/>
          <w:bCs/>
          <w:sz w:val="20"/>
        </w:rPr>
        <w:br w:type="page"/>
      </w:r>
    </w:p>
    <w:p w:rsidR="00366B46" w:rsidRPr="00366B46" w:rsidRDefault="00366B46" w:rsidP="00366B46">
      <w:pPr>
        <w:pStyle w:val="FootnoteText"/>
        <w:numPr>
          <w:ilvl w:val="0"/>
          <w:numId w:val="18"/>
        </w:numPr>
        <w:pBdr>
          <w:top w:val="single" w:sz="4" w:space="1" w:color="auto"/>
          <w:left w:val="single" w:sz="4" w:space="4" w:color="auto"/>
          <w:bottom w:val="single" w:sz="4" w:space="1" w:color="auto"/>
          <w:right w:val="single" w:sz="4" w:space="4" w:color="auto"/>
        </w:pBdr>
        <w:spacing w:after="0" w:line="240" w:lineRule="auto"/>
        <w:rPr>
          <w:rFonts w:cs="Arial"/>
          <w:b/>
          <w:bCs/>
          <w:sz w:val="20"/>
        </w:rPr>
      </w:pPr>
      <w:r w:rsidRPr="00366B46">
        <w:rPr>
          <w:rFonts w:cs="Arial"/>
          <w:b/>
          <w:bCs/>
          <w:sz w:val="20"/>
        </w:rPr>
        <w:lastRenderedPageBreak/>
        <w:t xml:space="preserve">Samenstellen </w:t>
      </w:r>
      <w:proofErr w:type="spellStart"/>
      <w:r w:rsidRPr="00366B46">
        <w:rPr>
          <w:rFonts w:cs="Arial"/>
          <w:b/>
          <w:bCs/>
          <w:sz w:val="20"/>
        </w:rPr>
        <w:t>Task</w:t>
      </w:r>
      <w:proofErr w:type="spellEnd"/>
      <w:r w:rsidRPr="00366B46">
        <w:rPr>
          <w:rFonts w:cs="Arial"/>
          <w:b/>
          <w:bCs/>
          <w:sz w:val="20"/>
        </w:rPr>
        <w:t xml:space="preserve"> Force</w:t>
      </w:r>
    </w:p>
    <w:p w:rsidR="00366B46" w:rsidRDefault="00366B46" w:rsidP="009C5A41">
      <w:pPr>
        <w:rPr>
          <w:rFonts w:cs="Arial"/>
          <w:sz w:val="16"/>
          <w:szCs w:val="16"/>
          <w:lang w:val="nl-BE"/>
        </w:rPr>
      </w:pPr>
    </w:p>
    <w:tbl>
      <w:tblPr>
        <w:tblStyle w:val="TableGrid"/>
        <w:tblW w:w="14412" w:type="dxa"/>
        <w:tblLook w:val="04A0" w:firstRow="1" w:lastRow="0" w:firstColumn="1" w:lastColumn="0" w:noHBand="0" w:noVBand="1"/>
      </w:tblPr>
      <w:tblGrid>
        <w:gridCol w:w="2295"/>
        <w:gridCol w:w="2361"/>
        <w:gridCol w:w="9756"/>
      </w:tblGrid>
      <w:tr w:rsidR="009C5A41" w:rsidRPr="00E542CF" w:rsidTr="00E43D2D">
        <w:tc>
          <w:tcPr>
            <w:tcW w:w="2295" w:type="dxa"/>
          </w:tcPr>
          <w:p w:rsidR="009C5A41" w:rsidRPr="007732A0" w:rsidRDefault="009C5A41" w:rsidP="00E43D2D">
            <w:pPr>
              <w:spacing w:after="0"/>
              <w:jc w:val="left"/>
              <w:rPr>
                <w:rFonts w:cs="Arial"/>
                <w:b/>
                <w:bCs/>
                <w:sz w:val="16"/>
                <w:szCs w:val="16"/>
                <w:lang w:val="en-GB"/>
              </w:rPr>
            </w:pPr>
            <w:r w:rsidRPr="007732A0">
              <w:rPr>
                <w:rFonts w:cs="Arial"/>
                <w:b/>
                <w:bCs/>
                <w:sz w:val="16"/>
                <w:szCs w:val="16"/>
                <w:lang w:val="en-GB"/>
              </w:rPr>
              <w:t>Timing</w:t>
            </w:r>
          </w:p>
        </w:tc>
        <w:tc>
          <w:tcPr>
            <w:tcW w:w="2361" w:type="dxa"/>
          </w:tcPr>
          <w:p w:rsidR="009C5A41" w:rsidRPr="007732A0" w:rsidRDefault="009C5A41" w:rsidP="00E43D2D">
            <w:pPr>
              <w:spacing w:after="0"/>
              <w:jc w:val="left"/>
              <w:rPr>
                <w:rFonts w:cs="Arial"/>
                <w:b/>
                <w:bCs/>
                <w:sz w:val="16"/>
                <w:szCs w:val="16"/>
                <w:lang w:val="en-GB"/>
              </w:rPr>
            </w:pPr>
            <w:proofErr w:type="spellStart"/>
            <w:r w:rsidRPr="007732A0">
              <w:rPr>
                <w:rFonts w:cs="Arial"/>
                <w:b/>
                <w:bCs/>
                <w:sz w:val="16"/>
                <w:szCs w:val="16"/>
                <w:lang w:val="en-GB"/>
              </w:rPr>
              <w:t>Wie</w:t>
            </w:r>
            <w:proofErr w:type="spellEnd"/>
          </w:p>
        </w:tc>
        <w:tc>
          <w:tcPr>
            <w:tcW w:w="9756" w:type="dxa"/>
          </w:tcPr>
          <w:p w:rsidR="009C5A41" w:rsidRPr="007732A0" w:rsidRDefault="009C5A41" w:rsidP="00E43D2D">
            <w:pPr>
              <w:spacing w:after="0"/>
              <w:jc w:val="left"/>
              <w:rPr>
                <w:rFonts w:cs="Arial"/>
                <w:b/>
                <w:bCs/>
                <w:sz w:val="16"/>
                <w:szCs w:val="16"/>
                <w:lang w:val="nl-BE"/>
              </w:rPr>
            </w:pPr>
            <w:r w:rsidRPr="007732A0">
              <w:rPr>
                <w:rFonts w:cs="Arial"/>
                <w:b/>
                <w:bCs/>
                <w:sz w:val="16"/>
                <w:szCs w:val="16"/>
                <w:lang w:val="en-GB"/>
              </w:rPr>
              <w:t>Wat</w:t>
            </w:r>
          </w:p>
        </w:tc>
      </w:tr>
      <w:tr w:rsidR="009C5A41" w:rsidRPr="00E542CF" w:rsidTr="00E43D2D">
        <w:tc>
          <w:tcPr>
            <w:tcW w:w="2295" w:type="dxa"/>
            <w:vMerge w:val="restart"/>
          </w:tcPr>
          <w:p w:rsidR="009C5A41" w:rsidRPr="000F75B8" w:rsidRDefault="009C5A41" w:rsidP="00E43D2D">
            <w:pPr>
              <w:spacing w:after="0"/>
              <w:jc w:val="left"/>
              <w:rPr>
                <w:rFonts w:cs="Arial"/>
                <w:sz w:val="16"/>
                <w:szCs w:val="16"/>
                <w:lang w:val="en-GB"/>
              </w:rPr>
            </w:pPr>
            <w:proofErr w:type="spellStart"/>
            <w:r>
              <w:rPr>
                <w:rFonts w:cs="Arial"/>
                <w:sz w:val="16"/>
                <w:szCs w:val="16"/>
                <w:lang w:val="en-GB"/>
              </w:rPr>
              <w:t>Februari</w:t>
            </w:r>
            <w:proofErr w:type="spellEnd"/>
          </w:p>
        </w:tc>
        <w:tc>
          <w:tcPr>
            <w:tcW w:w="2361" w:type="dxa"/>
          </w:tcPr>
          <w:p w:rsidR="009C5A41" w:rsidRPr="000F75B8" w:rsidRDefault="009C5A41" w:rsidP="00E43D2D">
            <w:pPr>
              <w:spacing w:after="0"/>
              <w:jc w:val="left"/>
              <w:rPr>
                <w:rFonts w:cs="Arial"/>
                <w:sz w:val="16"/>
                <w:szCs w:val="16"/>
                <w:lang w:val="nl-BE"/>
              </w:rPr>
            </w:pPr>
            <w:r w:rsidRPr="000F75B8">
              <w:rPr>
                <w:rFonts w:cs="Arial"/>
                <w:sz w:val="16"/>
                <w:szCs w:val="16"/>
                <w:lang w:val="en-GB"/>
              </w:rPr>
              <w:t xml:space="preserve">HR </w:t>
            </w: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 xml:space="preserve">Goedkeuring openstellen van betrekking dossierbeheerders EWE 3 </w:t>
            </w:r>
            <w:proofErr w:type="spellStart"/>
            <w:r w:rsidRPr="000F75B8">
              <w:rPr>
                <w:rFonts w:cs="Arial"/>
                <w:sz w:val="16"/>
                <w:szCs w:val="16"/>
                <w:lang w:val="nl-BE"/>
              </w:rPr>
              <w:t>Ndl</w:t>
            </w:r>
            <w:proofErr w:type="spellEnd"/>
            <w:r w:rsidRPr="000F75B8">
              <w:rPr>
                <w:rFonts w:cs="Arial"/>
                <w:sz w:val="16"/>
                <w:szCs w:val="16"/>
                <w:lang w:val="nl-BE"/>
              </w:rPr>
              <w:t xml:space="preserve">/3 Fr </w:t>
            </w:r>
          </w:p>
          <w:p w:rsidR="009C5A41" w:rsidRPr="00E542CF" w:rsidRDefault="009C5A41" w:rsidP="00E43D2D">
            <w:pPr>
              <w:spacing w:after="0"/>
              <w:jc w:val="left"/>
              <w:rPr>
                <w:rFonts w:cs="Arial"/>
                <w:sz w:val="16"/>
                <w:szCs w:val="16"/>
                <w:lang w:val="nl-BE"/>
              </w:rPr>
            </w:pPr>
            <w:r w:rsidRPr="000F75B8">
              <w:rPr>
                <w:rFonts w:cs="Arial"/>
                <w:sz w:val="16"/>
                <w:szCs w:val="16"/>
                <w:lang w:val="nl-BE"/>
              </w:rPr>
              <w:t>Functiebeschrijving dossierbeheerder aan RH via startbaanovereenkomst</w:t>
            </w:r>
          </w:p>
        </w:tc>
      </w:tr>
      <w:tr w:rsidR="009C5A41" w:rsidRPr="00E542CF" w:rsidTr="00E43D2D">
        <w:tc>
          <w:tcPr>
            <w:tcW w:w="2295" w:type="dxa"/>
            <w:vMerge/>
          </w:tcPr>
          <w:p w:rsidR="009C5A41" w:rsidRPr="000F75B8" w:rsidRDefault="009C5A41" w:rsidP="00E43D2D">
            <w:pPr>
              <w:spacing w:after="0"/>
              <w:jc w:val="left"/>
              <w:rPr>
                <w:rFonts w:cs="Arial"/>
                <w:sz w:val="16"/>
                <w:szCs w:val="16"/>
                <w:lang w:val="nl-BE"/>
              </w:rPr>
            </w:pPr>
          </w:p>
        </w:tc>
        <w:tc>
          <w:tcPr>
            <w:tcW w:w="2361"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HR</w:t>
            </w: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 xml:space="preserve">publicatie/vacature op website Riziv en andere kanalen 3 weken </w:t>
            </w:r>
          </w:p>
          <w:p w:rsidR="009C5A41" w:rsidRPr="00E542CF" w:rsidRDefault="009C5A41" w:rsidP="00E43D2D">
            <w:pPr>
              <w:spacing w:after="0"/>
              <w:jc w:val="left"/>
              <w:rPr>
                <w:rFonts w:cs="Arial"/>
                <w:sz w:val="16"/>
                <w:szCs w:val="16"/>
                <w:lang w:val="nl-BE"/>
              </w:rPr>
            </w:pPr>
            <w:r w:rsidRPr="000F75B8">
              <w:rPr>
                <w:rFonts w:cs="Arial"/>
                <w:sz w:val="16"/>
                <w:szCs w:val="16"/>
                <w:lang w:val="nl-BE"/>
              </w:rPr>
              <w:t xml:space="preserve">Planning selectieprocedure – samenstelling jury </w:t>
            </w:r>
          </w:p>
        </w:tc>
      </w:tr>
      <w:tr w:rsidR="009C5A41" w:rsidRPr="00E542CF" w:rsidTr="00E43D2D">
        <w:tc>
          <w:tcPr>
            <w:tcW w:w="2295" w:type="dxa"/>
            <w:vMerge/>
          </w:tcPr>
          <w:p w:rsidR="009C5A41" w:rsidRPr="000F75B8" w:rsidRDefault="009C5A41" w:rsidP="00E43D2D">
            <w:pPr>
              <w:spacing w:after="0"/>
              <w:jc w:val="left"/>
              <w:rPr>
                <w:rFonts w:cs="Arial"/>
                <w:sz w:val="16"/>
                <w:szCs w:val="16"/>
                <w:lang w:val="en-GB"/>
              </w:rPr>
            </w:pPr>
          </w:p>
        </w:tc>
        <w:tc>
          <w:tcPr>
            <w:tcW w:w="2361" w:type="dxa"/>
          </w:tcPr>
          <w:p w:rsidR="009C5A41" w:rsidRPr="000F75B8" w:rsidRDefault="009C5A41" w:rsidP="00E43D2D">
            <w:pPr>
              <w:spacing w:after="0"/>
              <w:jc w:val="left"/>
              <w:rPr>
                <w:rFonts w:cs="Arial"/>
                <w:sz w:val="16"/>
                <w:szCs w:val="16"/>
                <w:lang w:val="nl-BE"/>
              </w:rPr>
            </w:pPr>
            <w:r w:rsidRPr="000F75B8">
              <w:rPr>
                <w:rFonts w:cs="Arial"/>
                <w:sz w:val="16"/>
                <w:szCs w:val="16"/>
                <w:lang w:val="en-GB"/>
              </w:rPr>
              <w:t xml:space="preserve">HL = MH </w:t>
            </w: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Opdracht en samenwerkingsmodel externe arts (analyse Ernst en Indicatie aansprakelijkheid )</w:t>
            </w:r>
          </w:p>
          <w:p w:rsidR="009C5A41" w:rsidRPr="00E542CF" w:rsidRDefault="009C5A41" w:rsidP="00E43D2D">
            <w:pPr>
              <w:spacing w:after="0"/>
              <w:jc w:val="left"/>
              <w:rPr>
                <w:rFonts w:cs="Arial"/>
                <w:sz w:val="16"/>
                <w:szCs w:val="16"/>
                <w:lang w:val="nl-BE"/>
              </w:rPr>
            </w:pPr>
          </w:p>
        </w:tc>
      </w:tr>
      <w:tr w:rsidR="009C5A41" w:rsidRPr="00E542CF" w:rsidTr="00E43D2D">
        <w:tc>
          <w:tcPr>
            <w:tcW w:w="2295" w:type="dxa"/>
            <w:vMerge/>
          </w:tcPr>
          <w:p w:rsidR="009C5A41" w:rsidRPr="000F75B8" w:rsidRDefault="009C5A41" w:rsidP="00E43D2D">
            <w:pPr>
              <w:spacing w:after="0"/>
              <w:jc w:val="left"/>
              <w:rPr>
                <w:rFonts w:cs="Arial"/>
                <w:sz w:val="16"/>
                <w:szCs w:val="16"/>
                <w:lang w:val="nl-BE"/>
              </w:rPr>
            </w:pP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 xml:space="preserve">Contacten voor </w:t>
            </w:r>
            <w:proofErr w:type="spellStart"/>
            <w:r w:rsidRPr="000F75B8">
              <w:rPr>
                <w:rFonts w:cs="Arial"/>
                <w:sz w:val="16"/>
                <w:szCs w:val="16"/>
                <w:lang w:val="nl-BE"/>
              </w:rPr>
              <w:t>recruteren</w:t>
            </w:r>
            <w:proofErr w:type="spellEnd"/>
            <w:r w:rsidRPr="000F75B8">
              <w:rPr>
                <w:rFonts w:cs="Arial"/>
                <w:sz w:val="16"/>
                <w:szCs w:val="16"/>
                <w:lang w:val="nl-BE"/>
              </w:rPr>
              <w:t xml:space="preserve"> van artsen via alternatieve circuit</w:t>
            </w:r>
          </w:p>
          <w:p w:rsidR="009C5A41" w:rsidRDefault="009C5A41" w:rsidP="00E43D2D">
            <w:pPr>
              <w:numPr>
                <w:ilvl w:val="0"/>
                <w:numId w:val="14"/>
              </w:numPr>
              <w:spacing w:after="0"/>
              <w:contextualSpacing/>
              <w:jc w:val="left"/>
              <w:rPr>
                <w:rFonts w:cs="Arial"/>
                <w:sz w:val="16"/>
                <w:szCs w:val="16"/>
                <w:lang w:val="nl-BE"/>
              </w:rPr>
            </w:pPr>
            <w:r>
              <w:rPr>
                <w:rFonts w:cs="Arial"/>
                <w:sz w:val="16"/>
                <w:szCs w:val="16"/>
                <w:lang w:val="nl-BE"/>
              </w:rPr>
              <w:t xml:space="preserve">Contacten </w:t>
            </w:r>
          </w:p>
          <w:p w:rsidR="009C5A41" w:rsidRPr="000F75B8" w:rsidRDefault="009C5A41" w:rsidP="00E43D2D">
            <w:pPr>
              <w:numPr>
                <w:ilvl w:val="0"/>
                <w:numId w:val="14"/>
              </w:numPr>
              <w:spacing w:after="0"/>
              <w:contextualSpacing/>
              <w:jc w:val="left"/>
              <w:rPr>
                <w:rFonts w:cs="Arial"/>
                <w:sz w:val="16"/>
                <w:szCs w:val="16"/>
                <w:lang w:val="nl-BE"/>
              </w:rPr>
            </w:pPr>
            <w:r>
              <w:rPr>
                <w:rFonts w:cs="Arial"/>
                <w:sz w:val="16"/>
                <w:szCs w:val="16"/>
                <w:lang w:val="nl-BE"/>
              </w:rPr>
              <w:t xml:space="preserve">Mailing </w:t>
            </w:r>
          </w:p>
          <w:p w:rsidR="009C5A41" w:rsidRPr="000F75B8" w:rsidRDefault="009C5A41" w:rsidP="00E43D2D">
            <w:pPr>
              <w:numPr>
                <w:ilvl w:val="0"/>
                <w:numId w:val="14"/>
              </w:numPr>
              <w:spacing w:after="0"/>
              <w:contextualSpacing/>
              <w:jc w:val="left"/>
              <w:rPr>
                <w:rFonts w:cs="Arial"/>
                <w:sz w:val="16"/>
                <w:szCs w:val="16"/>
                <w:lang w:val="nl-BE"/>
              </w:rPr>
            </w:pPr>
            <w:r w:rsidRPr="000F75B8">
              <w:rPr>
                <w:rFonts w:cs="Arial"/>
                <w:sz w:val="16"/>
                <w:szCs w:val="16"/>
                <w:lang w:val="nl-BE"/>
              </w:rPr>
              <w:t>Verzekeringsinstellingen</w:t>
            </w:r>
          </w:p>
          <w:p w:rsidR="009C5A41" w:rsidRPr="00E542CF" w:rsidRDefault="009C5A41" w:rsidP="00E43D2D">
            <w:pPr>
              <w:spacing w:after="0"/>
              <w:jc w:val="left"/>
              <w:rPr>
                <w:rFonts w:cs="Arial"/>
                <w:sz w:val="16"/>
                <w:szCs w:val="16"/>
                <w:lang w:val="nl-BE"/>
              </w:rPr>
            </w:pPr>
            <w:r w:rsidRPr="000F75B8">
              <w:rPr>
                <w:rFonts w:cs="Arial"/>
                <w:sz w:val="16"/>
                <w:szCs w:val="16"/>
                <w:lang w:val="nl-BE"/>
              </w:rPr>
              <w:t xml:space="preserve">Riziv gepensioneerden – mail aan RH ( </w:t>
            </w:r>
            <w:proofErr w:type="spellStart"/>
            <w:r w:rsidRPr="000F75B8">
              <w:rPr>
                <w:rFonts w:cs="Arial"/>
                <w:sz w:val="16"/>
                <w:szCs w:val="16"/>
                <w:lang w:val="nl-BE"/>
              </w:rPr>
              <w:t>gdpr</w:t>
            </w:r>
            <w:proofErr w:type="spellEnd"/>
            <w:r w:rsidRPr="000F75B8">
              <w:rPr>
                <w:rFonts w:cs="Arial"/>
                <w:sz w:val="16"/>
                <w:szCs w:val="16"/>
                <w:lang w:val="nl-BE"/>
              </w:rPr>
              <w:t>)</w:t>
            </w:r>
          </w:p>
        </w:tc>
      </w:tr>
      <w:tr w:rsidR="009C5A41" w:rsidRPr="00E542CF" w:rsidTr="00E43D2D">
        <w:tc>
          <w:tcPr>
            <w:tcW w:w="2295" w:type="dxa"/>
            <w:vMerge/>
          </w:tcPr>
          <w:p w:rsidR="009C5A41" w:rsidRPr="00852D0D" w:rsidRDefault="009C5A41" w:rsidP="00E43D2D">
            <w:pPr>
              <w:spacing w:after="0"/>
              <w:jc w:val="left"/>
              <w:rPr>
                <w:rFonts w:cs="Arial"/>
                <w:sz w:val="16"/>
                <w:szCs w:val="16"/>
                <w:lang w:val="nl-BE"/>
              </w:rPr>
            </w:pPr>
          </w:p>
        </w:tc>
        <w:tc>
          <w:tcPr>
            <w:tcW w:w="2361" w:type="dxa"/>
          </w:tcPr>
          <w:p w:rsidR="009C5A41" w:rsidRPr="000F75B8" w:rsidRDefault="009C5A41" w:rsidP="00E43D2D">
            <w:pPr>
              <w:spacing w:after="0"/>
              <w:jc w:val="left"/>
              <w:rPr>
                <w:rFonts w:cs="Arial"/>
                <w:sz w:val="16"/>
                <w:szCs w:val="16"/>
                <w:lang w:val="nl-BE"/>
              </w:rPr>
            </w:pPr>
            <w:r w:rsidRPr="000F75B8">
              <w:rPr>
                <w:rFonts w:cs="Arial"/>
                <w:sz w:val="16"/>
                <w:szCs w:val="16"/>
                <w:lang w:val="en-GB"/>
              </w:rPr>
              <w:t xml:space="preserve">IT +SS </w:t>
            </w:r>
          </w:p>
        </w:tc>
        <w:tc>
          <w:tcPr>
            <w:tcW w:w="9756" w:type="dxa"/>
          </w:tcPr>
          <w:p w:rsidR="009C5A41" w:rsidRPr="00E542CF" w:rsidRDefault="009C5A41" w:rsidP="00E43D2D">
            <w:pPr>
              <w:spacing w:after="0"/>
              <w:jc w:val="left"/>
              <w:rPr>
                <w:rFonts w:cs="Arial"/>
                <w:sz w:val="16"/>
                <w:szCs w:val="16"/>
                <w:lang w:val="nl-BE"/>
              </w:rPr>
            </w:pPr>
            <w:r w:rsidRPr="000F75B8">
              <w:rPr>
                <w:rFonts w:cs="Arial"/>
                <w:sz w:val="16"/>
                <w:szCs w:val="16"/>
                <w:lang w:val="nl-BE"/>
              </w:rPr>
              <w:t>Technische oplossing : info ter beschikking voor externe artsen (</w:t>
            </w:r>
            <w:proofErr w:type="spellStart"/>
            <w:r w:rsidRPr="000F75B8">
              <w:rPr>
                <w:rFonts w:cs="Arial"/>
                <w:sz w:val="16"/>
                <w:szCs w:val="16"/>
                <w:lang w:val="nl-BE"/>
              </w:rPr>
              <w:t>Tresorit</w:t>
            </w:r>
            <w:proofErr w:type="spellEnd"/>
            <w:r w:rsidRPr="000F75B8">
              <w:rPr>
                <w:rFonts w:cs="Arial"/>
                <w:sz w:val="16"/>
                <w:szCs w:val="16"/>
                <w:lang w:val="nl-BE"/>
              </w:rPr>
              <w:t xml:space="preserve">) link arts/dossier </w:t>
            </w:r>
          </w:p>
        </w:tc>
      </w:tr>
      <w:tr w:rsidR="009C5A41" w:rsidRPr="00E542CF" w:rsidTr="00E43D2D">
        <w:tc>
          <w:tcPr>
            <w:tcW w:w="2295" w:type="dxa"/>
            <w:vMerge/>
          </w:tcPr>
          <w:p w:rsidR="009C5A41" w:rsidRPr="000F75B8" w:rsidRDefault="009C5A41" w:rsidP="00E43D2D">
            <w:pPr>
              <w:spacing w:after="0"/>
              <w:jc w:val="left"/>
              <w:rPr>
                <w:rFonts w:cs="Arial"/>
                <w:sz w:val="16"/>
                <w:szCs w:val="16"/>
                <w:lang w:val="nl-BE"/>
              </w:rPr>
            </w:pP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E542CF" w:rsidRDefault="009C5A41" w:rsidP="00E43D2D">
            <w:pPr>
              <w:spacing w:after="0"/>
              <w:jc w:val="left"/>
              <w:rPr>
                <w:rFonts w:cs="Arial"/>
                <w:sz w:val="16"/>
                <w:szCs w:val="16"/>
                <w:lang w:val="nl-BE"/>
              </w:rPr>
            </w:pPr>
            <w:r w:rsidRPr="000F75B8">
              <w:rPr>
                <w:rFonts w:cs="Arial"/>
                <w:sz w:val="16"/>
                <w:szCs w:val="16"/>
                <w:lang w:val="nl-BE"/>
              </w:rPr>
              <w:t xml:space="preserve">Replay vragen inlichtingen en actief contact met kandidaat artsen </w:t>
            </w:r>
          </w:p>
        </w:tc>
      </w:tr>
      <w:tr w:rsidR="009C5A41" w:rsidRPr="00E542CF" w:rsidTr="00E43D2D">
        <w:tc>
          <w:tcPr>
            <w:tcW w:w="2295" w:type="dxa"/>
            <w:vMerge w:val="restart"/>
          </w:tcPr>
          <w:p w:rsidR="009C5A41" w:rsidRPr="000F75B8" w:rsidRDefault="009C5A41" w:rsidP="00E43D2D">
            <w:pPr>
              <w:spacing w:after="0"/>
              <w:jc w:val="left"/>
              <w:rPr>
                <w:rFonts w:cs="Arial"/>
                <w:sz w:val="16"/>
                <w:szCs w:val="16"/>
                <w:lang w:val="nl-BE"/>
              </w:rPr>
            </w:pPr>
            <w:r>
              <w:rPr>
                <w:rFonts w:cs="Arial"/>
                <w:sz w:val="16"/>
                <w:szCs w:val="16"/>
                <w:lang w:val="nl-BE"/>
              </w:rPr>
              <w:t>Maart</w:t>
            </w: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E542CF" w:rsidRDefault="009C5A41" w:rsidP="00E43D2D">
            <w:pPr>
              <w:spacing w:after="0"/>
              <w:jc w:val="left"/>
              <w:rPr>
                <w:rFonts w:cs="Arial"/>
                <w:sz w:val="16"/>
                <w:szCs w:val="16"/>
                <w:lang w:val="nl-BE"/>
              </w:rPr>
            </w:pPr>
            <w:r w:rsidRPr="000F75B8">
              <w:rPr>
                <w:rFonts w:cs="Arial"/>
                <w:sz w:val="16"/>
                <w:szCs w:val="16"/>
                <w:lang w:val="nl-BE"/>
              </w:rPr>
              <w:t xml:space="preserve">Informatie </w:t>
            </w:r>
            <w:r>
              <w:rPr>
                <w:rFonts w:cs="Arial"/>
                <w:sz w:val="16"/>
                <w:szCs w:val="16"/>
                <w:lang w:val="nl-BE"/>
              </w:rPr>
              <w:t>/ richtlijnen verstrekken aan de artsen</w:t>
            </w:r>
          </w:p>
        </w:tc>
      </w:tr>
      <w:tr w:rsidR="009C5A41" w:rsidRPr="00E542CF" w:rsidTr="00E43D2D">
        <w:tc>
          <w:tcPr>
            <w:tcW w:w="2295" w:type="dxa"/>
            <w:vMerge/>
          </w:tcPr>
          <w:p w:rsidR="009C5A41" w:rsidRPr="00852D0D" w:rsidRDefault="009C5A41" w:rsidP="00E43D2D">
            <w:pPr>
              <w:spacing w:after="0"/>
              <w:jc w:val="left"/>
              <w:rPr>
                <w:rFonts w:cs="Arial"/>
                <w:sz w:val="16"/>
                <w:szCs w:val="16"/>
                <w:lang w:val="nl-BE"/>
              </w:rPr>
            </w:pPr>
          </w:p>
        </w:tc>
        <w:tc>
          <w:tcPr>
            <w:tcW w:w="2361" w:type="dxa"/>
          </w:tcPr>
          <w:p w:rsidR="009C5A41" w:rsidRPr="000F75B8" w:rsidRDefault="009C5A41" w:rsidP="00E43D2D">
            <w:pPr>
              <w:spacing w:after="0"/>
              <w:jc w:val="left"/>
              <w:rPr>
                <w:rFonts w:cs="Arial"/>
                <w:sz w:val="16"/>
                <w:szCs w:val="16"/>
                <w:lang w:val="nl-BE"/>
              </w:rPr>
            </w:pPr>
            <w:r w:rsidRPr="000F75B8">
              <w:rPr>
                <w:rFonts w:cs="Arial"/>
                <w:sz w:val="16"/>
                <w:szCs w:val="16"/>
                <w:lang w:val="en-GB"/>
              </w:rPr>
              <w:t xml:space="preserve">HR+ AR </w:t>
            </w:r>
            <w:proofErr w:type="spellStart"/>
            <w:r w:rsidRPr="000F75B8">
              <w:rPr>
                <w:rFonts w:cs="Arial"/>
                <w:sz w:val="16"/>
                <w:szCs w:val="16"/>
                <w:lang w:val="en-GB"/>
              </w:rPr>
              <w:t>en</w:t>
            </w:r>
            <w:proofErr w:type="spellEnd"/>
            <w:r w:rsidRPr="000F75B8">
              <w:rPr>
                <w:rFonts w:cs="Arial"/>
                <w:sz w:val="16"/>
                <w:szCs w:val="16"/>
                <w:lang w:val="en-GB"/>
              </w:rPr>
              <w:t xml:space="preserve"> MH</w:t>
            </w: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 xml:space="preserve">Einde publicatie van de vacature dossierbeheerders </w:t>
            </w:r>
          </w:p>
          <w:p w:rsidR="009C5A41" w:rsidRPr="00E542CF" w:rsidRDefault="009C5A41" w:rsidP="00E43D2D">
            <w:pPr>
              <w:spacing w:after="0"/>
              <w:jc w:val="left"/>
              <w:rPr>
                <w:rFonts w:cs="Arial"/>
                <w:sz w:val="16"/>
                <w:szCs w:val="16"/>
                <w:lang w:val="nl-BE"/>
              </w:rPr>
            </w:pPr>
            <w:r w:rsidRPr="000F75B8">
              <w:rPr>
                <w:rFonts w:cs="Arial"/>
                <w:sz w:val="16"/>
                <w:szCs w:val="16"/>
                <w:lang w:val="nl-BE"/>
              </w:rPr>
              <w:t xml:space="preserve">Planning van de selectieprocedure – inplannen van de interviews  : 4 halve dagen per taalrol . Publicatie vacature </w:t>
            </w:r>
          </w:p>
        </w:tc>
      </w:tr>
      <w:tr w:rsidR="009C5A41" w:rsidRPr="00E542CF" w:rsidTr="00E43D2D">
        <w:tc>
          <w:tcPr>
            <w:tcW w:w="2295" w:type="dxa"/>
            <w:vMerge/>
          </w:tcPr>
          <w:p w:rsidR="009C5A41" w:rsidRPr="000F75B8" w:rsidRDefault="009C5A41" w:rsidP="00E43D2D">
            <w:pPr>
              <w:spacing w:after="0"/>
              <w:jc w:val="left"/>
              <w:rPr>
                <w:rFonts w:cs="Arial"/>
                <w:sz w:val="16"/>
                <w:szCs w:val="16"/>
                <w:lang w:val="en-GB"/>
              </w:rPr>
            </w:pPr>
          </w:p>
        </w:tc>
        <w:tc>
          <w:tcPr>
            <w:tcW w:w="2361" w:type="dxa"/>
          </w:tcPr>
          <w:p w:rsidR="009C5A41" w:rsidRPr="000F75B8" w:rsidRDefault="009C5A41" w:rsidP="00E43D2D">
            <w:pPr>
              <w:spacing w:after="0"/>
              <w:jc w:val="left"/>
              <w:rPr>
                <w:rFonts w:cs="Arial"/>
                <w:sz w:val="16"/>
                <w:szCs w:val="16"/>
                <w:lang w:val="en-GB"/>
              </w:rPr>
            </w:pPr>
            <w:r w:rsidRPr="000F75B8">
              <w:rPr>
                <w:rFonts w:cs="Arial"/>
                <w:sz w:val="16"/>
                <w:szCs w:val="16"/>
                <w:lang w:val="en-GB"/>
              </w:rPr>
              <w:t xml:space="preserve">HR + AR + MH </w:t>
            </w: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en-GB"/>
              </w:rPr>
              <w:t xml:space="preserve">Interviews </w:t>
            </w:r>
            <w:proofErr w:type="spellStart"/>
            <w:r w:rsidRPr="000F75B8">
              <w:rPr>
                <w:rFonts w:cs="Arial"/>
                <w:sz w:val="16"/>
                <w:szCs w:val="16"/>
                <w:lang w:val="en-GB"/>
              </w:rPr>
              <w:t>dossierbeheerders</w:t>
            </w:r>
            <w:proofErr w:type="spellEnd"/>
            <w:r w:rsidRPr="000F75B8">
              <w:rPr>
                <w:rFonts w:cs="Arial"/>
                <w:sz w:val="16"/>
                <w:szCs w:val="16"/>
                <w:lang w:val="en-GB"/>
              </w:rPr>
              <w:t xml:space="preserve"> </w:t>
            </w:r>
          </w:p>
        </w:tc>
      </w:tr>
      <w:tr w:rsidR="009C5A41" w:rsidRPr="00E542CF" w:rsidTr="00E43D2D">
        <w:tc>
          <w:tcPr>
            <w:tcW w:w="2295" w:type="dxa"/>
            <w:vMerge w:val="restart"/>
          </w:tcPr>
          <w:p w:rsidR="009C5A41" w:rsidRPr="000F75B8" w:rsidRDefault="009C5A41" w:rsidP="00E43D2D">
            <w:pPr>
              <w:spacing w:after="0"/>
              <w:jc w:val="left"/>
              <w:rPr>
                <w:rFonts w:cs="Arial"/>
                <w:sz w:val="16"/>
                <w:szCs w:val="16"/>
                <w:lang w:val="nl-BE"/>
              </w:rPr>
            </w:pPr>
            <w:r>
              <w:rPr>
                <w:rFonts w:cs="Arial"/>
                <w:sz w:val="16"/>
                <w:szCs w:val="16"/>
                <w:lang w:val="nl-BE"/>
              </w:rPr>
              <w:t>April</w:t>
            </w: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A75E5D" w:rsidRDefault="009C5A41" w:rsidP="00E43D2D">
            <w:pPr>
              <w:spacing w:after="0"/>
              <w:jc w:val="left"/>
              <w:rPr>
                <w:rFonts w:cs="Arial"/>
                <w:sz w:val="16"/>
                <w:szCs w:val="16"/>
                <w:lang w:val="nl-BE"/>
              </w:rPr>
            </w:pPr>
            <w:r w:rsidRPr="000F75B8">
              <w:rPr>
                <w:rFonts w:cs="Arial"/>
                <w:sz w:val="16"/>
                <w:szCs w:val="16"/>
                <w:lang w:val="nl-BE"/>
              </w:rPr>
              <w:t>1</w:t>
            </w:r>
            <w:r w:rsidRPr="000F75B8">
              <w:rPr>
                <w:rFonts w:cs="Arial"/>
                <w:sz w:val="16"/>
                <w:szCs w:val="16"/>
                <w:vertAlign w:val="superscript"/>
                <w:lang w:val="nl-BE"/>
              </w:rPr>
              <w:t>ste</w:t>
            </w:r>
            <w:r w:rsidRPr="000F75B8">
              <w:rPr>
                <w:rFonts w:cs="Arial"/>
                <w:sz w:val="16"/>
                <w:szCs w:val="16"/>
                <w:lang w:val="nl-BE"/>
              </w:rPr>
              <w:t xml:space="preserve"> Indiensttreding dossierbeheerders en start opleiding </w:t>
            </w:r>
          </w:p>
        </w:tc>
      </w:tr>
      <w:tr w:rsidR="009C5A41" w:rsidRPr="00E542CF" w:rsidTr="00E43D2D">
        <w:tc>
          <w:tcPr>
            <w:tcW w:w="2295" w:type="dxa"/>
            <w:vMerge/>
          </w:tcPr>
          <w:p w:rsidR="009C5A41" w:rsidRPr="000F75B8" w:rsidRDefault="009C5A41" w:rsidP="00E43D2D">
            <w:pPr>
              <w:spacing w:after="0"/>
              <w:jc w:val="left"/>
              <w:rPr>
                <w:rFonts w:cs="Arial"/>
                <w:sz w:val="16"/>
                <w:szCs w:val="16"/>
                <w:lang w:val="nl-BE"/>
              </w:rPr>
            </w:pP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 xml:space="preserve">start analyse dossiers achterstand </w:t>
            </w:r>
          </w:p>
        </w:tc>
      </w:tr>
      <w:tr w:rsidR="009C5A41" w:rsidRPr="00E542CF" w:rsidTr="00E43D2D">
        <w:tc>
          <w:tcPr>
            <w:tcW w:w="2295" w:type="dxa"/>
            <w:vMerge w:val="restart"/>
          </w:tcPr>
          <w:p w:rsidR="009C5A41" w:rsidRPr="000F75B8" w:rsidRDefault="009C5A41" w:rsidP="00E43D2D">
            <w:pPr>
              <w:spacing w:after="0"/>
              <w:jc w:val="left"/>
              <w:rPr>
                <w:rFonts w:cs="Arial"/>
                <w:sz w:val="16"/>
                <w:szCs w:val="16"/>
                <w:lang w:val="nl-BE"/>
              </w:rPr>
            </w:pPr>
            <w:r>
              <w:rPr>
                <w:rFonts w:cs="Arial"/>
                <w:sz w:val="16"/>
                <w:szCs w:val="16"/>
                <w:lang w:val="nl-BE"/>
              </w:rPr>
              <w:t>Mei</w:t>
            </w: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2</w:t>
            </w:r>
            <w:r w:rsidRPr="000F75B8">
              <w:rPr>
                <w:rFonts w:cs="Arial"/>
                <w:sz w:val="16"/>
                <w:szCs w:val="16"/>
                <w:vertAlign w:val="superscript"/>
                <w:lang w:val="nl-BE"/>
              </w:rPr>
              <w:t>de</w:t>
            </w:r>
            <w:r w:rsidRPr="000F75B8">
              <w:rPr>
                <w:rFonts w:cs="Arial"/>
                <w:sz w:val="16"/>
                <w:szCs w:val="16"/>
                <w:lang w:val="nl-BE"/>
              </w:rPr>
              <w:t xml:space="preserve"> Indiensttreding dossierbeheerders en start opleiding  </w:t>
            </w:r>
          </w:p>
        </w:tc>
      </w:tr>
      <w:tr w:rsidR="009C5A41" w:rsidRPr="00E542CF" w:rsidTr="00E43D2D">
        <w:tc>
          <w:tcPr>
            <w:tcW w:w="2295" w:type="dxa"/>
            <w:vMerge/>
          </w:tcPr>
          <w:p w:rsidR="009C5A41" w:rsidRPr="000F75B8" w:rsidRDefault="009C5A41" w:rsidP="00E43D2D">
            <w:pPr>
              <w:spacing w:after="0"/>
              <w:jc w:val="left"/>
              <w:rPr>
                <w:rFonts w:cs="Arial"/>
                <w:sz w:val="16"/>
                <w:szCs w:val="16"/>
                <w:lang w:val="nl-BE"/>
              </w:rPr>
            </w:pP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 xml:space="preserve">Eerste verzending dossiers naar artsen analyse 1 </w:t>
            </w:r>
          </w:p>
        </w:tc>
      </w:tr>
      <w:tr w:rsidR="009C5A41" w:rsidRPr="00E542CF" w:rsidTr="00E43D2D">
        <w:tc>
          <w:tcPr>
            <w:tcW w:w="2295" w:type="dxa"/>
            <w:vMerge/>
          </w:tcPr>
          <w:p w:rsidR="009C5A41" w:rsidRPr="000F75B8" w:rsidRDefault="009C5A41" w:rsidP="00E43D2D">
            <w:pPr>
              <w:spacing w:after="0"/>
              <w:jc w:val="left"/>
              <w:rPr>
                <w:rFonts w:cs="Arial"/>
                <w:sz w:val="16"/>
                <w:szCs w:val="16"/>
                <w:lang w:val="nl-BE"/>
              </w:rPr>
            </w:pP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 xml:space="preserve">Ontvangen eerste dossiers van artsen analyse 1  </w:t>
            </w:r>
          </w:p>
        </w:tc>
      </w:tr>
      <w:tr w:rsidR="009C5A41" w:rsidRPr="00E542CF" w:rsidTr="00E43D2D">
        <w:tc>
          <w:tcPr>
            <w:tcW w:w="2295" w:type="dxa"/>
          </w:tcPr>
          <w:p w:rsidR="009C5A41" w:rsidRPr="000F75B8" w:rsidRDefault="009C5A41" w:rsidP="00E43D2D">
            <w:pPr>
              <w:spacing w:after="0"/>
              <w:jc w:val="left"/>
              <w:rPr>
                <w:rFonts w:cs="Arial"/>
                <w:sz w:val="16"/>
                <w:szCs w:val="16"/>
                <w:lang w:val="nl-BE"/>
              </w:rPr>
            </w:pP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 xml:space="preserve">openstellen van betrekking juristen startbaan 3 </w:t>
            </w:r>
            <w:proofErr w:type="spellStart"/>
            <w:r w:rsidRPr="000F75B8">
              <w:rPr>
                <w:rFonts w:cs="Arial"/>
                <w:sz w:val="16"/>
                <w:szCs w:val="16"/>
                <w:lang w:val="nl-BE"/>
              </w:rPr>
              <w:t>Ndl</w:t>
            </w:r>
            <w:proofErr w:type="spellEnd"/>
            <w:r w:rsidRPr="000F75B8">
              <w:rPr>
                <w:rFonts w:cs="Arial"/>
                <w:sz w:val="16"/>
                <w:szCs w:val="16"/>
                <w:lang w:val="nl-BE"/>
              </w:rPr>
              <w:t xml:space="preserve">/3 </w:t>
            </w:r>
            <w:proofErr w:type="spellStart"/>
            <w:r w:rsidRPr="000F75B8">
              <w:rPr>
                <w:rFonts w:cs="Arial"/>
                <w:sz w:val="16"/>
                <w:szCs w:val="16"/>
                <w:lang w:val="nl-BE"/>
              </w:rPr>
              <w:t>fr</w:t>
            </w:r>
            <w:proofErr w:type="spellEnd"/>
          </w:p>
        </w:tc>
      </w:tr>
      <w:tr w:rsidR="009C5A41" w:rsidRPr="00E542CF" w:rsidTr="00E43D2D">
        <w:tc>
          <w:tcPr>
            <w:tcW w:w="2295" w:type="dxa"/>
          </w:tcPr>
          <w:p w:rsidR="009C5A41" w:rsidRPr="000F75B8" w:rsidRDefault="009C5A41" w:rsidP="00E43D2D">
            <w:pPr>
              <w:spacing w:after="0"/>
              <w:jc w:val="left"/>
              <w:rPr>
                <w:rFonts w:cs="Arial"/>
                <w:sz w:val="16"/>
                <w:szCs w:val="16"/>
                <w:lang w:val="nl-BE"/>
              </w:rPr>
            </w:pPr>
            <w:r>
              <w:rPr>
                <w:rFonts w:cs="Arial"/>
                <w:sz w:val="16"/>
                <w:szCs w:val="16"/>
                <w:lang w:val="nl-BE"/>
              </w:rPr>
              <w:t>Augustus</w:t>
            </w: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0F75B8" w:rsidRDefault="009C5A41" w:rsidP="00E43D2D">
            <w:pPr>
              <w:spacing w:after="0"/>
              <w:jc w:val="left"/>
              <w:rPr>
                <w:rFonts w:cs="Arial"/>
                <w:sz w:val="16"/>
                <w:szCs w:val="16"/>
                <w:lang w:val="nl-BE"/>
              </w:rPr>
            </w:pPr>
            <w:r>
              <w:rPr>
                <w:rFonts w:cs="Arial"/>
                <w:sz w:val="16"/>
                <w:szCs w:val="16"/>
                <w:lang w:val="nl-BE"/>
              </w:rPr>
              <w:t>P</w:t>
            </w:r>
            <w:r w:rsidRPr="000F75B8">
              <w:rPr>
                <w:rFonts w:cs="Arial"/>
                <w:sz w:val="16"/>
                <w:szCs w:val="16"/>
                <w:lang w:val="nl-BE"/>
              </w:rPr>
              <w:t xml:space="preserve">ublicatie/vacature op website Riziv en andere kanalen 3 weken </w:t>
            </w:r>
          </w:p>
          <w:p w:rsidR="009C5A41" w:rsidRPr="000F75B8" w:rsidRDefault="009C5A41" w:rsidP="00E43D2D">
            <w:pPr>
              <w:spacing w:after="0"/>
              <w:jc w:val="left"/>
              <w:rPr>
                <w:rFonts w:cs="Arial"/>
                <w:sz w:val="16"/>
                <w:szCs w:val="16"/>
                <w:lang w:val="nl-BE"/>
              </w:rPr>
            </w:pPr>
            <w:r w:rsidRPr="000F75B8">
              <w:rPr>
                <w:rFonts w:cs="Arial"/>
                <w:sz w:val="16"/>
                <w:szCs w:val="16"/>
                <w:lang w:val="nl-BE"/>
              </w:rPr>
              <w:t xml:space="preserve">Planning selectieprocedure – samenstelling jury </w:t>
            </w:r>
          </w:p>
        </w:tc>
      </w:tr>
      <w:tr w:rsidR="009C5A41" w:rsidRPr="00E542CF" w:rsidTr="00E43D2D">
        <w:tc>
          <w:tcPr>
            <w:tcW w:w="2295" w:type="dxa"/>
          </w:tcPr>
          <w:p w:rsidR="009C5A41" w:rsidRPr="000F75B8" w:rsidRDefault="009C5A41" w:rsidP="00E43D2D">
            <w:pPr>
              <w:spacing w:after="0"/>
              <w:jc w:val="left"/>
              <w:rPr>
                <w:rFonts w:cs="Arial"/>
                <w:sz w:val="16"/>
                <w:szCs w:val="16"/>
                <w:lang w:val="nl-BE"/>
              </w:rPr>
            </w:pPr>
            <w:r>
              <w:rPr>
                <w:rFonts w:cs="Arial"/>
                <w:sz w:val="16"/>
                <w:szCs w:val="16"/>
                <w:lang w:val="nl-BE"/>
              </w:rPr>
              <w:t>September</w:t>
            </w: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 xml:space="preserve">Interview juristen EWE </w:t>
            </w:r>
          </w:p>
        </w:tc>
      </w:tr>
      <w:tr w:rsidR="009C5A41" w:rsidRPr="00E542CF" w:rsidTr="00E43D2D">
        <w:tc>
          <w:tcPr>
            <w:tcW w:w="2295" w:type="dxa"/>
          </w:tcPr>
          <w:p w:rsidR="009C5A41" w:rsidRPr="000F75B8" w:rsidRDefault="009C5A41" w:rsidP="00E43D2D">
            <w:pPr>
              <w:spacing w:after="0"/>
              <w:jc w:val="left"/>
              <w:rPr>
                <w:rFonts w:cs="Arial"/>
                <w:sz w:val="16"/>
                <w:szCs w:val="16"/>
                <w:lang w:val="nl-BE"/>
              </w:rPr>
            </w:pPr>
            <w:r>
              <w:rPr>
                <w:rFonts w:cs="Arial"/>
                <w:sz w:val="16"/>
                <w:szCs w:val="16"/>
                <w:lang w:val="nl-BE"/>
              </w:rPr>
              <w:t>November</w:t>
            </w:r>
          </w:p>
        </w:tc>
        <w:tc>
          <w:tcPr>
            <w:tcW w:w="2361" w:type="dxa"/>
          </w:tcPr>
          <w:p w:rsidR="009C5A41" w:rsidRPr="000F75B8" w:rsidRDefault="009C5A41" w:rsidP="00E43D2D">
            <w:pPr>
              <w:spacing w:after="0"/>
              <w:jc w:val="left"/>
              <w:rPr>
                <w:rFonts w:cs="Arial"/>
                <w:sz w:val="16"/>
                <w:szCs w:val="16"/>
                <w:lang w:val="nl-BE"/>
              </w:rPr>
            </w:pPr>
          </w:p>
        </w:tc>
        <w:tc>
          <w:tcPr>
            <w:tcW w:w="9756" w:type="dxa"/>
          </w:tcPr>
          <w:p w:rsidR="009C5A41" w:rsidRPr="000F75B8" w:rsidRDefault="009C5A41" w:rsidP="00E43D2D">
            <w:pPr>
              <w:spacing w:after="0"/>
              <w:jc w:val="left"/>
              <w:rPr>
                <w:rFonts w:cs="Arial"/>
                <w:sz w:val="16"/>
                <w:szCs w:val="16"/>
                <w:lang w:val="nl-BE"/>
              </w:rPr>
            </w:pPr>
            <w:r w:rsidRPr="000F75B8">
              <w:rPr>
                <w:rFonts w:cs="Arial"/>
                <w:sz w:val="16"/>
                <w:szCs w:val="16"/>
                <w:lang w:val="nl-BE"/>
              </w:rPr>
              <w:t xml:space="preserve">Indiensttreding juristen en opleiding </w:t>
            </w:r>
          </w:p>
        </w:tc>
      </w:tr>
    </w:tbl>
    <w:p w:rsidR="009C5A41" w:rsidRDefault="009C5A41" w:rsidP="009C5A41">
      <w:pPr>
        <w:rPr>
          <w:rFonts w:cs="Arial"/>
          <w:sz w:val="16"/>
          <w:szCs w:val="16"/>
          <w:lang w:val="nl-BE"/>
        </w:rPr>
      </w:pPr>
    </w:p>
    <w:p w:rsidR="00696503" w:rsidRDefault="00696503" w:rsidP="00696503">
      <w:pPr>
        <w:spacing w:after="0"/>
        <w:jc w:val="left"/>
        <w:rPr>
          <w:rFonts w:cs="Arial"/>
          <w:sz w:val="20"/>
          <w:lang w:val="fr-BE"/>
        </w:rPr>
      </w:pPr>
    </w:p>
    <w:p w:rsidR="003F05EB" w:rsidRDefault="003F05EB">
      <w:pPr>
        <w:spacing w:after="0"/>
        <w:jc w:val="left"/>
        <w:rPr>
          <w:rFonts w:asciiTheme="minorHAnsi" w:hAnsiTheme="minorHAnsi" w:cstheme="minorHAnsi"/>
          <w:b/>
          <w:spacing w:val="-4"/>
          <w:kern w:val="28"/>
          <w:sz w:val="22"/>
          <w:szCs w:val="18"/>
          <w:lang w:val="nl-BE"/>
        </w:rPr>
      </w:pPr>
      <w:bookmarkStart w:id="47" w:name="_Toc63424088"/>
      <w:r>
        <w:rPr>
          <w:rFonts w:asciiTheme="minorHAnsi" w:hAnsiTheme="minorHAnsi" w:cstheme="minorHAnsi"/>
          <w:szCs w:val="18"/>
          <w:lang w:val="nl-BE"/>
        </w:rPr>
        <w:br w:type="page"/>
      </w:r>
    </w:p>
    <w:p w:rsidR="003F05EB" w:rsidRDefault="003F05EB" w:rsidP="003F05EB">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240" w:lineRule="auto"/>
        <w:ind w:left="576"/>
        <w:jc w:val="left"/>
        <w:rPr>
          <w:rFonts w:asciiTheme="minorHAnsi" w:hAnsiTheme="minorHAnsi" w:cstheme="minorHAnsi"/>
          <w:szCs w:val="18"/>
          <w:lang w:val="nl-BE"/>
        </w:rPr>
      </w:pPr>
      <w:bookmarkStart w:id="48" w:name="_Toc68955704"/>
      <w:r>
        <w:rPr>
          <w:rFonts w:asciiTheme="minorHAnsi" w:hAnsiTheme="minorHAnsi" w:cstheme="minorHAnsi"/>
          <w:szCs w:val="18"/>
          <w:lang w:val="nl-BE"/>
        </w:rPr>
        <w:lastRenderedPageBreak/>
        <w:t>Voorstel van wetsaanpassingen rond elektronische aanvraag en elektronische informatie</w:t>
      </w:r>
      <w:bookmarkEnd w:id="47"/>
      <w:r>
        <w:rPr>
          <w:rFonts w:asciiTheme="minorHAnsi" w:hAnsiTheme="minorHAnsi" w:cstheme="minorHAnsi"/>
          <w:szCs w:val="18"/>
          <w:lang w:val="nl-BE"/>
        </w:rPr>
        <w:t xml:space="preserve"> – detailuitwerking</w:t>
      </w:r>
      <w:bookmarkEnd w:id="48"/>
    </w:p>
    <w:p w:rsidR="003F05EB" w:rsidRPr="003F05EB" w:rsidRDefault="003F05EB" w:rsidP="003F05EB">
      <w:pPr>
        <w:pStyle w:val="BodyText"/>
        <w:rPr>
          <w:lang w:val="nl-BE"/>
        </w:rPr>
      </w:pPr>
    </w:p>
    <w:tbl>
      <w:tblPr>
        <w:tblW w:w="1402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3" w:type="dxa"/>
          <w:right w:w="283" w:type="dxa"/>
        </w:tblCellMar>
        <w:tblLook w:val="04A0" w:firstRow="1" w:lastRow="0" w:firstColumn="1" w:lastColumn="0" w:noHBand="0" w:noVBand="1"/>
      </w:tblPr>
      <w:tblGrid>
        <w:gridCol w:w="6658"/>
        <w:gridCol w:w="7371"/>
      </w:tblGrid>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spacing w:before="120"/>
              <w:jc w:val="center"/>
              <w:rPr>
                <w:rFonts w:asciiTheme="minorHAnsi" w:hAnsiTheme="minorHAnsi" w:cstheme="minorHAnsi"/>
                <w:b/>
                <w:szCs w:val="18"/>
                <w:lang w:val="fr-BE"/>
              </w:rPr>
            </w:pPr>
            <w:r w:rsidRPr="00A34A91">
              <w:rPr>
                <w:rFonts w:asciiTheme="minorHAnsi" w:hAnsiTheme="minorHAnsi" w:cstheme="minorHAnsi"/>
                <w:b/>
                <w:szCs w:val="18"/>
                <w:lang w:val="fr-FR"/>
              </w:rPr>
              <w:t>Chapitre -</w:t>
            </w:r>
            <w:r w:rsidRPr="00A34A91">
              <w:rPr>
                <w:rFonts w:asciiTheme="minorHAnsi" w:hAnsiTheme="minorHAnsi" w:cstheme="minorHAnsi"/>
                <w:szCs w:val="18"/>
                <w:lang w:val="fr-FR"/>
              </w:rPr>
              <w:t xml:space="preserve"> </w:t>
            </w:r>
            <w:r w:rsidRPr="00A34A91">
              <w:rPr>
                <w:rFonts w:asciiTheme="minorHAnsi" w:hAnsiTheme="minorHAnsi" w:cstheme="minorHAnsi"/>
                <w:b/>
                <w:szCs w:val="18"/>
                <w:lang w:val="fr-FR"/>
              </w:rPr>
              <w:t>modifications à la loi du 31 mars 2010 relative à l'indemnisation des dommages résultant de soins de santé</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spacing w:before="120"/>
              <w:jc w:val="center"/>
              <w:rPr>
                <w:rFonts w:asciiTheme="minorHAnsi" w:hAnsiTheme="minorHAnsi" w:cstheme="minorHAnsi"/>
                <w:b/>
                <w:szCs w:val="18"/>
                <w:lang w:val="nl-BE"/>
              </w:rPr>
            </w:pPr>
            <w:r w:rsidRPr="00A34A91">
              <w:rPr>
                <w:rFonts w:asciiTheme="minorHAnsi" w:hAnsiTheme="minorHAnsi" w:cstheme="minorHAnsi"/>
                <w:b/>
                <w:szCs w:val="18"/>
                <w:lang w:val="nl-BE"/>
              </w:rPr>
              <w:t xml:space="preserve">Hoofdstuk </w:t>
            </w:r>
            <w:r w:rsidRPr="00A34A91">
              <w:rPr>
                <w:rFonts w:asciiTheme="minorHAnsi" w:hAnsiTheme="minorHAnsi" w:cstheme="minorHAnsi"/>
                <w:szCs w:val="18"/>
                <w:lang w:val="nl-BE"/>
              </w:rPr>
              <w:t xml:space="preserve"> </w:t>
            </w:r>
            <w:r w:rsidRPr="00A34A91">
              <w:rPr>
                <w:rFonts w:asciiTheme="minorHAnsi" w:hAnsiTheme="minorHAnsi" w:cstheme="minorHAnsi"/>
                <w:b/>
                <w:szCs w:val="18"/>
                <w:lang w:val="nl-BE"/>
              </w:rPr>
              <w:t>– wijzigingen van de wet van 31 maart 2010 betreffende de vergoeding van schade als gevolg van gezondheidszorg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05EB" w:rsidRPr="00A34A91" w:rsidRDefault="003F05EB" w:rsidP="003F05EB">
            <w:pPr>
              <w:spacing w:before="120"/>
              <w:jc w:val="center"/>
              <w:rPr>
                <w:rFonts w:asciiTheme="minorHAnsi" w:hAnsiTheme="minorHAnsi" w:cstheme="minorHAnsi"/>
                <w:b/>
                <w:szCs w:val="18"/>
                <w:lang w:val="nl-BE"/>
              </w:rPr>
            </w:pPr>
            <w:r w:rsidRPr="00A34A91">
              <w:rPr>
                <w:rFonts w:asciiTheme="minorHAnsi" w:hAnsiTheme="minorHAnsi" w:cstheme="minorHAnsi"/>
                <w:b/>
                <w:szCs w:val="18"/>
                <w:lang w:val="nl-BE"/>
              </w:rPr>
              <w:t>2020/023am</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05EB" w:rsidRPr="00A34A91" w:rsidRDefault="003F05EB" w:rsidP="003F05EB">
            <w:pPr>
              <w:spacing w:before="120"/>
              <w:jc w:val="center"/>
              <w:rPr>
                <w:rFonts w:asciiTheme="minorHAnsi" w:hAnsiTheme="minorHAnsi" w:cstheme="minorHAnsi"/>
                <w:b/>
                <w:szCs w:val="18"/>
                <w:lang w:val="nl-BE"/>
              </w:rPr>
            </w:pPr>
            <w:r w:rsidRPr="00A34A91">
              <w:rPr>
                <w:rFonts w:asciiTheme="minorHAnsi" w:hAnsiTheme="minorHAnsi" w:cstheme="minorHAnsi"/>
                <w:b/>
                <w:szCs w:val="18"/>
                <w:lang w:val="nl-BE"/>
              </w:rPr>
              <w:t>2020/023am</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tcPr>
          <w:p w:rsidR="003F05EB" w:rsidRPr="00A34A91" w:rsidRDefault="003F05EB" w:rsidP="003F05EB">
            <w:pPr>
              <w:spacing w:before="120"/>
              <w:jc w:val="center"/>
              <w:rPr>
                <w:rFonts w:asciiTheme="minorHAnsi" w:hAnsiTheme="minorHAnsi" w:cstheme="minorHAnsi"/>
                <w:b/>
                <w:szCs w:val="18"/>
                <w:lang w:val="fr-FR"/>
              </w:rPr>
            </w:pPr>
          </w:p>
        </w:tc>
        <w:tc>
          <w:tcPr>
            <w:tcW w:w="7371" w:type="dxa"/>
            <w:tcBorders>
              <w:top w:val="single" w:sz="4" w:space="0" w:color="auto"/>
              <w:left w:val="single" w:sz="4" w:space="0" w:color="auto"/>
              <w:bottom w:val="single" w:sz="4" w:space="0" w:color="auto"/>
              <w:right w:val="single" w:sz="4" w:space="0" w:color="auto"/>
            </w:tcBorders>
          </w:tcPr>
          <w:p w:rsidR="003F05EB" w:rsidRPr="00A34A91" w:rsidRDefault="003F05EB" w:rsidP="003F05EB">
            <w:pPr>
              <w:spacing w:before="120"/>
              <w:jc w:val="center"/>
              <w:rPr>
                <w:rFonts w:asciiTheme="minorHAnsi" w:hAnsiTheme="minorHAnsi" w:cstheme="minorHAnsi"/>
                <w:b/>
                <w:szCs w:val="18"/>
                <w:lang w:val="fr-FR"/>
              </w:rPr>
            </w:pP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fr-BE"/>
              </w:rPr>
            </w:pPr>
            <w:r w:rsidRPr="00A34A91">
              <w:rPr>
                <w:rFonts w:asciiTheme="minorHAnsi" w:hAnsiTheme="minorHAnsi" w:cstheme="minorHAnsi"/>
                <w:b/>
                <w:szCs w:val="18"/>
                <w:lang w:val="fr-FR"/>
              </w:rPr>
              <w:t>Art. X.</w:t>
            </w:r>
            <w:r w:rsidRPr="00A34A91">
              <w:rPr>
                <w:rFonts w:asciiTheme="minorHAnsi" w:hAnsiTheme="minorHAnsi" w:cstheme="minorHAnsi"/>
                <w:szCs w:val="18"/>
                <w:lang w:val="fr-FR"/>
              </w:rPr>
              <w:t xml:space="preserve"> L’article 2 de la loi du 31 mars 2010 relative à l’indemnisation des dommages résultant de soins de santé est complété par la disposition sous 12°, rédigé comme suit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nl-BE"/>
              </w:rPr>
            </w:pPr>
            <w:r w:rsidRPr="00A34A91">
              <w:rPr>
                <w:rFonts w:asciiTheme="minorHAnsi" w:hAnsiTheme="minorHAnsi" w:cstheme="minorHAnsi"/>
                <w:b/>
                <w:szCs w:val="18"/>
                <w:lang w:val="nl-BE"/>
              </w:rPr>
              <w:t>Art. X.</w:t>
            </w:r>
            <w:r w:rsidRPr="00A34A91">
              <w:rPr>
                <w:rFonts w:asciiTheme="minorHAnsi" w:hAnsiTheme="minorHAnsi" w:cstheme="minorHAnsi"/>
                <w:szCs w:val="18"/>
                <w:lang w:val="nl-BE"/>
              </w:rPr>
              <w:t xml:space="preserve"> Artikel 2 van de wet van 31 maart 2010 betreffende de vergoeding van schade als gevolg van gezondheidszorg wordt aangevuld met de bepaling onder 12°, luidende:  </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“12° " envoi recommandé ” : l’envoi conformément à l’article 27 de la loi du 26 janvier 2018 relative aux services postaux." </w:t>
            </w:r>
          </w:p>
          <w:p w:rsidR="003F05EB" w:rsidRPr="00A34A91" w:rsidRDefault="003F05EB" w:rsidP="003F05EB">
            <w:pPr>
              <w:rPr>
                <w:rFonts w:asciiTheme="minorHAnsi" w:hAnsiTheme="minorHAnsi" w:cstheme="minorHAnsi"/>
                <w:b/>
                <w:szCs w:val="18"/>
                <w:lang w:val="fr-BE"/>
              </w:rPr>
            </w:pPr>
          </w:p>
        </w:tc>
        <w:tc>
          <w:tcPr>
            <w:tcW w:w="7371" w:type="dxa"/>
            <w:tcBorders>
              <w:top w:val="single" w:sz="4" w:space="0" w:color="auto"/>
              <w:left w:val="single" w:sz="4" w:space="0" w:color="auto"/>
              <w:bottom w:val="single" w:sz="4" w:space="0" w:color="auto"/>
              <w:right w:val="single" w:sz="4" w:space="0" w:color="auto"/>
            </w:tcBorders>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szCs w:val="18"/>
                <w:lang w:val="nl-BE"/>
              </w:rPr>
              <w:t>“12° “ aangetekende zending ” : de zending overeenkomstig artikel 27 van de wet van 26 januari 2018 betreffende de postdiensten.”</w:t>
            </w:r>
          </w:p>
          <w:p w:rsidR="003F05EB" w:rsidRPr="00A34A91" w:rsidRDefault="003F05EB" w:rsidP="003F05EB">
            <w:pPr>
              <w:rPr>
                <w:rFonts w:asciiTheme="minorHAnsi" w:hAnsiTheme="minorHAnsi" w:cstheme="minorHAnsi"/>
                <w:b/>
                <w:szCs w:val="18"/>
                <w:lang w:val="nl-BE"/>
              </w:rPr>
            </w:pP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b/>
                <w:szCs w:val="18"/>
                <w:lang w:val="fr-FR"/>
              </w:rPr>
              <w:t>Art. X+1.</w:t>
            </w:r>
            <w:r w:rsidRPr="00A34A91">
              <w:rPr>
                <w:rFonts w:asciiTheme="minorHAnsi" w:hAnsiTheme="minorHAnsi" w:cstheme="minorHAnsi"/>
                <w:szCs w:val="18"/>
                <w:lang w:val="fr-FR"/>
              </w:rPr>
              <w:t xml:space="preserve"> À l’article 12 de la même loi,</w:t>
            </w:r>
            <w:r w:rsidRPr="00A34A91">
              <w:rPr>
                <w:rFonts w:asciiTheme="minorHAnsi" w:hAnsiTheme="minorHAnsi" w:cstheme="minorHAnsi"/>
                <w:i/>
                <w:szCs w:val="18"/>
                <w:lang w:val="fr-FR"/>
              </w:rPr>
              <w:t xml:space="preserve"> </w:t>
            </w:r>
            <w:r w:rsidRPr="00A34A91">
              <w:rPr>
                <w:rFonts w:asciiTheme="minorHAnsi" w:hAnsiTheme="minorHAnsi" w:cstheme="minorHAnsi"/>
                <w:szCs w:val="18"/>
                <w:lang w:val="fr-FR"/>
              </w:rPr>
              <w:t xml:space="preserve">les modifications suivantes sont apportées :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b/>
                <w:szCs w:val="18"/>
                <w:lang w:val="nl-BE"/>
              </w:rPr>
              <w:t>Art. X+1.</w:t>
            </w:r>
            <w:r w:rsidRPr="00A34A91">
              <w:rPr>
                <w:rFonts w:asciiTheme="minorHAnsi" w:hAnsiTheme="minorHAnsi" w:cstheme="minorHAnsi"/>
                <w:szCs w:val="18"/>
                <w:lang w:val="nl-BE"/>
              </w:rPr>
              <w:t xml:space="preserve"> In artikel 12 van dezelfde wet</w:t>
            </w:r>
            <w:r w:rsidRPr="00A34A91">
              <w:rPr>
                <w:rFonts w:asciiTheme="minorHAnsi" w:hAnsiTheme="minorHAnsi" w:cstheme="minorHAnsi"/>
                <w:i/>
                <w:szCs w:val="18"/>
                <w:lang w:val="nl-BE"/>
              </w:rPr>
              <w:t xml:space="preserve"> </w:t>
            </w:r>
            <w:r w:rsidRPr="00A34A91">
              <w:rPr>
                <w:rFonts w:asciiTheme="minorHAnsi" w:hAnsiTheme="minorHAnsi" w:cstheme="minorHAnsi"/>
                <w:szCs w:val="18"/>
                <w:lang w:val="nl-BE"/>
              </w:rPr>
              <w:t xml:space="preserve">worden de volgende wijzigingen aangebracht: </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1° Au paragraphe premier, les mots "par lettre recommandée à la poste" sont remplacés par les mots "soit par envoi recommandé, soit par formulaire électronique en ligne, mis à disposition par le Fonds et complété suivant les directives y énoncées".</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szCs w:val="18"/>
                <w:lang w:val="nl-BE"/>
              </w:rPr>
              <w:t>1° In de eerste paragraaf worden de woorden “bij een ter post aangetekende brief” vervangen door de woorden “hetzij bij aangetekende zending, hetzij door middel van een elektronisch online formulier, ter beschikking gesteld door het Fonds, en ingevuld volgens de richtlijnen die erin voorkomen”;</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2° Au paragraphe 2, les mots "lettre recommandée" sont remplacés par le mot "demande".</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szCs w:val="18"/>
                <w:lang w:val="nl-BE"/>
              </w:rPr>
              <w:t>2° In de tweede paragraaf worden de woorden “aangetekende brief” vervangen door het woord “aanvraag”.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b/>
                <w:szCs w:val="18"/>
                <w:lang w:val="fr-FR"/>
              </w:rPr>
              <w:t>Art. X+2.</w:t>
            </w:r>
            <w:r w:rsidRPr="00A34A91">
              <w:rPr>
                <w:rFonts w:asciiTheme="minorHAnsi" w:hAnsiTheme="minorHAnsi" w:cstheme="minorHAnsi"/>
                <w:szCs w:val="18"/>
                <w:lang w:val="fr-FR"/>
              </w:rPr>
              <w:t xml:space="preserve"> À l’article 15 de la même loi, les modifications suivantes sont apportées :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b/>
                <w:szCs w:val="18"/>
                <w:lang w:val="nl-BE"/>
              </w:rPr>
              <w:t>Art. X+2.</w:t>
            </w:r>
            <w:r w:rsidRPr="00A34A91">
              <w:rPr>
                <w:rFonts w:asciiTheme="minorHAnsi" w:hAnsiTheme="minorHAnsi" w:cstheme="minorHAnsi"/>
                <w:szCs w:val="18"/>
                <w:lang w:val="nl-BE"/>
              </w:rPr>
              <w:t xml:space="preserve">  In artikel 15 van dezelfde wet, worden de volgende wijzigingen aangebracht: </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1° À l’alinéa 6, les mots "par courrier recommandé à la poste" sont remplacés par les mots "par envoi recommandé";</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szCs w:val="18"/>
                <w:lang w:val="nl-BE"/>
              </w:rPr>
              <w:t>1° In het zesde lid worden de woorden “een ter post aangetekende brief” vervangen door de woorden “aangetekende zending”;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2° Au dernier alinéa, les mots "sous pli recommandé à la poste" sont remplacés par les mots "par envoi recommandé".</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szCs w:val="18"/>
                <w:lang w:val="nl-BE"/>
              </w:rPr>
              <w:t>2° In het laatste lid worden de woorden “een ter post aangetekend schrijven” vervangen door de woorden “aangetekende zending”.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b/>
                <w:szCs w:val="18"/>
                <w:lang w:val="fr-FR"/>
              </w:rPr>
              <w:t>Art. X+3.</w:t>
            </w:r>
            <w:r w:rsidRPr="00A34A91">
              <w:rPr>
                <w:rFonts w:asciiTheme="minorHAnsi" w:hAnsiTheme="minorHAnsi" w:cstheme="minorHAnsi"/>
                <w:szCs w:val="18"/>
                <w:lang w:val="fr-FR"/>
              </w:rPr>
              <w:t xml:space="preserve"> À l’article 17, § 4, alinéa 2, de la même loi, les mots "par lettre recommandée à la poste" sont remplacés par les mots "par envoi recommandé".</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b/>
                <w:szCs w:val="18"/>
                <w:lang w:val="nl-BE"/>
              </w:rPr>
              <w:t>Art. X+3.</w:t>
            </w:r>
            <w:r w:rsidRPr="00A34A91">
              <w:rPr>
                <w:rFonts w:asciiTheme="minorHAnsi" w:hAnsiTheme="minorHAnsi" w:cstheme="minorHAnsi"/>
                <w:szCs w:val="18"/>
                <w:lang w:val="nl-BE"/>
              </w:rPr>
              <w:t xml:space="preserve"> In artikel 17, § 4, tweede lid, van dezelfde wet, worden de woorden “een ter post aangetekende brief” vervangen door de woorden “aangetekende zending”.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b/>
                <w:szCs w:val="18"/>
                <w:lang w:val="fr-FR"/>
              </w:rPr>
              <w:lastRenderedPageBreak/>
              <w:t xml:space="preserve">Art. X+4. </w:t>
            </w:r>
            <w:r w:rsidRPr="00A34A91">
              <w:rPr>
                <w:rFonts w:asciiTheme="minorHAnsi" w:hAnsiTheme="minorHAnsi" w:cstheme="minorHAnsi"/>
                <w:szCs w:val="18"/>
                <w:lang w:val="fr-FR"/>
              </w:rPr>
              <w:t>À l’article 22, alinéa premier, de la même loi, les mots "sous pli recommandé à la poste" sont remplacés par les mots "par envoi recommandé".</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b/>
                <w:szCs w:val="18"/>
                <w:lang w:val="nl-BE"/>
              </w:rPr>
              <w:t xml:space="preserve">Art. X+4. </w:t>
            </w:r>
            <w:r w:rsidRPr="00A34A91">
              <w:rPr>
                <w:rFonts w:asciiTheme="minorHAnsi" w:hAnsiTheme="minorHAnsi" w:cstheme="minorHAnsi"/>
                <w:szCs w:val="18"/>
                <w:lang w:val="nl-BE"/>
              </w:rPr>
              <w:t>In artikel 22, eerste lid, van dezelfde wet, worden de woorden  “een ter post aangetekende brief” vervangen door de woorden “aangetekende zending”.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b/>
                <w:szCs w:val="18"/>
                <w:lang w:val="fr-FR"/>
              </w:rPr>
              <w:t>Art. X+5</w:t>
            </w:r>
            <w:r w:rsidRPr="00A34A91">
              <w:rPr>
                <w:rFonts w:asciiTheme="minorHAnsi" w:hAnsiTheme="minorHAnsi" w:cstheme="minorHAnsi"/>
                <w:szCs w:val="18"/>
                <w:lang w:val="fr-FR"/>
              </w:rPr>
              <w:t xml:space="preserve"> À l’article 25, § 1</w:t>
            </w:r>
            <w:r w:rsidRPr="00A34A91">
              <w:rPr>
                <w:rFonts w:asciiTheme="minorHAnsi" w:hAnsiTheme="minorHAnsi" w:cstheme="minorHAnsi"/>
                <w:szCs w:val="18"/>
                <w:vertAlign w:val="superscript"/>
                <w:lang w:val="fr-FR"/>
              </w:rPr>
              <w:t>er</w:t>
            </w:r>
            <w:r w:rsidRPr="00A34A91">
              <w:rPr>
                <w:rFonts w:asciiTheme="minorHAnsi" w:hAnsiTheme="minorHAnsi" w:cstheme="minorHAnsi"/>
                <w:szCs w:val="18"/>
                <w:lang w:val="fr-FR"/>
              </w:rPr>
              <w:t xml:space="preserve">, de la même loi, les modifications suivantes sont apportées :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b/>
                <w:szCs w:val="18"/>
                <w:lang w:val="nl-BE"/>
              </w:rPr>
              <w:t>Art. X+5.</w:t>
            </w:r>
            <w:r w:rsidRPr="00A34A91">
              <w:rPr>
                <w:rFonts w:asciiTheme="minorHAnsi" w:hAnsiTheme="minorHAnsi" w:cstheme="minorHAnsi"/>
                <w:szCs w:val="18"/>
                <w:lang w:val="nl-BE"/>
              </w:rPr>
              <w:t xml:space="preserve"> In artikel 25, §1, van dezelfde wet worden de volgende wijzigingen aangebracht: </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1° Au premier alinéa, les mots "sous pli recommandé à la poste" sont remplacés par les mots "par envoi recommandé"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szCs w:val="18"/>
                <w:lang w:val="nl-BE"/>
              </w:rPr>
              <w:t>1° In het eerste lid, worden de woorden ”een ter post aangetekende brief” vervangen door de woorden “aangetekende zending”;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2° À l’alinéa 2, les mots "sous pli recommandé à la poste" sont remplacés par les mots "par envoi recommandé"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szCs w:val="18"/>
                <w:lang w:val="nl-BE"/>
              </w:rPr>
              <w:t>2° In het tweede lid, worden de woorden “een ter post aangetekende brief” vervangen door de woorden “aangetekende zending”;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3° À l’alinéa 3, les mots "sous pli recommandé à la poste" sont remplacés par les mots "par envoi recommandé"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szCs w:val="18"/>
                <w:lang w:val="nl-BE"/>
              </w:rPr>
              <w:t>3° In het derde lid, worden de woorden “een ter post aangetekende brief” vervangen door de woorden “aangetekende zending”;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4° À l’alinéa 4, les mots "sous pli recommandé à la poste" sont remplacés par les mots "par envoi recommandé".</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szCs w:val="18"/>
                <w:lang w:val="nl-BE"/>
              </w:rPr>
              <w:t>4° In het vierde lid, worden de woorden “een ter post aangetekende brief” vervangen door de woorden “aangetekende zending”.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b/>
                <w:szCs w:val="18"/>
                <w:lang w:val="fr-FR"/>
              </w:rPr>
              <w:t xml:space="preserve">Art. X+6. </w:t>
            </w:r>
            <w:r w:rsidRPr="00A34A91">
              <w:rPr>
                <w:rFonts w:asciiTheme="minorHAnsi" w:hAnsiTheme="minorHAnsi" w:cstheme="minorHAnsi"/>
                <w:szCs w:val="18"/>
                <w:lang w:val="fr-FR"/>
              </w:rPr>
              <w:t>À l’article 26</w:t>
            </w:r>
            <w:r w:rsidRPr="00A34A91">
              <w:rPr>
                <w:rFonts w:asciiTheme="minorHAnsi" w:hAnsiTheme="minorHAnsi" w:cstheme="minorHAnsi"/>
                <w:b/>
                <w:szCs w:val="18"/>
                <w:lang w:val="fr-FR"/>
              </w:rPr>
              <w:t xml:space="preserve"> </w:t>
            </w:r>
            <w:r w:rsidRPr="00A34A91">
              <w:rPr>
                <w:rFonts w:asciiTheme="minorHAnsi" w:hAnsiTheme="minorHAnsi" w:cstheme="minorHAnsi"/>
                <w:szCs w:val="18"/>
                <w:lang w:val="fr-FR"/>
              </w:rPr>
              <w:t xml:space="preserve">de la même loi, les modifications suivantes sont apportées :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b/>
                <w:szCs w:val="18"/>
                <w:lang w:val="nl-BE"/>
              </w:rPr>
              <w:t xml:space="preserve">Art. X+6. </w:t>
            </w:r>
            <w:r w:rsidRPr="00A34A91">
              <w:rPr>
                <w:rFonts w:asciiTheme="minorHAnsi" w:hAnsiTheme="minorHAnsi" w:cstheme="minorHAnsi"/>
                <w:szCs w:val="18"/>
                <w:lang w:val="nl-BE"/>
              </w:rPr>
              <w:t>In artikel 26</w:t>
            </w:r>
            <w:r w:rsidRPr="00A34A91">
              <w:rPr>
                <w:rFonts w:asciiTheme="minorHAnsi" w:hAnsiTheme="minorHAnsi" w:cstheme="minorHAnsi"/>
                <w:b/>
                <w:szCs w:val="18"/>
                <w:lang w:val="nl-BE"/>
              </w:rPr>
              <w:t xml:space="preserve"> </w:t>
            </w:r>
            <w:r w:rsidRPr="00A34A91">
              <w:rPr>
                <w:rFonts w:asciiTheme="minorHAnsi" w:hAnsiTheme="minorHAnsi" w:cstheme="minorHAnsi"/>
                <w:szCs w:val="18"/>
                <w:lang w:val="nl-BE"/>
              </w:rPr>
              <w:t xml:space="preserve">van dezelfde wet worden de volgende wijzigingen aangebracht: </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fr-BE"/>
              </w:rPr>
            </w:pPr>
            <w:r w:rsidRPr="00A34A91">
              <w:rPr>
                <w:rFonts w:asciiTheme="minorHAnsi" w:hAnsiTheme="minorHAnsi" w:cstheme="minorHAnsi"/>
                <w:szCs w:val="18"/>
                <w:lang w:val="fr-FR"/>
              </w:rPr>
              <w:t>1° Au paragraphe 1</w:t>
            </w:r>
            <w:r w:rsidRPr="00A34A91">
              <w:rPr>
                <w:rFonts w:asciiTheme="minorHAnsi" w:hAnsiTheme="minorHAnsi" w:cstheme="minorHAnsi"/>
                <w:szCs w:val="18"/>
                <w:vertAlign w:val="superscript"/>
                <w:lang w:val="fr-FR"/>
              </w:rPr>
              <w:t>er</w:t>
            </w:r>
            <w:r w:rsidRPr="00A34A91">
              <w:rPr>
                <w:rFonts w:asciiTheme="minorHAnsi" w:hAnsiTheme="minorHAnsi" w:cstheme="minorHAnsi"/>
                <w:szCs w:val="18"/>
                <w:lang w:val="fr-FR"/>
              </w:rPr>
              <w:t xml:space="preserve">, alinéa 2, les mots "par lettre recommandée à la poste" sont remplacés par les mots "par envoi recommandé" ;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nl-BE"/>
              </w:rPr>
            </w:pPr>
            <w:r w:rsidRPr="00A34A91">
              <w:rPr>
                <w:rFonts w:asciiTheme="minorHAnsi" w:hAnsiTheme="minorHAnsi" w:cstheme="minorHAnsi"/>
                <w:szCs w:val="18"/>
                <w:lang w:val="nl-BE"/>
              </w:rPr>
              <w:t xml:space="preserve">1° In paragraaf 1, tweede lid, worden de woorden “een ter post aangetekende brief”, vervangen door de woorden “aangetekende zending”; </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2° Au paragraphe 2, alinéa 3, les mots "par lettre recommandée à la poste" sont remplacés par les mots "par envoi recommandé".</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szCs w:val="18"/>
                <w:lang w:val="nl-BE"/>
              </w:rPr>
              <w:t>2° In paragraaf 2, derde lid, worden de woorden “een ter post aangetekende brief” vervangen door  de woorden “aangetekende zending”.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b/>
                <w:szCs w:val="18"/>
                <w:lang w:val="fr-FR"/>
              </w:rPr>
              <w:t xml:space="preserve">Article X+7. </w:t>
            </w:r>
            <w:r w:rsidRPr="00A34A91">
              <w:rPr>
                <w:rFonts w:asciiTheme="minorHAnsi" w:hAnsiTheme="minorHAnsi" w:cstheme="minorHAnsi"/>
                <w:szCs w:val="18"/>
                <w:lang w:val="fr-FR"/>
              </w:rPr>
              <w:t>À l’article 29, alinéa 2, de la même loi, les mots "par lettre recommandée" sont remplacés par les mots</w:t>
            </w:r>
            <w:r w:rsidRPr="00A34A91">
              <w:rPr>
                <w:rFonts w:asciiTheme="minorHAnsi" w:hAnsiTheme="minorHAnsi" w:cstheme="minorHAnsi"/>
                <w:b/>
                <w:szCs w:val="18"/>
                <w:lang w:val="fr-FR"/>
              </w:rPr>
              <w:t xml:space="preserve"> </w:t>
            </w:r>
            <w:r w:rsidRPr="00A34A91">
              <w:rPr>
                <w:rFonts w:asciiTheme="minorHAnsi" w:hAnsiTheme="minorHAnsi" w:cstheme="minorHAnsi"/>
                <w:szCs w:val="18"/>
                <w:lang w:val="fr-FR"/>
              </w:rPr>
              <w:t xml:space="preserve"> "par envoi recommandé".</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b/>
                <w:szCs w:val="18"/>
                <w:lang w:val="nl-BE"/>
              </w:rPr>
              <w:t xml:space="preserve">Artikel X+7. </w:t>
            </w:r>
            <w:r w:rsidRPr="00A34A91">
              <w:rPr>
                <w:rFonts w:asciiTheme="minorHAnsi" w:hAnsiTheme="minorHAnsi" w:cstheme="minorHAnsi"/>
                <w:szCs w:val="18"/>
                <w:lang w:val="nl-BE"/>
              </w:rPr>
              <w:t>In artikel 29, tweede lid, van dezelfde wet worden de woorden “een ter post aangetekend schrijven” vervangen door de woorden</w:t>
            </w:r>
            <w:r w:rsidRPr="00A34A91">
              <w:rPr>
                <w:rFonts w:asciiTheme="minorHAnsi" w:hAnsiTheme="minorHAnsi" w:cstheme="minorHAnsi"/>
                <w:b/>
                <w:szCs w:val="18"/>
                <w:lang w:val="nl-BE"/>
              </w:rPr>
              <w:t xml:space="preserve"> </w:t>
            </w:r>
            <w:r w:rsidRPr="00A34A91">
              <w:rPr>
                <w:rFonts w:asciiTheme="minorHAnsi" w:hAnsiTheme="minorHAnsi" w:cstheme="minorHAnsi"/>
                <w:szCs w:val="18"/>
                <w:lang w:val="nl-BE"/>
              </w:rPr>
              <w:t>“aangetekende zending”.</w:t>
            </w:r>
          </w:p>
        </w:tc>
      </w:tr>
    </w:tbl>
    <w:p w:rsidR="003F05EB" w:rsidRDefault="003F05EB" w:rsidP="003F05EB">
      <w:pPr>
        <w:spacing w:after="0"/>
        <w:jc w:val="left"/>
        <w:rPr>
          <w:rFonts w:asciiTheme="minorHAnsi" w:hAnsiTheme="minorHAnsi" w:cstheme="minorHAnsi"/>
          <w:szCs w:val="18"/>
          <w:lang w:val="nl-BE"/>
        </w:rPr>
      </w:pPr>
    </w:p>
    <w:p w:rsidR="003F05EB" w:rsidRDefault="003F05EB" w:rsidP="003F05EB">
      <w:pPr>
        <w:spacing w:after="0"/>
        <w:jc w:val="left"/>
        <w:rPr>
          <w:rFonts w:asciiTheme="minorHAnsi" w:hAnsiTheme="minorHAnsi" w:cstheme="minorHAnsi"/>
          <w:szCs w:val="18"/>
          <w:lang w:val="nl-BE"/>
        </w:rPr>
      </w:pPr>
      <w:r>
        <w:rPr>
          <w:rFonts w:asciiTheme="minorHAnsi" w:hAnsiTheme="minorHAnsi" w:cstheme="minorHAnsi"/>
          <w:szCs w:val="18"/>
          <w:lang w:val="nl-BE"/>
        </w:rPr>
        <w:br w:type="page"/>
      </w:r>
    </w:p>
    <w:p w:rsidR="003F05EB" w:rsidRPr="00A34A91" w:rsidRDefault="003F05EB" w:rsidP="003F05EB">
      <w:pPr>
        <w:spacing w:after="0"/>
        <w:jc w:val="left"/>
        <w:rPr>
          <w:rFonts w:asciiTheme="minorHAnsi" w:hAnsiTheme="minorHAnsi" w:cstheme="minorHAnsi"/>
          <w:szCs w:val="18"/>
          <w:lang w:val="nl-BE"/>
        </w:rPr>
      </w:pPr>
    </w:p>
    <w:tbl>
      <w:tblPr>
        <w:tblW w:w="1402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3" w:type="dxa"/>
          <w:right w:w="283" w:type="dxa"/>
        </w:tblCellMar>
        <w:tblLook w:val="04A0" w:firstRow="1" w:lastRow="0" w:firstColumn="1" w:lastColumn="0" w:noHBand="0" w:noVBand="1"/>
      </w:tblPr>
      <w:tblGrid>
        <w:gridCol w:w="6658"/>
        <w:gridCol w:w="7371"/>
      </w:tblGrid>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jc w:val="center"/>
              <w:rPr>
                <w:rFonts w:asciiTheme="minorHAnsi" w:hAnsiTheme="minorHAnsi" w:cstheme="minorHAnsi"/>
                <w:szCs w:val="18"/>
                <w:lang w:val="fr-BE"/>
              </w:rPr>
            </w:pPr>
            <w:r w:rsidRPr="00A34A91">
              <w:rPr>
                <w:rFonts w:asciiTheme="minorHAnsi" w:hAnsiTheme="minorHAnsi" w:cstheme="minorHAnsi"/>
                <w:b/>
                <w:szCs w:val="18"/>
                <w:lang w:val="fr-BE"/>
              </w:rPr>
              <w:t>Chapitre  – modifications à la loi du 31 mars 2010 relative à l’indemnisation des dommages résultant de soins de santé</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jc w:val="center"/>
              <w:rPr>
                <w:rFonts w:asciiTheme="minorHAnsi" w:hAnsiTheme="minorHAnsi" w:cstheme="minorHAnsi"/>
                <w:szCs w:val="18"/>
                <w:lang w:val="nl-BE"/>
              </w:rPr>
            </w:pPr>
            <w:r w:rsidRPr="00A34A91">
              <w:rPr>
                <w:rFonts w:asciiTheme="minorHAnsi" w:hAnsiTheme="minorHAnsi" w:cstheme="minorHAnsi"/>
                <w:b/>
                <w:szCs w:val="18"/>
                <w:lang w:val="nl-BE"/>
              </w:rPr>
              <w:t xml:space="preserve">Hoofdstuk </w:t>
            </w:r>
            <w:r w:rsidRPr="00A34A91">
              <w:rPr>
                <w:rFonts w:asciiTheme="minorHAnsi" w:hAnsiTheme="minorHAnsi" w:cstheme="minorHAnsi"/>
                <w:szCs w:val="18"/>
                <w:lang w:val="nl-BE"/>
              </w:rPr>
              <w:t xml:space="preserve"> </w:t>
            </w:r>
            <w:r w:rsidRPr="00A34A91">
              <w:rPr>
                <w:rFonts w:asciiTheme="minorHAnsi" w:hAnsiTheme="minorHAnsi" w:cstheme="minorHAnsi"/>
                <w:b/>
                <w:szCs w:val="18"/>
                <w:lang w:val="nl-BE"/>
              </w:rPr>
              <w:t>– wijzigingen van de wet van 31 maart 2010 betreffende de vergoeding van schade als gevolg van gezondheidszorg</w:t>
            </w:r>
          </w:p>
        </w:tc>
      </w:tr>
      <w:tr w:rsidR="003F05EB" w:rsidRPr="00A34A91" w:rsidTr="003F05EB">
        <w:trPr>
          <w:trHeight w:val="374"/>
        </w:trPr>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05EB" w:rsidRPr="00A34A91" w:rsidRDefault="003F05EB" w:rsidP="003F05EB">
            <w:pPr>
              <w:jc w:val="center"/>
              <w:rPr>
                <w:rFonts w:asciiTheme="minorHAnsi" w:hAnsiTheme="minorHAnsi" w:cstheme="minorHAnsi"/>
                <w:b/>
                <w:szCs w:val="18"/>
                <w:lang w:val="nl-BE"/>
              </w:rPr>
            </w:pPr>
            <w:r w:rsidRPr="00A34A91">
              <w:rPr>
                <w:rFonts w:asciiTheme="minorHAnsi" w:hAnsiTheme="minorHAnsi" w:cstheme="minorHAnsi"/>
                <w:b/>
                <w:szCs w:val="18"/>
                <w:lang w:val="nl-BE"/>
              </w:rPr>
              <w:t>2020/023am</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F05EB" w:rsidRPr="00A34A91" w:rsidRDefault="003F05EB" w:rsidP="003F05EB">
            <w:pPr>
              <w:jc w:val="center"/>
              <w:rPr>
                <w:rFonts w:asciiTheme="minorHAnsi" w:hAnsiTheme="minorHAnsi" w:cstheme="minorHAnsi"/>
                <w:b/>
                <w:szCs w:val="18"/>
                <w:lang w:val="nl-BE"/>
              </w:rPr>
            </w:pPr>
            <w:r w:rsidRPr="00A34A91">
              <w:rPr>
                <w:rFonts w:asciiTheme="minorHAnsi" w:hAnsiTheme="minorHAnsi" w:cstheme="minorHAnsi"/>
                <w:b/>
                <w:szCs w:val="18"/>
                <w:lang w:val="nl-BE"/>
              </w:rPr>
              <w:t>2020/023am</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jc w:val="center"/>
              <w:rPr>
                <w:rFonts w:asciiTheme="minorHAnsi" w:hAnsiTheme="minorHAnsi" w:cstheme="minorHAnsi"/>
                <w:szCs w:val="18"/>
                <w:lang w:val="fr-BE"/>
              </w:rPr>
            </w:pPr>
            <w:r w:rsidRPr="00A34A91">
              <w:rPr>
                <w:rFonts w:asciiTheme="minorHAnsi" w:hAnsiTheme="minorHAnsi" w:cstheme="minorHAnsi"/>
                <w:b/>
                <w:szCs w:val="18"/>
                <w:lang w:val="fr-BE"/>
              </w:rPr>
              <w:t>Section X+ Le Fonds des accidents médicaux</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jc w:val="center"/>
              <w:rPr>
                <w:rFonts w:asciiTheme="minorHAnsi" w:hAnsiTheme="minorHAnsi" w:cstheme="minorHAnsi"/>
                <w:szCs w:val="18"/>
                <w:lang w:val="nl-BE"/>
              </w:rPr>
            </w:pPr>
            <w:r w:rsidRPr="00A34A91">
              <w:rPr>
                <w:rFonts w:asciiTheme="minorHAnsi" w:hAnsiTheme="minorHAnsi" w:cstheme="minorHAnsi"/>
                <w:b/>
                <w:szCs w:val="18"/>
                <w:lang w:val="nl-BE"/>
              </w:rPr>
              <w:t>Afdeling X + Fonds voor de medische ongevallen</w:t>
            </w:r>
          </w:p>
        </w:tc>
      </w:tr>
      <w:tr w:rsidR="003F05EB" w:rsidRPr="00A34A91" w:rsidTr="003F05EB">
        <w:trPr>
          <w:trHeight w:val="4495"/>
        </w:trPr>
        <w:tc>
          <w:tcPr>
            <w:tcW w:w="6658" w:type="dxa"/>
            <w:tcBorders>
              <w:top w:val="single" w:sz="4" w:space="0" w:color="auto"/>
              <w:left w:val="single" w:sz="4" w:space="0" w:color="auto"/>
              <w:bottom w:val="single" w:sz="4" w:space="0" w:color="auto"/>
              <w:right w:val="single" w:sz="4" w:space="0" w:color="auto"/>
            </w:tcBorders>
          </w:tcPr>
          <w:p w:rsidR="003F05EB" w:rsidRPr="00A34A91" w:rsidRDefault="003F05EB" w:rsidP="003F05EB">
            <w:pPr>
              <w:jc w:val="center"/>
              <w:rPr>
                <w:rFonts w:asciiTheme="minorHAnsi" w:hAnsiTheme="minorHAnsi" w:cstheme="minorHAnsi"/>
                <w:i/>
                <w:szCs w:val="18"/>
                <w:u w:val="single"/>
                <w:lang w:val="nl-BE"/>
              </w:rPr>
            </w:pPr>
          </w:p>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 xml:space="preserve">Étant donné que le gouvernement poursuit ses efforts de modernisation et de numérisation, il est désormais également prévu, dans le cadre du Fonds des accidents médicaux, de fournir un formulaire de demande numérique et d'envoyer des lettres recommandées sous forme numérique de manière accessible et sûre. </w:t>
            </w:r>
          </w:p>
          <w:p w:rsidR="003F05EB" w:rsidRPr="00A34A91" w:rsidRDefault="003F05EB" w:rsidP="003F05EB">
            <w:pPr>
              <w:rPr>
                <w:rFonts w:asciiTheme="minorHAnsi" w:hAnsiTheme="minorHAnsi" w:cstheme="minorHAnsi"/>
                <w:szCs w:val="18"/>
                <w:lang w:val="fr-BE"/>
              </w:rPr>
            </w:pPr>
          </w:p>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szCs w:val="18"/>
                <w:lang w:val="fr-FR"/>
              </w:rPr>
              <w:t>La modification de la loi prévoit également de remplacer les termes « lettre recommandée à la poste », « courrier recommandé à la poste » ou « pli recommandé à la poste » par la formulation « envoi recommandé », comme prévu à l'article 27 de la loi du 26 janvier 2018 relative aux services postaux, afin de ne pas donner l'impression que seul le courrier recommandé sur papier est possible ou autorisé.</w:t>
            </w:r>
          </w:p>
        </w:tc>
        <w:tc>
          <w:tcPr>
            <w:tcW w:w="7371" w:type="dxa"/>
            <w:tcBorders>
              <w:top w:val="single" w:sz="4" w:space="0" w:color="auto"/>
              <w:left w:val="single" w:sz="4" w:space="0" w:color="auto"/>
              <w:bottom w:val="single" w:sz="4" w:space="0" w:color="auto"/>
              <w:right w:val="single" w:sz="4" w:space="0" w:color="auto"/>
            </w:tcBorders>
          </w:tcPr>
          <w:p w:rsidR="003F05EB" w:rsidRPr="00A34A91" w:rsidRDefault="003F05EB" w:rsidP="003F05EB">
            <w:pPr>
              <w:jc w:val="center"/>
              <w:rPr>
                <w:rFonts w:asciiTheme="minorHAnsi" w:hAnsiTheme="minorHAnsi" w:cstheme="minorHAnsi"/>
                <w:i/>
                <w:szCs w:val="18"/>
                <w:u w:val="single"/>
                <w:lang w:val="fr-BE"/>
              </w:rPr>
            </w:pPr>
          </w:p>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szCs w:val="18"/>
                <w:lang w:val="nl-BE"/>
              </w:rPr>
              <w:t xml:space="preserve">Gelet op het feit dat de overheid verder blijft inzetten op modernisering en digitalisering is het nu ook de bedoeling om, binnen het Fonds voor de medische ongevallen, te voorzien in een digitaal aanvraagformulier en het digitaal verzenden van aangetekende brieven op een toegankelijke en veilige manier. </w:t>
            </w:r>
          </w:p>
          <w:p w:rsidR="003F05EB" w:rsidRPr="00A34A91" w:rsidRDefault="003F05EB" w:rsidP="003F05EB">
            <w:pPr>
              <w:rPr>
                <w:rFonts w:asciiTheme="minorHAnsi" w:hAnsiTheme="minorHAnsi" w:cstheme="minorHAnsi"/>
                <w:szCs w:val="18"/>
                <w:lang w:val="nl-BE"/>
              </w:rPr>
            </w:pPr>
          </w:p>
          <w:p w:rsidR="003F05EB" w:rsidRPr="00A34A91" w:rsidRDefault="003F05EB" w:rsidP="003F05EB">
            <w:pPr>
              <w:rPr>
                <w:rFonts w:asciiTheme="minorHAnsi" w:hAnsiTheme="minorHAnsi" w:cstheme="minorHAnsi"/>
                <w:b/>
                <w:szCs w:val="18"/>
                <w:lang w:val="nl-BE"/>
              </w:rPr>
            </w:pPr>
            <w:r w:rsidRPr="00A34A91">
              <w:rPr>
                <w:rFonts w:asciiTheme="minorHAnsi" w:hAnsiTheme="minorHAnsi" w:cstheme="minorHAnsi"/>
                <w:szCs w:val="18"/>
                <w:lang w:val="nl-BE"/>
              </w:rPr>
              <w:t>De wetswijziging  voorziet om die redenen in het vervangen van de termen “ter post aangetekende brief” of “ter post aangetekend schrijven” door de formulering “aangetekende zending”, zoals bepaald in artikel 27 van de wet van 26 januari 2018 betreffende postdiensten, teneinde niet de indruk te wekken dat enkel aangetekende zendingen op papier mogelijk of toegestaan zijn.</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b/>
                <w:szCs w:val="18"/>
                <w:lang w:val="fr-FR"/>
              </w:rPr>
              <w:t xml:space="preserve">Art. X. </w:t>
            </w:r>
            <w:r w:rsidRPr="00A34A91">
              <w:rPr>
                <w:rFonts w:asciiTheme="minorHAnsi" w:hAnsiTheme="minorHAnsi" w:cstheme="minorHAnsi"/>
                <w:szCs w:val="18"/>
                <w:lang w:val="fr-FR"/>
              </w:rPr>
              <w:t>Cette disposition a pour objectif de clarifier ce que l'on entend par « envoi recommandé ».</w:t>
            </w:r>
          </w:p>
          <w:p w:rsidR="003F05EB" w:rsidRPr="00A34A91" w:rsidRDefault="003F05EB" w:rsidP="003F05EB">
            <w:pPr>
              <w:rPr>
                <w:rFonts w:asciiTheme="minorHAnsi" w:hAnsiTheme="minorHAnsi" w:cstheme="minorHAnsi"/>
                <w:szCs w:val="18"/>
                <w:lang w:val="fr-BE"/>
              </w:rPr>
            </w:pP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b/>
                <w:szCs w:val="18"/>
                <w:lang w:val="nl-BE"/>
              </w:rPr>
              <w:t xml:space="preserve">Art. X. </w:t>
            </w:r>
            <w:r w:rsidRPr="00A34A91">
              <w:rPr>
                <w:rFonts w:asciiTheme="minorHAnsi" w:hAnsiTheme="minorHAnsi" w:cstheme="minorHAnsi"/>
                <w:szCs w:val="18"/>
                <w:lang w:val="nl-BE"/>
              </w:rPr>
              <w:t>Deze bepaling heeft tot doel om te verduidelijken wat er wordt verstaan onder  “aangetekende zending”.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fr-BE"/>
              </w:rPr>
            </w:pPr>
            <w:r w:rsidRPr="00A34A91">
              <w:rPr>
                <w:rFonts w:asciiTheme="minorHAnsi" w:hAnsiTheme="minorHAnsi" w:cstheme="minorHAnsi"/>
                <w:b/>
                <w:szCs w:val="18"/>
                <w:lang w:val="fr-FR"/>
              </w:rPr>
              <w:t xml:space="preserve">Art. X+1. </w:t>
            </w:r>
            <w:r w:rsidRPr="00A34A91">
              <w:rPr>
                <w:rFonts w:asciiTheme="minorHAnsi" w:hAnsiTheme="minorHAnsi" w:cstheme="minorHAnsi"/>
                <w:szCs w:val="18"/>
                <w:lang w:val="fr-FR"/>
              </w:rPr>
              <w:t xml:space="preserve">Cette disposition vise à étendre les modalités d'introduction d'une demande par le patient, ses représentants ou ses ayants droit, telles que prévues à l'article 12 de la loi du 31 mars 2010 relative à l’indemnisation des dommages résultant de soins de santé (ci-après appelée la loi), et à rendre possible l'introduction d'une telle demande au moyen d'un formulaire électronique en ligne. En vertu de l'article actuel, la procédure auprès du Fonds débute au moment de </w:t>
            </w:r>
            <w:r w:rsidRPr="00A34A91">
              <w:rPr>
                <w:rFonts w:asciiTheme="minorHAnsi" w:hAnsiTheme="minorHAnsi" w:cstheme="minorHAnsi"/>
                <w:szCs w:val="18"/>
                <w:lang w:val="fr-FR"/>
              </w:rPr>
              <w:lastRenderedPageBreak/>
              <w:t>l’introduction d’une demande par lettre recommandée à la poste.</w:t>
            </w:r>
            <w:r w:rsidRPr="00A34A91">
              <w:rPr>
                <w:rFonts w:asciiTheme="minorHAnsi" w:hAnsiTheme="minorHAnsi" w:cstheme="minorHAnsi"/>
                <w:szCs w:val="18"/>
                <w:lang w:val="fr-FR"/>
              </w:rPr>
              <w:br/>
              <w:t>La modification permet de soumettre également une demande au Fonds par voie électronique afin de pouvoir entamer une procédure de manière simple et efficace.</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szCs w:val="18"/>
                <w:lang w:val="nl-BE"/>
              </w:rPr>
            </w:pPr>
            <w:r w:rsidRPr="00A34A91">
              <w:rPr>
                <w:rFonts w:asciiTheme="minorHAnsi" w:hAnsiTheme="minorHAnsi" w:cstheme="minorHAnsi"/>
                <w:b/>
                <w:szCs w:val="18"/>
                <w:lang w:val="nl-BE"/>
              </w:rPr>
              <w:lastRenderedPageBreak/>
              <w:t xml:space="preserve">Art. X+1. </w:t>
            </w:r>
            <w:r w:rsidRPr="00A34A91">
              <w:rPr>
                <w:rFonts w:asciiTheme="minorHAnsi" w:hAnsiTheme="minorHAnsi" w:cstheme="minorHAnsi"/>
                <w:szCs w:val="18"/>
                <w:lang w:val="nl-BE"/>
              </w:rPr>
              <w:t xml:space="preserve">Deze bepaling heeft tot doel om de wijze tot het indienen van een aanvraag door de patiënt, door zijn vertegenwoordiger of door zijn rechthebbenden, zoals bepaald in artikel 12 van de wet van 31 maart 2010 betreffende de vergoeding van schade als gevolg van gezondheidszorg (hierna de wet), uit te breiden en eveneens mogelijk te maken via een elektronisch online formulier. Volgens het huidige artikel neemt de procedure bij het Fonds een aanvang bij het indienen van een aanvraag bij een ter post aangetekende brief. Deze </w:t>
            </w:r>
            <w:r w:rsidRPr="00A34A91">
              <w:rPr>
                <w:rFonts w:asciiTheme="minorHAnsi" w:hAnsiTheme="minorHAnsi" w:cstheme="minorHAnsi"/>
                <w:szCs w:val="18"/>
                <w:lang w:val="nl-BE"/>
              </w:rPr>
              <w:lastRenderedPageBreak/>
              <w:t>wijziging maakt het mogelijk om ook op elektronische wijze een aanvraag bij het Fonds in te dienen, teneinde een procedure op een eenvoudige en doeltreffende wijze te kunnen starten.</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fr-BE"/>
              </w:rPr>
            </w:pPr>
            <w:r w:rsidRPr="00A34A91">
              <w:rPr>
                <w:rFonts w:asciiTheme="minorHAnsi" w:hAnsiTheme="minorHAnsi" w:cstheme="minorHAnsi"/>
                <w:b/>
                <w:szCs w:val="18"/>
                <w:lang w:val="fr-FR"/>
              </w:rPr>
              <w:lastRenderedPageBreak/>
              <w:t xml:space="preserve">Art. X+2. </w:t>
            </w:r>
            <w:r w:rsidRPr="00A34A91">
              <w:rPr>
                <w:rFonts w:asciiTheme="minorHAnsi" w:hAnsiTheme="minorHAnsi" w:cstheme="minorHAnsi"/>
                <w:szCs w:val="18"/>
                <w:lang w:val="fr-FR"/>
              </w:rPr>
              <w:t>Cette modification terminologique a pour but de préciser que le courrier recommandé sur papier n'est pas le seul courrier autorisé ou possible.   En vertu de l'actuel article 15 de la loi, la correspondance, telle que prévue au sixième alinéa, doit être envoyée « par courrier recommandé à la poste » et au dernier paragraphe « par pli recommandé à la poste ». Afin d'éviter toute confusion à cet égard, la formulation « par envoi recommandé » est préférable.</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nl-BE"/>
              </w:rPr>
            </w:pPr>
            <w:r w:rsidRPr="00A34A91">
              <w:rPr>
                <w:rFonts w:asciiTheme="minorHAnsi" w:hAnsiTheme="minorHAnsi" w:cstheme="minorHAnsi"/>
                <w:b/>
                <w:szCs w:val="18"/>
                <w:lang w:val="nl-BE"/>
              </w:rPr>
              <w:t xml:space="preserve">Art. X+2. </w:t>
            </w:r>
            <w:r w:rsidRPr="00A34A91">
              <w:rPr>
                <w:rFonts w:asciiTheme="minorHAnsi" w:hAnsiTheme="minorHAnsi" w:cstheme="minorHAnsi"/>
                <w:szCs w:val="18"/>
                <w:lang w:val="nl-BE"/>
              </w:rPr>
              <w:t>Deze wijziging inzake de terminologie heeft tot doel om te verduidelijken dat niet enkel aangetekende zendingen op papier toegestaan of mogelijk zijn. Volgens het huidig artikel 15 van de wet dient de briefwisseling, zoals bepaald in het zesde lid te gebeuren via “een ter post aangetekende brief” en in het laatste lid,  via “een ter post aangetekend schrijven”. Teneinde verwarring hieromtrent te vermijden wordt de voorkeur gegeven aan de formulering “aangetekende zending”.</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fr-BE"/>
              </w:rPr>
            </w:pPr>
            <w:r w:rsidRPr="00A34A91">
              <w:rPr>
                <w:rFonts w:asciiTheme="minorHAnsi" w:hAnsiTheme="minorHAnsi" w:cstheme="minorHAnsi"/>
                <w:b/>
                <w:szCs w:val="18"/>
                <w:lang w:val="fr-FR"/>
              </w:rPr>
              <w:t xml:space="preserve">Art. X+3. </w:t>
            </w:r>
            <w:r w:rsidRPr="00A34A91">
              <w:rPr>
                <w:rFonts w:asciiTheme="minorHAnsi" w:hAnsiTheme="minorHAnsi" w:cstheme="minorHAnsi"/>
                <w:szCs w:val="18"/>
                <w:lang w:val="fr-FR"/>
              </w:rPr>
              <w:t>Cette modification terminologique a pour but de préciser que la correspondance recommandée sur papier n’est pas la seule autorisée ou possible afin, en cas de demande de récusation de l'expert, comme le prévoit l'art. 17, § 4 de la loi, de communiquer cette demande aux autres parties et à l'expert dont la récusation est demandée. Afin d'éviter toute confusion à cet égard, il est préférable d'utiliser la formulation « par envoi recommandé » au lieu de la formulation « par lettre recommandée à la poste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nl-BE"/>
              </w:rPr>
            </w:pPr>
            <w:r w:rsidRPr="00A34A91">
              <w:rPr>
                <w:rFonts w:asciiTheme="minorHAnsi" w:hAnsiTheme="minorHAnsi" w:cstheme="minorHAnsi"/>
                <w:b/>
                <w:szCs w:val="18"/>
                <w:lang w:val="nl-BE"/>
              </w:rPr>
              <w:t xml:space="preserve">Art. X+3. </w:t>
            </w:r>
            <w:r w:rsidRPr="00A34A91">
              <w:rPr>
                <w:rFonts w:asciiTheme="minorHAnsi" w:hAnsiTheme="minorHAnsi" w:cstheme="minorHAnsi"/>
                <w:szCs w:val="18"/>
                <w:lang w:val="nl-BE"/>
              </w:rPr>
              <w:t>Deze wijziging inzake de terminologie heeft tot doel om te verduidelijken dat niet enkel aangetekende zendingen op papier toegestaan of mogelijk zijn om in geval van een aanvraag tot wraking van de expert, zoals bepaald in art. 17, § 4 van de wet, deze aanvraag mee te delen aan de andere partijen en aan de expert wiens wraking wordt gevraagd. Teneinde verwarring hieromtrent te vermijden wordt de voorkeur gegeven aan de formulering “aangetekende zending” in plaats van “een ter post aangetekende brief”.</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fr-BE"/>
              </w:rPr>
            </w:pPr>
            <w:r w:rsidRPr="00A34A91">
              <w:rPr>
                <w:rFonts w:asciiTheme="minorHAnsi" w:hAnsiTheme="minorHAnsi" w:cstheme="minorHAnsi"/>
                <w:b/>
                <w:szCs w:val="18"/>
                <w:lang w:val="fr-FR"/>
              </w:rPr>
              <w:t xml:space="preserve">Art. X+4.  </w:t>
            </w:r>
            <w:r w:rsidRPr="00A34A91">
              <w:rPr>
                <w:rFonts w:asciiTheme="minorHAnsi" w:hAnsiTheme="minorHAnsi" w:cstheme="minorHAnsi"/>
                <w:szCs w:val="18"/>
                <w:lang w:val="fr-FR"/>
              </w:rPr>
              <w:t>Cette modification terminologique a pour but de préciser qu'en cas de notification de l'avis du Fonds aux parties concernées, comme le prévoit l'article 22 de la loi, il n'est pas seulement possible ou permis d'envoyer un courrier recommandé sur papier.  Afin d'éviter toute confusion à cet égard, il est préférable d'utiliser la formulation « par envoi recommandé » au lieu de la formulation « sous pli recommandé à la poste ».</w:t>
            </w:r>
            <w:r w:rsidRPr="00A34A91">
              <w:rPr>
                <w:rFonts w:asciiTheme="minorHAnsi" w:hAnsiTheme="minorHAnsi" w:cstheme="minorHAnsi"/>
                <w:b/>
                <w:szCs w:val="18"/>
                <w:lang w:val="fr-FR"/>
              </w:rPr>
              <w:br/>
              <w:t>​</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nl-BE"/>
              </w:rPr>
            </w:pPr>
            <w:r w:rsidRPr="00A34A91">
              <w:rPr>
                <w:rFonts w:asciiTheme="minorHAnsi" w:hAnsiTheme="minorHAnsi" w:cstheme="minorHAnsi"/>
                <w:b/>
                <w:szCs w:val="18"/>
                <w:lang w:val="nl-BE"/>
              </w:rPr>
              <w:t xml:space="preserve">Art. X+4.  </w:t>
            </w:r>
            <w:r w:rsidRPr="00A34A91">
              <w:rPr>
                <w:rFonts w:asciiTheme="minorHAnsi" w:hAnsiTheme="minorHAnsi" w:cstheme="minorHAnsi"/>
                <w:szCs w:val="18"/>
                <w:lang w:val="nl-BE"/>
              </w:rPr>
              <w:t>Deze wijziging inzake de terminologie heeft tot doel om te verduidelijken dat niet enkel aangetekende zendingen op papier toegestaan of mogelijk zijn, in geval van het ter kennis brengen van het advies van het Fonds aan de betrokken partijen, zoals bepaald in art. 22 van de wet.  Teneinde verwarring hieromtrent te vermijden wordt de voorkeur gegeven aan de formulering “aangetekende zending” in plaats van “een ter post aangetekende brief”.</w:t>
            </w:r>
          </w:p>
        </w:tc>
      </w:tr>
    </w:tbl>
    <w:p w:rsidR="003F05EB" w:rsidRDefault="003F05EB" w:rsidP="003F05EB">
      <w:r>
        <w:br w:type="page"/>
      </w:r>
    </w:p>
    <w:tbl>
      <w:tblPr>
        <w:tblW w:w="1402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3" w:type="dxa"/>
          <w:right w:w="283" w:type="dxa"/>
        </w:tblCellMar>
        <w:tblLook w:val="04A0" w:firstRow="1" w:lastRow="0" w:firstColumn="1" w:lastColumn="0" w:noHBand="0" w:noVBand="1"/>
      </w:tblPr>
      <w:tblGrid>
        <w:gridCol w:w="6658"/>
        <w:gridCol w:w="7371"/>
      </w:tblGrid>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fr-BE"/>
              </w:rPr>
            </w:pPr>
            <w:r w:rsidRPr="00A34A91">
              <w:rPr>
                <w:rFonts w:asciiTheme="minorHAnsi" w:hAnsiTheme="minorHAnsi" w:cstheme="minorHAnsi"/>
                <w:b/>
                <w:szCs w:val="18"/>
                <w:lang w:val="fr-FR"/>
              </w:rPr>
              <w:lastRenderedPageBreak/>
              <w:t xml:space="preserve">Art. X+5.  </w:t>
            </w:r>
            <w:r w:rsidRPr="00A34A91">
              <w:rPr>
                <w:rFonts w:asciiTheme="minorHAnsi" w:hAnsiTheme="minorHAnsi" w:cstheme="minorHAnsi"/>
                <w:szCs w:val="18"/>
                <w:lang w:val="fr-FR"/>
              </w:rPr>
              <w:t>Le but de cette modification terminologique est de préciser que le courrier recommandé sur papier n’est pas le seul autorisé ou possible, en cas d'envoi d'une offre d’indemnisation au demandeur, comme stipulé à l'article 25, § 1</w:t>
            </w:r>
            <w:r w:rsidRPr="00A34A91">
              <w:rPr>
                <w:rFonts w:asciiTheme="minorHAnsi" w:hAnsiTheme="minorHAnsi" w:cstheme="minorHAnsi"/>
                <w:szCs w:val="18"/>
                <w:vertAlign w:val="superscript"/>
                <w:lang w:val="fr-FR"/>
              </w:rPr>
              <w:t>er</w:t>
            </w:r>
            <w:r w:rsidRPr="00A34A91">
              <w:rPr>
                <w:rFonts w:asciiTheme="minorHAnsi" w:hAnsiTheme="minorHAnsi" w:cstheme="minorHAnsi"/>
                <w:szCs w:val="18"/>
                <w:lang w:val="fr-FR"/>
              </w:rPr>
              <w:t>, alinéas premier, 2, 3 et 4, de la loi qui prévoit de transmettre une offre d’indemnisation. Afin d'éviter toute confusion à cet égard, il est préférable d'utiliser la formulation « par envoi recommandé » au lieu de la formulation « sous pli recommandé à la poste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nl-BE"/>
              </w:rPr>
            </w:pPr>
            <w:r w:rsidRPr="00A34A91">
              <w:rPr>
                <w:rFonts w:asciiTheme="minorHAnsi" w:hAnsiTheme="minorHAnsi" w:cstheme="minorHAnsi"/>
                <w:b/>
                <w:szCs w:val="18"/>
                <w:lang w:val="nl-BE"/>
              </w:rPr>
              <w:t xml:space="preserve">Art. X+5. </w:t>
            </w:r>
            <w:r w:rsidRPr="00A34A91">
              <w:rPr>
                <w:rFonts w:asciiTheme="minorHAnsi" w:hAnsiTheme="minorHAnsi" w:cstheme="minorHAnsi"/>
                <w:szCs w:val="18"/>
                <w:lang w:val="nl-BE"/>
              </w:rPr>
              <w:t>Deze wijziging inzake de terminologie heeft tot doel te verduidelijken dat niet enkel aangetekende zendingen op papier toegestaan of mogelijk zijn, in geval van het versturen van een voorstel tot vergoeding naar de aanvrager, zoals bepaald in art. 25, § 1, eerste, tweede, derde en vierde lid, van de wet, dit vergoedingsvoorstel  over te maken. Teneinde verwarring hieromtrent te vermijden wordt de voorkeur gegeven aan de formulering “aangetekende zending” in plaats van “een ter post aangetekende brief”.</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fr-BE"/>
              </w:rPr>
            </w:pPr>
            <w:r w:rsidRPr="00A34A91">
              <w:rPr>
                <w:rFonts w:asciiTheme="minorHAnsi" w:hAnsiTheme="minorHAnsi" w:cstheme="minorHAnsi"/>
                <w:b/>
                <w:szCs w:val="18"/>
                <w:lang w:val="fr-FR"/>
              </w:rPr>
              <w:t xml:space="preserve">Art. X+6.  </w:t>
            </w:r>
            <w:r w:rsidRPr="00A34A91">
              <w:rPr>
                <w:rFonts w:asciiTheme="minorHAnsi" w:hAnsiTheme="minorHAnsi" w:cstheme="minorHAnsi"/>
                <w:szCs w:val="18"/>
                <w:lang w:val="fr-FR"/>
              </w:rPr>
              <w:t>Cette modification terminologique a pour but de préciser que le courrier recommandé sur papier n’est pas le seul est autorisé ou possible, dans le cas de l'envoi d'un rappel au demandeur à défaut de réaction de sa part à l’offre d'indemnisation, comme prévu à l'article 26, § 1</w:t>
            </w:r>
            <w:r w:rsidRPr="00A34A91">
              <w:rPr>
                <w:rFonts w:asciiTheme="minorHAnsi" w:hAnsiTheme="minorHAnsi" w:cstheme="minorHAnsi"/>
                <w:szCs w:val="18"/>
                <w:vertAlign w:val="superscript"/>
                <w:lang w:val="fr-FR"/>
              </w:rPr>
              <w:t>er</w:t>
            </w:r>
            <w:r w:rsidRPr="00A34A91">
              <w:rPr>
                <w:rFonts w:asciiTheme="minorHAnsi" w:hAnsiTheme="minorHAnsi" w:cstheme="minorHAnsi"/>
                <w:szCs w:val="18"/>
                <w:lang w:val="fr-FR"/>
              </w:rPr>
              <w:t>, de la loi, et dans le cas de l'envoi d'une réponse avec, le cas échéant, une offre d'indemnisation adaptée, comme prévu à l'article 26 § 2, alinéa 3, de la loi.  Afin d'éviter toute confusion à cet égard, il est préférable d'utiliser la formulation « par envoi recommandé » au lieu de « par lettre recommandée à la poste ».</w:t>
            </w:r>
            <w:r w:rsidRPr="00A34A91">
              <w:rPr>
                <w:rFonts w:asciiTheme="minorHAnsi" w:hAnsiTheme="minorHAnsi" w:cstheme="minorHAnsi"/>
                <w:b/>
                <w:szCs w:val="18"/>
                <w:lang w:val="fr-FR"/>
              </w:rPr>
              <w:br/>
              <w:t xml:space="preserve">​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nl-BE"/>
              </w:rPr>
            </w:pPr>
            <w:r w:rsidRPr="00A34A91">
              <w:rPr>
                <w:rFonts w:asciiTheme="minorHAnsi" w:hAnsiTheme="minorHAnsi" w:cstheme="minorHAnsi"/>
                <w:b/>
                <w:szCs w:val="18"/>
                <w:lang w:val="nl-BE"/>
              </w:rPr>
              <w:t xml:space="preserve">Art. X+6. </w:t>
            </w:r>
            <w:r w:rsidRPr="00A34A91">
              <w:rPr>
                <w:rFonts w:asciiTheme="minorHAnsi" w:hAnsiTheme="minorHAnsi" w:cstheme="minorHAnsi"/>
                <w:szCs w:val="18"/>
                <w:lang w:val="nl-BE"/>
              </w:rPr>
              <w:t>Deze wijziging inzake de terminologie heeft tot doel te verduidelijken dat niet enkel aangetekende zendingen op papier toegestaan of mogelijk zijn, in geval van het versturen van een herinnering aan de aanvrager na het uitblijven van een reactie van de aanvrager op het voorstel tot vergoeding, zoals voorzien in art 26, § 1 van de wet  en in geval van het versturen van een antwoord met desgevallend een aangepast vergoedingsvoorstel zoals voorzien in art. 26, § 2, derde lid van de wet.  Teneinde verwarring hieromtrent te vermijden wordt de voorkeur gegeven aan de formulering “aangetekende zending” in plaats van “een ter post aangetekende brief”.</w:t>
            </w:r>
            <w:r w:rsidRPr="00A34A91">
              <w:rPr>
                <w:rFonts w:asciiTheme="minorHAnsi" w:hAnsiTheme="minorHAnsi" w:cstheme="minorHAnsi"/>
                <w:b/>
                <w:szCs w:val="18"/>
                <w:lang w:val="nl-BE"/>
              </w:rPr>
              <w:t xml:space="preserve"> </w:t>
            </w:r>
          </w:p>
        </w:tc>
      </w:tr>
      <w:tr w:rsidR="003F05EB" w:rsidRPr="00A34A91" w:rsidTr="003F05EB">
        <w:tc>
          <w:tcPr>
            <w:tcW w:w="6658"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fr-BE"/>
              </w:rPr>
            </w:pPr>
            <w:r w:rsidRPr="00A34A91">
              <w:rPr>
                <w:rFonts w:asciiTheme="minorHAnsi" w:hAnsiTheme="minorHAnsi" w:cstheme="minorHAnsi"/>
                <w:b/>
                <w:szCs w:val="18"/>
                <w:lang w:val="fr-FR"/>
              </w:rPr>
              <w:t xml:space="preserve">Art. X+7. </w:t>
            </w:r>
            <w:r w:rsidRPr="00A34A91">
              <w:rPr>
                <w:rFonts w:asciiTheme="minorHAnsi" w:hAnsiTheme="minorHAnsi" w:cstheme="minorHAnsi"/>
                <w:szCs w:val="18"/>
                <w:lang w:val="fr-FR"/>
              </w:rPr>
              <w:t xml:space="preserve">Cette modification terminologique a pour but de préciser le courrier recommandé sur papier n’est pas le seul autorisé ou possible dans le cas où l'assureur du prestataire de soins de santé formule une offre d'indemnisation au demandeur avec copie au Fonds, comme le prévoit l'article 29, alinéa 2, de la loi. </w:t>
            </w:r>
            <w:r w:rsidRPr="00A34A91">
              <w:rPr>
                <w:rFonts w:asciiTheme="minorHAnsi" w:hAnsiTheme="minorHAnsi" w:cstheme="minorHAnsi"/>
                <w:b/>
                <w:szCs w:val="18"/>
                <w:lang w:val="fr-FR"/>
              </w:rPr>
              <w:t xml:space="preserve"> </w:t>
            </w:r>
            <w:r w:rsidRPr="00A34A91">
              <w:rPr>
                <w:rFonts w:asciiTheme="minorHAnsi" w:hAnsiTheme="minorHAnsi" w:cstheme="minorHAnsi"/>
                <w:szCs w:val="18"/>
                <w:lang w:val="fr-FR"/>
              </w:rPr>
              <w:t>Afin d'éviter toute confusion à cet égard, il est préférable d'utiliser la formulation « par envoi recommandé » au lieu de la formulation « par lettre recommandée ».</w:t>
            </w:r>
          </w:p>
        </w:tc>
        <w:tc>
          <w:tcPr>
            <w:tcW w:w="7371" w:type="dxa"/>
            <w:tcBorders>
              <w:top w:val="single" w:sz="4" w:space="0" w:color="auto"/>
              <w:left w:val="single" w:sz="4" w:space="0" w:color="auto"/>
              <w:bottom w:val="single" w:sz="4" w:space="0" w:color="auto"/>
              <w:right w:val="single" w:sz="4" w:space="0" w:color="auto"/>
            </w:tcBorders>
            <w:hideMark/>
          </w:tcPr>
          <w:p w:rsidR="003F05EB" w:rsidRPr="00A34A91" w:rsidRDefault="003F05EB" w:rsidP="003F05EB">
            <w:pPr>
              <w:rPr>
                <w:rFonts w:asciiTheme="minorHAnsi" w:hAnsiTheme="minorHAnsi" w:cstheme="minorHAnsi"/>
                <w:b/>
                <w:szCs w:val="18"/>
                <w:lang w:val="nl-BE"/>
              </w:rPr>
            </w:pPr>
            <w:r w:rsidRPr="00A34A91">
              <w:rPr>
                <w:rFonts w:asciiTheme="minorHAnsi" w:hAnsiTheme="minorHAnsi" w:cstheme="minorHAnsi"/>
                <w:b/>
                <w:szCs w:val="18"/>
                <w:lang w:val="nl-BE"/>
              </w:rPr>
              <w:t xml:space="preserve">Art. X+7. </w:t>
            </w:r>
            <w:r w:rsidRPr="00A34A91">
              <w:rPr>
                <w:rFonts w:asciiTheme="minorHAnsi" w:hAnsiTheme="minorHAnsi" w:cstheme="minorHAnsi"/>
                <w:szCs w:val="18"/>
                <w:lang w:val="nl-BE"/>
              </w:rPr>
              <w:t>Deze wijziging inzake de terminologie heeft tot doel te verduidelijken dat niet enkel aangetekende zendingen op papier toegestaan of mogelijk zijn, in geval de verzekeraar van de zorgverlener een voorstel tot schadevergoeding doet aan de aanvrager met een kopie naar het Fonds, zoals voorzien in artikel 29, tweede lid van de wet.</w:t>
            </w:r>
            <w:r w:rsidRPr="00A34A91">
              <w:rPr>
                <w:rFonts w:asciiTheme="minorHAnsi" w:hAnsiTheme="minorHAnsi" w:cstheme="minorHAnsi"/>
                <w:b/>
                <w:szCs w:val="18"/>
                <w:lang w:val="nl-BE"/>
              </w:rPr>
              <w:t xml:space="preserve"> </w:t>
            </w:r>
            <w:r w:rsidRPr="00A34A91">
              <w:rPr>
                <w:rFonts w:asciiTheme="minorHAnsi" w:hAnsiTheme="minorHAnsi" w:cstheme="minorHAnsi"/>
                <w:szCs w:val="18"/>
                <w:lang w:val="nl-BE"/>
              </w:rPr>
              <w:t>Teneinde verwarring hieromtrent te vermijden wordt de voorkeur gegeven aan de formulering “aangetekende zending” in plaats van “een ter post aangetekend schrijven”.</w:t>
            </w:r>
          </w:p>
        </w:tc>
      </w:tr>
    </w:tbl>
    <w:p w:rsidR="003F05EB" w:rsidRDefault="003F05EB" w:rsidP="003F05EB">
      <w:pPr>
        <w:spacing w:after="0"/>
        <w:jc w:val="left"/>
        <w:rPr>
          <w:rFonts w:asciiTheme="minorHAnsi" w:hAnsiTheme="minorHAnsi" w:cstheme="minorHAnsi"/>
          <w:b/>
          <w:bCs/>
          <w:szCs w:val="18"/>
        </w:rPr>
      </w:pPr>
    </w:p>
    <w:p w:rsidR="003F05EB" w:rsidRPr="002805D5" w:rsidRDefault="003F05EB" w:rsidP="003F05EB">
      <w:pPr>
        <w:spacing w:after="0"/>
        <w:rPr>
          <w:rFonts w:cs="Arial"/>
          <w:b/>
          <w:spacing w:val="-10"/>
          <w:kern w:val="28"/>
          <w:position w:val="6"/>
          <w:sz w:val="20"/>
        </w:rPr>
      </w:pPr>
    </w:p>
    <w:p w:rsidR="003F05EB" w:rsidRDefault="003F05EB" w:rsidP="003F05EB">
      <w:pPr>
        <w:spacing w:after="0"/>
        <w:jc w:val="left"/>
        <w:rPr>
          <w:rFonts w:asciiTheme="minorHAnsi" w:hAnsiTheme="minorHAnsi" w:cstheme="minorHAnsi"/>
          <w:b/>
          <w:bCs/>
          <w:szCs w:val="18"/>
        </w:rPr>
      </w:pPr>
    </w:p>
    <w:p w:rsidR="00696503" w:rsidRPr="000B2D4B" w:rsidRDefault="00696503" w:rsidP="00696503">
      <w:pPr>
        <w:spacing w:after="0"/>
        <w:jc w:val="left"/>
        <w:rPr>
          <w:rFonts w:cs="Arial"/>
          <w:sz w:val="20"/>
          <w:lang w:val="nl-BE"/>
        </w:rPr>
      </w:pPr>
    </w:p>
    <w:p w:rsidR="00696503" w:rsidRPr="000B2D4B" w:rsidRDefault="00696503" w:rsidP="00696503">
      <w:pPr>
        <w:spacing w:after="0"/>
        <w:jc w:val="left"/>
        <w:rPr>
          <w:rFonts w:cs="Arial"/>
          <w:sz w:val="20"/>
          <w:lang w:val="nl-BE"/>
        </w:rPr>
      </w:pPr>
    </w:p>
    <w:p w:rsidR="000F52F7" w:rsidRPr="00A34A91" w:rsidRDefault="000F52F7" w:rsidP="00E11857">
      <w:pPr>
        <w:spacing w:after="0"/>
        <w:jc w:val="left"/>
        <w:rPr>
          <w:rFonts w:asciiTheme="minorHAnsi" w:hAnsiTheme="minorHAnsi" w:cstheme="minorHAnsi"/>
          <w:b/>
          <w:bCs/>
          <w:szCs w:val="18"/>
        </w:rPr>
      </w:pPr>
    </w:p>
    <w:sectPr w:rsidR="000F52F7" w:rsidRPr="00A34A91" w:rsidSect="00F50983">
      <w:headerReference w:type="default" r:id="rId15"/>
      <w:footerReference w:type="even" r:id="rId16"/>
      <w:footerReference w:type="default" r:id="rId17"/>
      <w:pgSz w:w="16838" w:h="11906" w:orient="landscape" w:code="9"/>
      <w:pgMar w:top="1412" w:right="1191" w:bottom="1412" w:left="1225"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227" w:rsidRDefault="00437227">
      <w:r>
        <w:separator/>
      </w:r>
    </w:p>
  </w:endnote>
  <w:endnote w:type="continuationSeparator" w:id="0">
    <w:p w:rsidR="00437227" w:rsidRDefault="0043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E4F" w:rsidRDefault="00AF7E4F" w:rsidP="00936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7E4F" w:rsidRDefault="00AF7E4F" w:rsidP="009361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E4F" w:rsidRDefault="00AF7E4F">
    <w:pPr>
      <w:rPr>
        <w:rFonts w:cs="Arial"/>
        <w:sz w:val="12"/>
        <w:szCs w:val="12"/>
        <w:lang w:val="nl-BE"/>
      </w:rPr>
    </w:pPr>
  </w:p>
  <w:p w:rsidR="00AF7E4F" w:rsidRPr="00A7757B" w:rsidRDefault="00AF7E4F" w:rsidP="002C0E3F">
    <w:pPr>
      <w:jc w:val="center"/>
      <w:rPr>
        <w:szCs w:val="18"/>
      </w:rPr>
    </w:pPr>
    <w:r w:rsidRPr="00D17150">
      <w:rPr>
        <w:rFonts w:cs="Arial"/>
        <w:sz w:val="12"/>
        <w:szCs w:val="12"/>
        <w:lang w:val="nl-BE"/>
      </w:rPr>
      <w:t>FMO –</w:t>
    </w:r>
    <w:r>
      <w:rPr>
        <w:rFonts w:cs="Arial"/>
        <w:sz w:val="12"/>
        <w:szCs w:val="12"/>
        <w:lang w:val="nl-BE"/>
      </w:rPr>
      <w:t xml:space="preserve"> Structurele bijsturing en wegwerken achterstand</w:t>
    </w:r>
    <w:r w:rsidRPr="00D17150">
      <w:rPr>
        <w:rFonts w:cs="Arial"/>
        <w:sz w:val="12"/>
        <w:szCs w:val="12"/>
        <w:lang w:val="nl-BE"/>
      </w:rPr>
      <w:t xml:space="preserve"> – Mia Honinckx / print </w:t>
    </w:r>
    <w:r>
      <w:rPr>
        <w:rFonts w:cs="Arial"/>
        <w:sz w:val="12"/>
        <w:szCs w:val="12"/>
        <w:lang w:val="nl-BE"/>
      </w:rPr>
      <w:fldChar w:fldCharType="begin"/>
    </w:r>
    <w:r>
      <w:rPr>
        <w:rFonts w:cs="Arial"/>
        <w:sz w:val="12"/>
        <w:szCs w:val="12"/>
        <w:lang w:val="nl-BE"/>
      </w:rPr>
      <w:instrText xml:space="preserve"> TIME \@ "d/MM/yyyy H:mm" </w:instrText>
    </w:r>
    <w:r>
      <w:rPr>
        <w:rFonts w:cs="Arial"/>
        <w:sz w:val="12"/>
        <w:szCs w:val="12"/>
        <w:lang w:val="nl-BE"/>
      </w:rPr>
      <w:fldChar w:fldCharType="separate"/>
    </w:r>
    <w:r w:rsidR="0058136D">
      <w:rPr>
        <w:rFonts w:cs="Arial"/>
        <w:noProof/>
        <w:sz w:val="12"/>
        <w:szCs w:val="12"/>
        <w:lang w:val="nl-BE"/>
      </w:rPr>
      <w:t>9/06/2021 9:41</w:t>
    </w:r>
    <w:r>
      <w:rPr>
        <w:rFonts w:cs="Arial"/>
        <w:sz w:val="12"/>
        <w:szCs w:val="12"/>
        <w:lang w:val="nl-BE"/>
      </w:rPr>
      <w:fldChar w:fldCharType="end"/>
    </w:r>
    <w:r w:rsidRPr="00D17150">
      <w:rPr>
        <w:rFonts w:cs="Arial"/>
        <w:sz w:val="20"/>
        <w:lang w:val="nl-BE"/>
      </w:rPr>
      <w:t xml:space="preserve">       </w:t>
    </w:r>
    <w:r>
      <w:rPr>
        <w:rFonts w:cs="Arial"/>
        <w:sz w:val="20"/>
        <w:lang w:val="nl-BE"/>
      </w:rPr>
      <w:t xml:space="preserve">                                                               </w:t>
    </w:r>
    <w:r w:rsidRPr="00D17150">
      <w:rPr>
        <w:rFonts w:cs="Arial"/>
        <w:sz w:val="20"/>
        <w:lang w:val="nl-BE"/>
      </w:rPr>
      <w:t xml:space="preserve">                               </w:t>
    </w:r>
    <w:r w:rsidRPr="00D17150">
      <w:rPr>
        <w:rFonts w:cs="Arial"/>
        <w:szCs w:val="18"/>
        <w:lang w:val="nl-BE"/>
      </w:rPr>
      <w:t xml:space="preserve">p. </w:t>
    </w:r>
    <w:sdt>
      <w:sdtPr>
        <w:rPr>
          <w:szCs w:val="18"/>
        </w:rPr>
        <w:id w:val="250395305"/>
        <w:docPartObj>
          <w:docPartGallery w:val="Page Numbers (Top of Page)"/>
          <w:docPartUnique/>
        </w:docPartObj>
      </w:sdtPr>
      <w:sdtEndPr/>
      <w:sdtContent>
        <w:r w:rsidRPr="00D17150">
          <w:rPr>
            <w:szCs w:val="18"/>
            <w:lang w:val="nl-BE"/>
          </w:rPr>
          <w:t xml:space="preserve"> </w:t>
        </w:r>
        <w:r w:rsidRPr="00A7757B">
          <w:rPr>
            <w:szCs w:val="18"/>
          </w:rPr>
          <w:fldChar w:fldCharType="begin"/>
        </w:r>
        <w:r w:rsidRPr="00D17150">
          <w:rPr>
            <w:szCs w:val="18"/>
            <w:lang w:val="nl-BE"/>
          </w:rPr>
          <w:instrText xml:space="preserve"> PAGE </w:instrText>
        </w:r>
        <w:r w:rsidRPr="00A7757B">
          <w:rPr>
            <w:szCs w:val="18"/>
          </w:rPr>
          <w:fldChar w:fldCharType="separate"/>
        </w:r>
        <w:r w:rsidR="0058136D">
          <w:rPr>
            <w:noProof/>
            <w:szCs w:val="18"/>
            <w:lang w:val="nl-BE"/>
          </w:rPr>
          <w:t>21</w:t>
        </w:r>
        <w:r w:rsidRPr="00A7757B">
          <w:rPr>
            <w:szCs w:val="18"/>
          </w:rPr>
          <w:fldChar w:fldCharType="end"/>
        </w:r>
        <w:r w:rsidRPr="00A7757B">
          <w:rPr>
            <w:szCs w:val="18"/>
          </w:rPr>
          <w:t xml:space="preserve"> / </w:t>
        </w:r>
        <w:r w:rsidRPr="00A7757B">
          <w:rPr>
            <w:szCs w:val="18"/>
          </w:rPr>
          <w:fldChar w:fldCharType="begin"/>
        </w:r>
        <w:r w:rsidRPr="00A7757B">
          <w:rPr>
            <w:szCs w:val="18"/>
          </w:rPr>
          <w:instrText xml:space="preserve"> NUMPAGES  </w:instrText>
        </w:r>
        <w:r w:rsidRPr="00A7757B">
          <w:rPr>
            <w:szCs w:val="18"/>
          </w:rPr>
          <w:fldChar w:fldCharType="separate"/>
        </w:r>
        <w:r w:rsidR="0058136D">
          <w:rPr>
            <w:noProof/>
            <w:szCs w:val="18"/>
          </w:rPr>
          <w:t>30</w:t>
        </w:r>
        <w:r w:rsidRPr="00A7757B">
          <w:rPr>
            <w:szCs w:val="18"/>
          </w:rPr>
          <w:fldChar w:fldCharType="end"/>
        </w:r>
      </w:sdtContent>
    </w:sdt>
  </w:p>
  <w:p w:rsidR="00AF7E4F" w:rsidRPr="008F3AA8" w:rsidRDefault="00AF7E4F" w:rsidP="008F3AA8">
    <w:pPr>
      <w:jc w:val="center"/>
      <w:rPr>
        <w:rFonts w:eastAsiaTheme="majorEastAsia" w:cs="Arial"/>
        <w:sz w:val="20"/>
      </w:rPr>
    </w:pPr>
  </w:p>
  <w:p w:rsidR="00AF7E4F" w:rsidRPr="008F3AA8" w:rsidRDefault="00AF7E4F">
    <w:pPr>
      <w:pStyle w:val="Foo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227" w:rsidRDefault="00437227">
      <w:r>
        <w:separator/>
      </w:r>
    </w:p>
  </w:footnote>
  <w:footnote w:type="continuationSeparator" w:id="0">
    <w:p w:rsidR="00437227" w:rsidRDefault="00437227">
      <w:r>
        <w:separator/>
      </w:r>
    </w:p>
  </w:footnote>
  <w:footnote w:type="continuationNotice" w:id="1">
    <w:p w:rsidR="00437227" w:rsidRDefault="00437227">
      <w:pPr>
        <w:rPr>
          <w:i/>
        </w:rPr>
      </w:pPr>
      <w:r>
        <w:rPr>
          <w:i/>
        </w:rPr>
        <w:t>(</w:t>
      </w:r>
      <w:proofErr w:type="spellStart"/>
      <w:r>
        <w:rPr>
          <w:i/>
        </w:rPr>
        <w:t>footnote</w:t>
      </w:r>
      <w:proofErr w:type="spellEnd"/>
      <w:r>
        <w:rPr>
          <w:i/>
        </w:rPr>
        <w:t xml:space="preserve"> </w:t>
      </w:r>
      <w:proofErr w:type="spellStart"/>
      <w:r>
        <w:rPr>
          <w:i/>
        </w:rPr>
        <w:t>continued</w:t>
      </w:r>
      <w:proofErr w:type="spellEnd"/>
      <w:r>
        <w:rPr>
          <w:i/>
        </w:rPr>
        <w:t>)</w:t>
      </w:r>
    </w:p>
  </w:footnote>
  <w:footnote w:id="2">
    <w:p w:rsidR="00AF7E4F" w:rsidRPr="00380714" w:rsidRDefault="00AF7E4F" w:rsidP="000B2468">
      <w:pPr>
        <w:pStyle w:val="FootnoteText"/>
        <w:spacing w:after="0" w:line="240" w:lineRule="auto"/>
        <w:jc w:val="left"/>
        <w:rPr>
          <w:lang w:val="nl-BE"/>
        </w:rPr>
      </w:pPr>
      <w:r>
        <w:rPr>
          <w:rStyle w:val="FootnoteReference"/>
        </w:rPr>
        <w:footnoteRef/>
      </w:r>
      <w:r>
        <w:t xml:space="preserve"> Dit is het resultaat van een overlegproces tussen de FMO-leiding, de minister en het Beheerscomité. Dit proces begon met de beleidsnota van de FMO-leiding </w:t>
      </w:r>
      <w:r>
        <w:rPr>
          <w:lang w:val="nl-BE"/>
        </w:rPr>
        <w:t>“</w:t>
      </w:r>
      <w:r w:rsidRPr="00253081">
        <w:rPr>
          <w:lang w:val="nl-BE"/>
        </w:rPr>
        <w:t>Fonds voor de Medische Ongevallen</w:t>
      </w:r>
      <w:r>
        <w:rPr>
          <w:lang w:val="nl-BE"/>
        </w:rPr>
        <w:t xml:space="preserve"> - </w:t>
      </w:r>
      <w:r w:rsidRPr="00253081">
        <w:rPr>
          <w:lang w:val="nl-BE"/>
        </w:rPr>
        <w:t>Analyse problematiek en voorstellen verbetering</w:t>
      </w:r>
      <w:r>
        <w:rPr>
          <w:lang w:val="nl-BE"/>
        </w:rPr>
        <w:t>” van 24 november 2020. In de loop van dit proces werd de uitwerking van de verbeteringsvoorstellen maximaal geconcretiseerd.</w:t>
      </w:r>
    </w:p>
  </w:footnote>
  <w:footnote w:id="3">
    <w:p w:rsidR="00AF7E4F" w:rsidRPr="008737AF" w:rsidRDefault="00AF7E4F" w:rsidP="00801EF7">
      <w:pPr>
        <w:pStyle w:val="FootnoteText"/>
        <w:spacing w:after="0"/>
        <w:jc w:val="left"/>
        <w:rPr>
          <w:lang w:val="nl-BE"/>
        </w:rPr>
      </w:pPr>
      <w:r>
        <w:rPr>
          <w:rStyle w:val="FootnoteReference"/>
        </w:rPr>
        <w:footnoteRef/>
      </w:r>
      <w:r>
        <w:t xml:space="preserve"> </w:t>
      </w:r>
      <w:r>
        <w:rPr>
          <w:lang w:val="nl-BE"/>
        </w:rPr>
        <w:t>Zie artikel 2 WMO</w:t>
      </w:r>
    </w:p>
  </w:footnote>
  <w:footnote w:id="4">
    <w:p w:rsidR="00AF7E4F" w:rsidRPr="00DF0BDD" w:rsidRDefault="00AF7E4F" w:rsidP="00801EF7">
      <w:pPr>
        <w:pStyle w:val="FootnoteText"/>
        <w:spacing w:after="0" w:line="240" w:lineRule="auto"/>
        <w:jc w:val="left"/>
        <w:rPr>
          <w:lang w:val="nl-BE"/>
        </w:rPr>
      </w:pPr>
      <w:r>
        <w:rPr>
          <w:rStyle w:val="FootnoteReference"/>
        </w:rPr>
        <w:footnoteRef/>
      </w:r>
      <w:r>
        <w:t xml:space="preserve"> Dit vereist voldoen aan minstens een van de volgende criteria: blijvende invaliditeit van minstens 25%, tijdelijke arbeidsongeschiktheid van minstens 6 maanden, bijzonder zware verstoring (ook economisch) van de levensomstandigheden, overlijden.</w:t>
      </w:r>
    </w:p>
  </w:footnote>
  <w:footnote w:id="5">
    <w:p w:rsidR="00AF7E4F" w:rsidRPr="00DF0BDD" w:rsidRDefault="00AF7E4F" w:rsidP="00801EF7">
      <w:pPr>
        <w:pStyle w:val="FootnoteText"/>
        <w:spacing w:after="0" w:line="240" w:lineRule="auto"/>
        <w:jc w:val="left"/>
        <w:rPr>
          <w:lang w:val="nl-BE"/>
        </w:rPr>
      </w:pPr>
      <w:r>
        <w:rPr>
          <w:rStyle w:val="FootnoteReference"/>
        </w:rPr>
        <w:footnoteRef/>
      </w:r>
      <w:r>
        <w:t xml:space="preserve"> Voorbeelden: therapeutisch falen (bijv. een rugoperatie die geen verbetering geeft van de symptomen), verdere ontwikkeling toestand patiënt (bijv. amputatie van een been na niet gelukte behandeling met stent), verkeerde diagnose zonder fout (de zorgvertrekker had niet het juiste oordeel maar dat bleef binnen de marges van het normale professionele handelen), voorzienbare complicatie (bijv. een breuk waarbij de kans op overlijden op korte termijn 10% is), geen link met de zorgverstrekking (bijv. schade veroorzaakt door een val).</w:t>
      </w:r>
    </w:p>
  </w:footnote>
  <w:footnote w:id="6">
    <w:p w:rsidR="00AF7E4F" w:rsidRPr="00F6115D" w:rsidRDefault="00AF7E4F" w:rsidP="00F6115D">
      <w:pPr>
        <w:pStyle w:val="FootnoteText"/>
        <w:spacing w:after="0"/>
        <w:rPr>
          <w:lang w:val="nl-BE"/>
        </w:rPr>
      </w:pPr>
      <w:r>
        <w:rPr>
          <w:rStyle w:val="FootnoteReference"/>
        </w:rPr>
        <w:footnoteRef/>
      </w:r>
      <w:r>
        <w:t xml:space="preserve"> </w:t>
      </w:r>
      <w:r>
        <w:rPr>
          <w:lang w:val="nl-BE"/>
        </w:rPr>
        <w:t>Cijfers toestand 12 februari 2021.</w:t>
      </w:r>
    </w:p>
  </w:footnote>
  <w:footnote w:id="7">
    <w:p w:rsidR="00AF7E4F" w:rsidRPr="00F46654" w:rsidRDefault="00AF7E4F" w:rsidP="00635A06">
      <w:pPr>
        <w:pStyle w:val="FootnoteText"/>
        <w:spacing w:after="0" w:line="240" w:lineRule="auto"/>
        <w:rPr>
          <w:lang w:val="nl-BE"/>
        </w:rPr>
      </w:pPr>
      <w:r>
        <w:rPr>
          <w:rStyle w:val="FootnoteReference"/>
        </w:rPr>
        <w:footnoteRef/>
      </w:r>
      <w:r>
        <w:t xml:space="preserve"> Dit gebeurt voor aanvragen zonder beschrijving van de schade door een arts. De analyse van de arts van de Verzekeringsinstelling kan hiervoor gebruikt worden. Deze vragenlijst wordt niet verstuurd als het slachtoffer overleden is.</w:t>
      </w:r>
    </w:p>
  </w:footnote>
  <w:footnote w:id="8">
    <w:p w:rsidR="00AF7E4F" w:rsidRPr="002805D5" w:rsidRDefault="00AF7E4F" w:rsidP="00CD1522">
      <w:pPr>
        <w:pStyle w:val="FootnoteText"/>
        <w:spacing w:after="0" w:line="240" w:lineRule="auto"/>
        <w:rPr>
          <w:lang w:val="nl-BE"/>
        </w:rPr>
      </w:pPr>
      <w:r>
        <w:rPr>
          <w:rStyle w:val="FootnoteReference"/>
        </w:rPr>
        <w:footnoteRef/>
      </w:r>
      <w:r>
        <w:t xml:space="preserve"> </w:t>
      </w:r>
      <w:r>
        <w:rPr>
          <w:lang w:val="nl-BE"/>
        </w:rPr>
        <w:t>Op basis van artikel 12 WMO</w:t>
      </w:r>
    </w:p>
  </w:footnote>
  <w:footnote w:id="9">
    <w:p w:rsidR="00AF7E4F" w:rsidRPr="00CA65C6" w:rsidRDefault="00AF7E4F" w:rsidP="00F46654">
      <w:pPr>
        <w:pStyle w:val="FootnoteText"/>
        <w:spacing w:after="0" w:line="240" w:lineRule="auto"/>
        <w:rPr>
          <w:lang w:val="nl-BE"/>
        </w:rPr>
      </w:pPr>
      <w:r>
        <w:rPr>
          <w:rStyle w:val="FootnoteReference"/>
        </w:rPr>
        <w:footnoteRef/>
      </w:r>
      <w:r>
        <w:t xml:space="preserve"> </w:t>
      </w:r>
      <w:r>
        <w:rPr>
          <w:lang w:val="nl-BE"/>
        </w:rPr>
        <w:t>Artikel 17.1 WMO</w:t>
      </w:r>
    </w:p>
  </w:footnote>
  <w:footnote w:id="10">
    <w:p w:rsidR="00AF7E4F" w:rsidRPr="00CA65C6" w:rsidRDefault="00AF7E4F" w:rsidP="00F46654">
      <w:pPr>
        <w:pStyle w:val="FootnoteText"/>
        <w:spacing w:after="0" w:line="240" w:lineRule="auto"/>
        <w:rPr>
          <w:lang w:val="nl-BE"/>
        </w:rPr>
      </w:pPr>
      <w:r>
        <w:rPr>
          <w:rStyle w:val="FootnoteReference"/>
        </w:rPr>
        <w:footnoteRef/>
      </w:r>
      <w:r>
        <w:t xml:space="preserve"> </w:t>
      </w:r>
      <w:r>
        <w:rPr>
          <w:lang w:val="nl-BE"/>
        </w:rPr>
        <w:t>Artikel 17.2 WMO</w:t>
      </w:r>
    </w:p>
  </w:footnote>
  <w:footnote w:id="11">
    <w:p w:rsidR="00AF7E4F" w:rsidRPr="00E27173" w:rsidRDefault="00AF7E4F" w:rsidP="00F46654">
      <w:pPr>
        <w:pStyle w:val="FootnoteText"/>
        <w:spacing w:after="0" w:line="240" w:lineRule="auto"/>
        <w:rPr>
          <w:lang w:val="nl-BE"/>
        </w:rPr>
      </w:pPr>
      <w:r>
        <w:rPr>
          <w:rStyle w:val="FootnoteReference"/>
        </w:rPr>
        <w:footnoteRef/>
      </w:r>
      <w:r>
        <w:t xml:space="preserve"> </w:t>
      </w:r>
      <w:r w:rsidRPr="00E27173">
        <w:rPr>
          <w:lang w:val="nl-BE"/>
        </w:rPr>
        <w:t xml:space="preserve">Op basis van de cijfers in </w:t>
      </w:r>
      <w:r>
        <w:rPr>
          <w:lang w:val="nl-BE"/>
        </w:rPr>
        <w:t xml:space="preserve">het digitaal opvolgingssysteem </w:t>
      </w:r>
      <w:proofErr w:type="spellStart"/>
      <w:r>
        <w:rPr>
          <w:lang w:val="nl-BE"/>
        </w:rPr>
        <w:t>D</w:t>
      </w:r>
      <w:r w:rsidRPr="00E27173">
        <w:rPr>
          <w:lang w:val="nl-BE"/>
        </w:rPr>
        <w:t>amo</w:t>
      </w:r>
      <w:proofErr w:type="spellEnd"/>
      <w:r>
        <w:rPr>
          <w:lang w:val="nl-BE"/>
        </w:rPr>
        <w:t>. Deze verdeling betreft dus het resultaat van de adviezen verstrekt na april 2017 (wat een wat ander beeld geeft dan in punt 1.2).</w:t>
      </w:r>
    </w:p>
  </w:footnote>
  <w:footnote w:id="12">
    <w:p w:rsidR="00AF7E4F" w:rsidRPr="00146D0C" w:rsidRDefault="00AF7E4F" w:rsidP="00F46654">
      <w:pPr>
        <w:pStyle w:val="FootnoteText"/>
        <w:spacing w:after="0" w:line="240" w:lineRule="auto"/>
      </w:pPr>
      <w:r>
        <w:rPr>
          <w:rStyle w:val="FootnoteReference"/>
        </w:rPr>
        <w:footnoteRef/>
      </w:r>
      <w:r>
        <w:t xml:space="preserve"> Bedoeld wordt “kennelijk” geen indicatie van ernstgraad. Bij twijfel wordt het voordeel gegeven aan de aanvrager en gaat het FMO ervan uit dat de ernstgraad bereikt zal zijn. </w:t>
      </w:r>
    </w:p>
  </w:footnote>
  <w:footnote w:id="13">
    <w:p w:rsidR="00AF7E4F" w:rsidRPr="001279A7" w:rsidRDefault="00AF7E4F">
      <w:pPr>
        <w:pStyle w:val="FootnoteText"/>
        <w:spacing w:after="0" w:line="240" w:lineRule="auto"/>
        <w:rPr>
          <w:lang w:val="nl-BE"/>
        </w:rPr>
      </w:pPr>
      <w:r>
        <w:rPr>
          <w:rStyle w:val="FootnoteReference"/>
        </w:rPr>
        <w:footnoteRef/>
      </w:r>
      <w:r w:rsidRPr="001279A7">
        <w:rPr>
          <w:lang w:val="nl-BE"/>
        </w:rPr>
        <w:t xml:space="preserve"> Voor de </w:t>
      </w:r>
      <w:proofErr w:type="spellStart"/>
      <w:r w:rsidRPr="001279A7">
        <w:rPr>
          <w:lang w:val="nl-BE"/>
        </w:rPr>
        <w:t>Task</w:t>
      </w:r>
      <w:proofErr w:type="spellEnd"/>
      <w:r w:rsidRPr="001279A7">
        <w:rPr>
          <w:lang w:val="nl-BE"/>
        </w:rPr>
        <w:t xml:space="preserve"> Force is </w:t>
      </w:r>
      <w:r>
        <w:rPr>
          <w:lang w:val="nl-BE"/>
        </w:rPr>
        <w:t>de gehanteerde referentiedatum van afhandeling het advies of de afsluiting van een dossier. Voor (het beperkt aantal) gevallen waar een schadevergoeding moet berekend, wordt bij de twee jaar nog een termijn van drie maanden bijgeteld. Voor meer detail zie tabel in punt 3.5.</w:t>
      </w:r>
    </w:p>
  </w:footnote>
  <w:footnote w:id="14">
    <w:p w:rsidR="00AF7E4F" w:rsidRPr="0020220E" w:rsidRDefault="00AF7E4F">
      <w:pPr>
        <w:pStyle w:val="FootnoteText"/>
        <w:spacing w:after="0" w:line="240" w:lineRule="auto"/>
      </w:pPr>
      <w:r>
        <w:rPr>
          <w:rStyle w:val="FootnoteReference"/>
        </w:rPr>
        <w:footnoteRef/>
      </w:r>
      <w:r>
        <w:t xml:space="preserve"> Hiervoor is prioritair dat alle artsen operationeel zijn en voldoende dossierbeheerders om die artsen te ondersteunen. Dat de juristen pas later op het jaar worden aangeworven is normaal geen probleem.</w:t>
      </w:r>
    </w:p>
  </w:footnote>
  <w:footnote w:id="15">
    <w:p w:rsidR="00AF7E4F" w:rsidRPr="00635A06" w:rsidRDefault="00AF7E4F" w:rsidP="00635A06">
      <w:pPr>
        <w:pStyle w:val="FootnoteText"/>
        <w:spacing w:after="0" w:line="240" w:lineRule="auto"/>
        <w:rPr>
          <w:lang w:val="nl-BE"/>
        </w:rPr>
      </w:pPr>
      <w:r>
        <w:rPr>
          <w:rStyle w:val="FootnoteReference"/>
        </w:rPr>
        <w:footnoteRef/>
      </w:r>
      <w:r>
        <w:t xml:space="preserve"> </w:t>
      </w:r>
      <w:r>
        <w:rPr>
          <w:lang w:val="nl-BE"/>
        </w:rPr>
        <w:t>Voor de precieze toewijzing zie punt 3.2 hieronder.</w:t>
      </w:r>
    </w:p>
  </w:footnote>
  <w:footnote w:id="16">
    <w:p w:rsidR="00AF7E4F" w:rsidRPr="00DA77C1" w:rsidRDefault="00AF7E4F" w:rsidP="00C739AA">
      <w:pPr>
        <w:pStyle w:val="FootnoteText"/>
        <w:spacing w:after="0" w:line="240" w:lineRule="auto"/>
        <w:rPr>
          <w:lang w:val="nl-BE"/>
        </w:rPr>
      </w:pPr>
      <w:r>
        <w:rPr>
          <w:rStyle w:val="FootnoteReference"/>
        </w:rPr>
        <w:footnoteRef/>
      </w:r>
      <w:r>
        <w:t xml:space="preserve"> Zoals hoger al gezegd, c</w:t>
      </w:r>
      <w:proofErr w:type="spellStart"/>
      <w:r>
        <w:rPr>
          <w:lang w:val="nl-BE"/>
        </w:rPr>
        <w:t>ijfers</w:t>
      </w:r>
      <w:proofErr w:type="spellEnd"/>
      <w:r>
        <w:rPr>
          <w:lang w:val="nl-BE"/>
        </w:rPr>
        <w:t xml:space="preserve"> van 12 februari 2021</w:t>
      </w:r>
    </w:p>
  </w:footnote>
  <w:footnote w:id="17">
    <w:p w:rsidR="00AF7E4F" w:rsidRPr="00443AF4" w:rsidRDefault="00AF7E4F" w:rsidP="008F1B32">
      <w:pPr>
        <w:pStyle w:val="FootnoteText"/>
        <w:spacing w:after="0" w:line="240" w:lineRule="auto"/>
        <w:rPr>
          <w:lang w:val="nl-BE"/>
        </w:rPr>
      </w:pPr>
      <w:r>
        <w:rPr>
          <w:rStyle w:val="FootnoteReference"/>
        </w:rPr>
        <w:footnoteRef/>
      </w:r>
      <w:r>
        <w:t xml:space="preserve"> </w:t>
      </w:r>
      <w:r>
        <w:rPr>
          <w:lang w:val="nl-BE"/>
        </w:rPr>
        <w:t>We laten het Coronajaar 2020 terzijde.</w:t>
      </w:r>
    </w:p>
  </w:footnote>
  <w:footnote w:id="18">
    <w:p w:rsidR="00AF7E4F" w:rsidRPr="00635A06" w:rsidRDefault="00AF7E4F">
      <w:pPr>
        <w:pStyle w:val="FootnoteText"/>
        <w:rPr>
          <w:lang w:val="nl-BE"/>
        </w:rPr>
      </w:pPr>
      <w:r>
        <w:rPr>
          <w:rStyle w:val="FootnoteReference"/>
        </w:rPr>
        <w:footnoteRef/>
      </w:r>
      <w:r>
        <w:t xml:space="preserve"> </w:t>
      </w:r>
      <w:r>
        <w:rPr>
          <w:lang w:val="nl-BE"/>
        </w:rPr>
        <w:t>Cijfers 12 februari 2021</w:t>
      </w:r>
    </w:p>
  </w:footnote>
  <w:footnote w:id="19">
    <w:p w:rsidR="00AF7E4F" w:rsidRPr="00914AAF" w:rsidRDefault="00AF7E4F" w:rsidP="00F6115D">
      <w:pPr>
        <w:pStyle w:val="FootnoteText"/>
        <w:spacing w:after="0" w:line="240" w:lineRule="auto"/>
      </w:pPr>
      <w:r>
        <w:rPr>
          <w:rStyle w:val="FootnoteReference"/>
        </w:rPr>
        <w:footnoteRef/>
      </w:r>
      <w:r>
        <w:t xml:space="preserve"> Momenteel neemt een externe tegensprekelijke expertise gemiddeld 8 maanden in beslag. Een eenzijdige externe expertise neemt gemiddeld 3 maand in beslag.</w:t>
      </w:r>
    </w:p>
  </w:footnote>
  <w:footnote w:id="20">
    <w:p w:rsidR="00AF7E4F" w:rsidRPr="00504749" w:rsidRDefault="00AF7E4F" w:rsidP="00F6115D">
      <w:pPr>
        <w:pStyle w:val="FootnoteText"/>
        <w:spacing w:after="0" w:line="240" w:lineRule="auto"/>
        <w:rPr>
          <w:lang w:val="nl-BE"/>
        </w:rPr>
      </w:pPr>
      <w:r>
        <w:rPr>
          <w:rStyle w:val="FootnoteReference"/>
        </w:rPr>
        <w:footnoteRef/>
      </w:r>
      <w:r>
        <w:t xml:space="preserve"> We schatten hier het risico opwaarts in.</w:t>
      </w:r>
    </w:p>
  </w:footnote>
  <w:footnote w:id="21">
    <w:p w:rsidR="00AF7E4F" w:rsidRPr="00D61D12" w:rsidRDefault="00AF7E4F" w:rsidP="00504749">
      <w:pPr>
        <w:pStyle w:val="FootnoteText"/>
        <w:spacing w:after="0" w:line="240" w:lineRule="auto"/>
        <w:rPr>
          <w:lang w:val="nl-BE"/>
        </w:rPr>
      </w:pPr>
      <w:r>
        <w:rPr>
          <w:rStyle w:val="FootnoteReference"/>
        </w:rPr>
        <w:footnoteRef/>
      </w:r>
      <w:r>
        <w:t xml:space="preserve"> Vragenlijsten: 100 euro per ontvangen per ingevulde vragenlijst, wat betekent 1186 x 100 = 118.600 euro. Analyse ernstgraad  en indicatie aansprakelijkheid gemiddeld 3 uur par dossier voor 1186 dossiers: tussen 300 en 600  euro per dossier = 1186*450= 533.700 euro. Tweede analyse hiervoor is meer expertise vereist, daarom 3 à 4  uur tussen 600 en 800: =1186*0.75 *700= 622.650 euro</w:t>
      </w:r>
    </w:p>
  </w:footnote>
  <w:footnote w:id="22">
    <w:p w:rsidR="00D53DD2" w:rsidRPr="004B44F5" w:rsidRDefault="00D53DD2" w:rsidP="00D53DD2">
      <w:pPr>
        <w:pStyle w:val="FootnoteText"/>
        <w:spacing w:after="0" w:line="240" w:lineRule="auto"/>
        <w:jc w:val="left"/>
        <w:rPr>
          <w:sz w:val="16"/>
          <w:szCs w:val="16"/>
          <w:lang w:val="fr-BE"/>
        </w:rPr>
      </w:pPr>
      <w:r w:rsidRPr="004555D4">
        <w:rPr>
          <w:rStyle w:val="FootnoteReference"/>
        </w:rPr>
        <w:footnoteRef/>
      </w:r>
      <w:r w:rsidRPr="004555D4">
        <w:rPr>
          <w:sz w:val="18"/>
          <w:szCs w:val="18"/>
          <w:lang w:val="fr-BE"/>
        </w:rPr>
        <w:t xml:space="preserve"> </w:t>
      </w:r>
      <w:r w:rsidRPr="004B44F5">
        <w:rPr>
          <w:bCs/>
          <w:sz w:val="16"/>
          <w:szCs w:val="16"/>
          <w:lang w:val="fr-BE"/>
        </w:rPr>
        <w:t xml:space="preserve">Exposé des motifs, </w:t>
      </w:r>
      <w:proofErr w:type="spellStart"/>
      <w:r w:rsidRPr="004B44F5">
        <w:rPr>
          <w:bCs/>
          <w:i/>
          <w:sz w:val="16"/>
          <w:szCs w:val="16"/>
          <w:lang w:val="fr-BE"/>
        </w:rPr>
        <w:t>Doc.parl</w:t>
      </w:r>
      <w:proofErr w:type="spellEnd"/>
      <w:r w:rsidRPr="004B44F5">
        <w:rPr>
          <w:bCs/>
          <w:sz w:val="16"/>
          <w:szCs w:val="16"/>
          <w:lang w:val="fr-BE"/>
        </w:rPr>
        <w:t>. Chambre, 2009-2010, 2240/001, p. 53</w:t>
      </w:r>
    </w:p>
  </w:footnote>
  <w:footnote w:id="23">
    <w:p w:rsidR="00D53DD2" w:rsidRPr="007B5096" w:rsidRDefault="00D53DD2" w:rsidP="00D53DD2">
      <w:pPr>
        <w:pStyle w:val="FootnoteText"/>
        <w:spacing w:after="0" w:line="240" w:lineRule="auto"/>
        <w:jc w:val="left"/>
        <w:rPr>
          <w:lang w:val="nl-BE"/>
        </w:rPr>
      </w:pPr>
      <w:r w:rsidRPr="004B44F5">
        <w:rPr>
          <w:rStyle w:val="FootnoteReference"/>
          <w:sz w:val="16"/>
          <w:szCs w:val="16"/>
        </w:rPr>
        <w:footnoteRef/>
      </w:r>
      <w:r w:rsidRPr="004B44F5">
        <w:rPr>
          <w:sz w:val="16"/>
          <w:szCs w:val="16"/>
          <w:lang w:val="fr-BE"/>
        </w:rPr>
        <w:t xml:space="preserve"> G. </w:t>
      </w:r>
      <w:proofErr w:type="spellStart"/>
      <w:r w:rsidRPr="004B44F5">
        <w:rPr>
          <w:sz w:val="16"/>
          <w:szCs w:val="16"/>
          <w:lang w:val="fr-BE"/>
        </w:rPr>
        <w:t>Schamps</w:t>
      </w:r>
      <w:proofErr w:type="spellEnd"/>
      <w:r w:rsidRPr="004B44F5">
        <w:rPr>
          <w:sz w:val="16"/>
          <w:szCs w:val="16"/>
          <w:lang w:val="fr-BE"/>
        </w:rPr>
        <w:t xml:space="preserve">, « Le Fonds des accidents médicaux et l’indemnisation des dommages résultant de soins de santé », </w:t>
      </w:r>
      <w:r w:rsidRPr="004B44F5">
        <w:rPr>
          <w:i/>
          <w:sz w:val="16"/>
          <w:szCs w:val="16"/>
          <w:lang w:val="fr-BE"/>
        </w:rPr>
        <w:t>R.G.A.R</w:t>
      </w:r>
      <w:r w:rsidRPr="004B44F5">
        <w:rPr>
          <w:sz w:val="16"/>
          <w:szCs w:val="16"/>
          <w:lang w:val="fr-BE"/>
        </w:rPr>
        <w:t xml:space="preserve">., 2014/1, p. 15035, 12 ; Th. </w:t>
      </w:r>
      <w:proofErr w:type="spellStart"/>
      <w:r w:rsidRPr="004B44F5">
        <w:rPr>
          <w:sz w:val="16"/>
          <w:szCs w:val="16"/>
          <w:lang w:val="fr-BE"/>
        </w:rPr>
        <w:t>Vansweevelt</w:t>
      </w:r>
      <w:proofErr w:type="spellEnd"/>
      <w:r w:rsidRPr="004B44F5">
        <w:rPr>
          <w:sz w:val="16"/>
          <w:szCs w:val="16"/>
          <w:lang w:val="fr-BE"/>
        </w:rPr>
        <w:t>, </w:t>
      </w:r>
      <w:r w:rsidRPr="004B44F5">
        <w:rPr>
          <w:i/>
          <w:sz w:val="16"/>
          <w:szCs w:val="16"/>
          <w:lang w:val="fr-BE"/>
        </w:rPr>
        <w:t>La responsabilité des professionnels de la santé</w:t>
      </w:r>
      <w:r w:rsidRPr="004B44F5">
        <w:rPr>
          <w:sz w:val="16"/>
          <w:szCs w:val="16"/>
          <w:lang w:val="fr-BE"/>
        </w:rPr>
        <w:t xml:space="preserve">, Waterloo, </w:t>
      </w:r>
      <w:proofErr w:type="spellStart"/>
      <w:r w:rsidRPr="004B44F5">
        <w:rPr>
          <w:sz w:val="16"/>
          <w:szCs w:val="16"/>
          <w:lang w:val="fr-BE"/>
        </w:rPr>
        <w:t>Wolters</w:t>
      </w:r>
      <w:proofErr w:type="spellEnd"/>
      <w:r w:rsidRPr="004B44F5">
        <w:rPr>
          <w:sz w:val="16"/>
          <w:szCs w:val="16"/>
          <w:lang w:val="fr-BE"/>
        </w:rPr>
        <w:t xml:space="preserve"> Kluwer, 2015, p. 259 ; Th. </w:t>
      </w:r>
      <w:proofErr w:type="spellStart"/>
      <w:r w:rsidRPr="004B44F5">
        <w:rPr>
          <w:sz w:val="16"/>
          <w:szCs w:val="16"/>
          <w:lang w:val="nl-BE"/>
        </w:rPr>
        <w:t>Vansweevelt</w:t>
      </w:r>
      <w:proofErr w:type="spellEnd"/>
      <w:r w:rsidRPr="004B44F5">
        <w:rPr>
          <w:sz w:val="16"/>
          <w:szCs w:val="16"/>
          <w:lang w:val="nl-BE"/>
        </w:rPr>
        <w:t xml:space="preserve">, “De aansprakelijkheid van de arts en het ziekenhuis voor eigen gedrag”,  Th. </w:t>
      </w:r>
      <w:proofErr w:type="spellStart"/>
      <w:r w:rsidRPr="004B44F5">
        <w:rPr>
          <w:sz w:val="16"/>
          <w:szCs w:val="16"/>
          <w:lang w:val="nl-BE"/>
        </w:rPr>
        <w:t>Vansweevelt</w:t>
      </w:r>
      <w:proofErr w:type="spellEnd"/>
      <w:r w:rsidRPr="004B44F5">
        <w:rPr>
          <w:sz w:val="16"/>
          <w:szCs w:val="16"/>
          <w:lang w:val="nl-BE"/>
        </w:rPr>
        <w:t xml:space="preserve"> en F. </w:t>
      </w:r>
      <w:proofErr w:type="spellStart"/>
      <w:r w:rsidRPr="004B44F5">
        <w:rPr>
          <w:sz w:val="16"/>
          <w:szCs w:val="16"/>
          <w:lang w:val="nl-BE"/>
        </w:rPr>
        <w:t>Dewallens</w:t>
      </w:r>
      <w:proofErr w:type="spellEnd"/>
      <w:r w:rsidRPr="004B44F5">
        <w:rPr>
          <w:sz w:val="16"/>
          <w:szCs w:val="16"/>
          <w:lang w:val="nl-BE"/>
        </w:rPr>
        <w:t xml:space="preserve"> (</w:t>
      </w:r>
      <w:proofErr w:type="spellStart"/>
      <w:r w:rsidRPr="004B44F5">
        <w:rPr>
          <w:sz w:val="16"/>
          <w:szCs w:val="16"/>
          <w:lang w:val="nl-BE"/>
        </w:rPr>
        <w:t>eds</w:t>
      </w:r>
      <w:proofErr w:type="spellEnd"/>
      <w:r w:rsidRPr="004B44F5">
        <w:rPr>
          <w:sz w:val="16"/>
          <w:szCs w:val="16"/>
          <w:lang w:val="nl-BE"/>
        </w:rPr>
        <w:t xml:space="preserve">.), </w:t>
      </w:r>
      <w:r w:rsidRPr="004B44F5">
        <w:rPr>
          <w:i/>
          <w:sz w:val="16"/>
          <w:szCs w:val="16"/>
          <w:lang w:val="nl-BE"/>
        </w:rPr>
        <w:t>Handboek Gezondheidsrecht, I</w:t>
      </w:r>
      <w:r w:rsidRPr="004B44F5">
        <w:rPr>
          <w:sz w:val="16"/>
          <w:szCs w:val="16"/>
          <w:lang w:val="nl-BE"/>
        </w:rPr>
        <w:t xml:space="preserve">, Antwerpen, </w:t>
      </w:r>
      <w:proofErr w:type="spellStart"/>
      <w:r w:rsidRPr="004B44F5">
        <w:rPr>
          <w:i/>
          <w:sz w:val="16"/>
          <w:szCs w:val="16"/>
          <w:lang w:val="nl-BE"/>
        </w:rPr>
        <w:t>Intersentia</w:t>
      </w:r>
      <w:proofErr w:type="spellEnd"/>
      <w:r w:rsidRPr="004B44F5">
        <w:rPr>
          <w:sz w:val="16"/>
          <w:szCs w:val="16"/>
          <w:lang w:val="nl-BE"/>
        </w:rPr>
        <w:t xml:space="preserve">, 2014, pp. 1641-1642; I. Boone, “De verhouding tussen het aansprakelijkheidsrecht en de vergoeding door het Fonds voor Medische Ongevallen”,  I. Boone en S. </w:t>
      </w:r>
      <w:proofErr w:type="spellStart"/>
      <w:r w:rsidRPr="004B44F5">
        <w:rPr>
          <w:sz w:val="16"/>
          <w:szCs w:val="16"/>
          <w:lang w:val="nl-BE"/>
        </w:rPr>
        <w:t>Lierman</w:t>
      </w:r>
      <w:proofErr w:type="spellEnd"/>
      <w:r w:rsidRPr="004B44F5">
        <w:rPr>
          <w:sz w:val="16"/>
          <w:szCs w:val="16"/>
          <w:lang w:val="nl-BE"/>
        </w:rPr>
        <w:t xml:space="preserve"> (</w:t>
      </w:r>
      <w:proofErr w:type="spellStart"/>
      <w:r w:rsidRPr="004B44F5">
        <w:rPr>
          <w:sz w:val="16"/>
          <w:szCs w:val="16"/>
          <w:lang w:val="nl-BE"/>
        </w:rPr>
        <w:t>eds</w:t>
      </w:r>
      <w:proofErr w:type="spellEnd"/>
      <w:r w:rsidRPr="004B44F5">
        <w:rPr>
          <w:sz w:val="16"/>
          <w:szCs w:val="16"/>
          <w:lang w:val="nl-BE"/>
        </w:rPr>
        <w:t xml:space="preserve">.), </w:t>
      </w:r>
      <w:r w:rsidRPr="004B44F5">
        <w:rPr>
          <w:i/>
          <w:sz w:val="16"/>
          <w:szCs w:val="16"/>
          <w:lang w:val="nl-BE"/>
        </w:rPr>
        <w:t>Vergoeding van slachtoffers van medische ongevallen</w:t>
      </w:r>
      <w:r w:rsidRPr="004B44F5">
        <w:rPr>
          <w:sz w:val="16"/>
          <w:szCs w:val="16"/>
          <w:lang w:val="nl-BE"/>
        </w:rPr>
        <w:t xml:space="preserve">, Antwerpen, </w:t>
      </w:r>
      <w:proofErr w:type="spellStart"/>
      <w:r w:rsidRPr="004B44F5">
        <w:rPr>
          <w:sz w:val="16"/>
          <w:szCs w:val="16"/>
          <w:lang w:val="nl-BE"/>
        </w:rPr>
        <w:t>Intersentia</w:t>
      </w:r>
      <w:proofErr w:type="spellEnd"/>
      <w:r w:rsidRPr="004B44F5">
        <w:rPr>
          <w:sz w:val="16"/>
          <w:szCs w:val="16"/>
          <w:lang w:val="nl-BE"/>
        </w:rPr>
        <w:t>, 2011, pp. 61-84.</w:t>
      </w:r>
    </w:p>
  </w:footnote>
  <w:footnote w:id="24">
    <w:p w:rsidR="00AF7E4F" w:rsidRPr="00834E95" w:rsidRDefault="00AF7E4F" w:rsidP="001F621A">
      <w:pPr>
        <w:pStyle w:val="FootnoteText"/>
        <w:spacing w:after="0"/>
        <w:rPr>
          <w:sz w:val="16"/>
          <w:lang w:val="nl-BE"/>
        </w:rPr>
      </w:pPr>
      <w:r w:rsidRPr="00834E95">
        <w:rPr>
          <w:rStyle w:val="FootnoteReference"/>
          <w:sz w:val="16"/>
        </w:rPr>
        <w:footnoteRef/>
      </w:r>
      <w:r w:rsidRPr="00834E95">
        <w:rPr>
          <w:sz w:val="16"/>
          <w:lang w:val="nl-BE"/>
        </w:rPr>
        <w:t xml:space="preserve"> Naar analogie art. 27 WMO, waarin wel wordt verwezen naar vaste termijnen om een vordering in te stellen (na vergoedingsvoorstel).</w:t>
      </w:r>
    </w:p>
  </w:footnote>
  <w:footnote w:id="25">
    <w:p w:rsidR="00AF7E4F" w:rsidRPr="00635A06" w:rsidRDefault="00AF7E4F" w:rsidP="00692058">
      <w:pPr>
        <w:pStyle w:val="FootnoteText"/>
        <w:spacing w:after="0" w:line="240" w:lineRule="auto"/>
        <w:jc w:val="left"/>
        <w:rPr>
          <w:sz w:val="16"/>
          <w:lang w:val="nl-BE"/>
        </w:rPr>
      </w:pPr>
      <w:r w:rsidRPr="00166682">
        <w:rPr>
          <w:rStyle w:val="FootnoteReference"/>
          <w:sz w:val="16"/>
        </w:rPr>
        <w:footnoteRef/>
      </w:r>
      <w:r w:rsidRPr="00166682">
        <w:rPr>
          <w:sz w:val="16"/>
          <w:lang w:val="nl-BE"/>
        </w:rPr>
        <w:t xml:space="preserve"> “</w:t>
      </w:r>
      <w:r w:rsidRPr="00635A06">
        <w:rPr>
          <w:sz w:val="16"/>
          <w:lang w:val="nl-BE"/>
        </w:rPr>
        <w:t>Met het oog op een duidelijke en objectieve voorlichting van het publiek over het optreden van de federale administratieve overheden (…) vermeldt elk document waarmee een beslissing of een administratieve handeling met individuele strekking uitgaande van een federale administratieve overheid ter kennis wordt gebracht van een bestuurde, de eventuele beroepsmogelijkheden, de instanties bij wie het beroep moet worden ingesteld en de geldende vormen en termijnen; bij ontstentenis neemt de verjaringstermijn voor het indienen van het beroep geen aanvang”</w:t>
      </w:r>
    </w:p>
  </w:footnote>
  <w:footnote w:id="26">
    <w:p w:rsidR="00AF7E4F" w:rsidRPr="00574B1E" w:rsidRDefault="00AF7E4F" w:rsidP="001279A7">
      <w:pPr>
        <w:pStyle w:val="FootnoteText"/>
        <w:spacing w:after="0" w:line="240" w:lineRule="auto"/>
      </w:pPr>
      <w:r>
        <w:rPr>
          <w:rStyle w:val="FootnoteReference"/>
        </w:rPr>
        <w:footnoteRef/>
      </w:r>
      <w:r>
        <w:t xml:space="preserve"> Deze percentages zijn gebaseerd op de DAMO-cijfers.</w:t>
      </w:r>
      <w:r w:rsidRPr="00EF55D9">
        <w:rPr>
          <w:lang w:val="nl-BE"/>
        </w:rPr>
        <w:t xml:space="preserve"> </w:t>
      </w:r>
      <w:r>
        <w:rPr>
          <w:lang w:val="nl-BE"/>
        </w:rPr>
        <w:t>Deze verdeling betreft dus het resultaat van de adviezen verstrekt na april 2017</w:t>
      </w:r>
      <w:r>
        <w:t xml:space="preserve">. Ze wijken licht af van de cijfers in punt 1.2 die alle dossiers sinds de start bevatten. </w:t>
      </w:r>
    </w:p>
  </w:footnote>
  <w:footnote w:id="27">
    <w:p w:rsidR="00AF7E4F" w:rsidRPr="006656C4" w:rsidRDefault="00AF7E4F" w:rsidP="008F6D1B">
      <w:pPr>
        <w:pStyle w:val="FootnoteText"/>
        <w:spacing w:after="0" w:line="240" w:lineRule="auto"/>
        <w:jc w:val="left"/>
        <w:rPr>
          <w:lang w:val="nl-BE"/>
        </w:rPr>
      </w:pPr>
      <w:r>
        <w:rPr>
          <w:rStyle w:val="FootnoteReference"/>
        </w:rPr>
        <w:footnoteRef/>
      </w:r>
      <w:r>
        <w:t xml:space="preserve"> We hebben hoger gezegd dat we een afbouw bovenop de normale productie moeten realiseren van 1300 dossiers. Daarvan 14% nemen geeft 182 dossiers. De iets preciezere berekening in het stroomschema (waarbij ook de situering in het proces wordt meegenomen) geeft 202. Het blijven allemaal ramingen.</w:t>
      </w:r>
    </w:p>
  </w:footnote>
  <w:footnote w:id="28">
    <w:p w:rsidR="00AF7E4F" w:rsidRPr="00174F16" w:rsidRDefault="00AF7E4F" w:rsidP="000B1152">
      <w:pPr>
        <w:pStyle w:val="FootnoteText"/>
        <w:spacing w:after="0" w:line="240" w:lineRule="auto"/>
        <w:jc w:val="left"/>
        <w:rPr>
          <w:lang w:val="nl-BE"/>
        </w:rPr>
      </w:pPr>
      <w:r>
        <w:rPr>
          <w:rStyle w:val="FootnoteReference"/>
        </w:rPr>
        <w:footnoteRef/>
      </w:r>
      <w:r>
        <w:t xml:space="preserve"> E</w:t>
      </w:r>
      <w:r w:rsidRPr="00174F16">
        <w:t>erste Interne Analyse 3 uur (100% gevallen) en tweede Interne Analyse ook 3 uur (75% gevallen) is gewogen gemiddelde 5,25 uur – afgerond 6 uur</w:t>
      </w:r>
    </w:p>
  </w:footnote>
  <w:footnote w:id="29">
    <w:p w:rsidR="00AF7E4F" w:rsidRPr="009651C5" w:rsidRDefault="00AF7E4F" w:rsidP="000B1152">
      <w:pPr>
        <w:pStyle w:val="FootnoteText"/>
        <w:spacing w:after="0" w:line="240" w:lineRule="auto"/>
        <w:jc w:val="left"/>
      </w:pPr>
      <w:r>
        <w:rPr>
          <w:rStyle w:val="FootnoteReference"/>
        </w:rPr>
        <w:footnoteRef/>
      </w:r>
      <w:r>
        <w:t xml:space="preserve"> Zie tabel in 1.1. Bij 30% van de aanvragen is er een gewone brief (geen tussenkomst jurist), bij 20% is er een kort advies (gerekend op 1 dag) en bij 50% is er een volwaardig advies (gerekend op 3 dagen). Gemiddeld is dat 1,7 dagen per aanvraag, wat we afronden naar 1,5 dagen. (De juristen van het fonds schrijven gemiddeld ca 40 adviezen per jaar, dus 5 dagen per advies. Zij combineren dit met nog andere taken zoals berekening schade en de opvolging van geschillen). Voor de PEP-juristen die zullen aangeworven worden voor de TF nemen we aan dat die 60 volwaardige adviezen per jaar zullen kunnen schrijven, aangezien ze enkel dat moeten doen. Dat komt neer op gemiddeld 1 volwaardig advies per drie dagen.</w:t>
      </w:r>
    </w:p>
  </w:footnote>
  <w:footnote w:id="30">
    <w:p w:rsidR="00AF7E4F" w:rsidRPr="00174F16" w:rsidRDefault="00AF7E4F" w:rsidP="000B1152">
      <w:pPr>
        <w:pStyle w:val="FootnoteText"/>
        <w:spacing w:after="0" w:line="240" w:lineRule="auto"/>
        <w:jc w:val="left"/>
        <w:rPr>
          <w:lang w:val="nl-BE"/>
        </w:rPr>
      </w:pPr>
      <w:r>
        <w:rPr>
          <w:rStyle w:val="FootnoteReference"/>
        </w:rPr>
        <w:footnoteRef/>
      </w:r>
      <w:r>
        <w:t xml:space="preserve"> </w:t>
      </w:r>
      <w:r>
        <w:rPr>
          <w:lang w:val="nl-BE"/>
        </w:rPr>
        <w:t>Dat is dus de 1186 dossier x de behandelingstijd per dossier 4 uur; andere berekeningen zijn analoog</w:t>
      </w:r>
    </w:p>
  </w:footnote>
  <w:footnote w:id="31">
    <w:p w:rsidR="00AF7E4F" w:rsidRPr="00E92DCF" w:rsidRDefault="00AF7E4F" w:rsidP="000B1152">
      <w:pPr>
        <w:pStyle w:val="FootnoteText"/>
        <w:spacing w:after="0" w:line="240" w:lineRule="auto"/>
        <w:jc w:val="left"/>
        <w:rPr>
          <w:lang w:val="nl-BE"/>
        </w:rPr>
      </w:pPr>
      <w:r>
        <w:rPr>
          <w:rStyle w:val="FootnoteReference"/>
        </w:rPr>
        <w:footnoteRef/>
      </w:r>
      <w:r>
        <w:t xml:space="preserve"> </w:t>
      </w:r>
      <w:r>
        <w:rPr>
          <w:lang w:val="nl-BE"/>
        </w:rPr>
        <w:t>We nemen voor een dag 7 uur.</w:t>
      </w:r>
    </w:p>
  </w:footnote>
  <w:footnote w:id="32">
    <w:p w:rsidR="00AF7E4F" w:rsidRPr="00A10065" w:rsidRDefault="00AF7E4F" w:rsidP="000B1152">
      <w:pPr>
        <w:pStyle w:val="FootnoteText"/>
        <w:spacing w:after="0" w:line="240" w:lineRule="auto"/>
        <w:jc w:val="left"/>
      </w:pPr>
      <w:r>
        <w:rPr>
          <w:rStyle w:val="FootnoteReference"/>
        </w:rPr>
        <w:footnoteRef/>
      </w:r>
      <w:r>
        <w:t xml:space="preserve"> Dat is dus de 1186 dossiers x 1 dag</w:t>
      </w:r>
    </w:p>
  </w:footnote>
  <w:footnote w:id="33">
    <w:p w:rsidR="00AF7E4F" w:rsidRPr="002F5F8A" w:rsidRDefault="00AF7E4F" w:rsidP="000B1152">
      <w:pPr>
        <w:pStyle w:val="FootnoteText"/>
        <w:spacing w:after="0" w:line="240" w:lineRule="auto"/>
        <w:jc w:val="left"/>
        <w:rPr>
          <w:lang w:val="nl-BE"/>
        </w:rPr>
      </w:pPr>
      <w:r>
        <w:rPr>
          <w:rStyle w:val="FootnoteReference"/>
        </w:rPr>
        <w:footnoteRef/>
      </w:r>
      <w:r>
        <w:t xml:space="preserve"> </w:t>
      </w:r>
      <w:r>
        <w:rPr>
          <w:lang w:val="nl-BE"/>
        </w:rPr>
        <w:t>Dat is dus de 1186 dossiers x 1,5 dagen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E4F" w:rsidRPr="00EB1C4B" w:rsidRDefault="00AF7E4F" w:rsidP="0058136D">
    <w:pPr>
      <w:pStyle w:val="Header"/>
      <w:rPr>
        <w:b/>
        <w:i/>
      </w:rPr>
    </w:pPr>
    <w:r>
      <w:rPr>
        <w:b/>
        <w:i/>
        <w:noProof/>
        <w:lang w:val="en-GB" w:eastAsia="en-GB"/>
      </w:rPr>
      <mc:AlternateContent>
        <mc:Choice Requires="wps">
          <w:drawing>
            <wp:anchor distT="0" distB="0" distL="114300" distR="114300" simplePos="0" relativeHeight="251659776" behindDoc="0" locked="0" layoutInCell="0" allowOverlap="1" wp14:anchorId="0B37EC26" wp14:editId="7B6B2194">
              <wp:simplePos x="0" y="0"/>
              <wp:positionH relativeFrom="page">
                <wp:posOffset>0</wp:posOffset>
              </wp:positionH>
              <wp:positionV relativeFrom="page">
                <wp:posOffset>190500</wp:posOffset>
              </wp:positionV>
              <wp:extent cx="10692130" cy="273050"/>
              <wp:effectExtent l="0" t="0" r="0" b="12700"/>
              <wp:wrapNone/>
              <wp:docPr id="2" name="MSIPCMec2240e2a6b40233b18c9cd5" descr="{&quot;HashCode&quot;:10472900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F7E4F" w:rsidRPr="002E7D0C" w:rsidRDefault="00AF7E4F" w:rsidP="002E7D0C">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37EC26" id="_x0000_t202" coordsize="21600,21600" o:spt="202" path="m,l,21600r21600,l21600,xe">
              <v:stroke joinstyle="miter"/>
              <v:path gradientshapeok="t" o:connecttype="rect"/>
            </v:shapetype>
            <v:shape id="MSIPCMec2240e2a6b40233b18c9cd5" o:spid="_x0000_s1026" type="#_x0000_t202" alt="{&quot;HashCode&quot;:1047290088,&quot;Height&quot;:595.0,&quot;Width&quot;:841.0,&quot;Placement&quot;:&quot;Header&quot;,&quot;Index&quot;:&quot;Primary&quot;,&quot;Section&quot;:1,&quot;Top&quot;:0.0,&quot;Left&quot;:0.0}" style="position:absolute;left:0;text-align:left;margin-left:0;margin-top:15pt;width:841.9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" o:allowincell="f" filled="f" stroked="f" strokeweight=".5pt">
              <v:textbox inset=",0,,0">
                <w:txbxContent>
                  <w:p w:rsidR="00AF7E4F" w:rsidRPr="002E7D0C" w:rsidRDefault="00AF7E4F" w:rsidP="002E7D0C">
                    <w:pPr>
                      <w:spacing w:after="0"/>
                      <w:jc w:val="center"/>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rPr>
        <w:rFonts w:cs="Times New Roman"/>
      </w:rPr>
    </w:lvl>
  </w:abstractNum>
  <w:abstractNum w:abstractNumId="1" w15:restartNumberingAfterBreak="0">
    <w:nsid w:val="05937690"/>
    <w:multiLevelType w:val="hybridMultilevel"/>
    <w:tmpl w:val="801C1D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9D4802"/>
    <w:multiLevelType w:val="hybridMultilevel"/>
    <w:tmpl w:val="4EBAA400"/>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0C474307"/>
    <w:multiLevelType w:val="hybridMultilevel"/>
    <w:tmpl w:val="51823D2E"/>
    <w:lvl w:ilvl="0" w:tplc="07D8639E">
      <w:start w:val="1"/>
      <w:numFmt w:val="lowerLetter"/>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DC15529"/>
    <w:multiLevelType w:val="hybridMultilevel"/>
    <w:tmpl w:val="B84A9FB0"/>
    <w:lvl w:ilvl="0" w:tplc="E502154A">
      <w:start w:val="1"/>
      <w:numFmt w:val="lowerLetter"/>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47C13A2"/>
    <w:multiLevelType w:val="hybridMultilevel"/>
    <w:tmpl w:val="7892EFF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92C5A6A"/>
    <w:multiLevelType w:val="hybridMultilevel"/>
    <w:tmpl w:val="F5289338"/>
    <w:lvl w:ilvl="0" w:tplc="80467CD8">
      <w:start w:val="13"/>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206033DE"/>
    <w:multiLevelType w:val="hybridMultilevel"/>
    <w:tmpl w:val="0C546492"/>
    <w:lvl w:ilvl="0" w:tplc="85DA87E2">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2827AF1"/>
    <w:multiLevelType w:val="hybridMultilevel"/>
    <w:tmpl w:val="CB6EE264"/>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B476C27"/>
    <w:multiLevelType w:val="hybridMultilevel"/>
    <w:tmpl w:val="E49E3F8E"/>
    <w:lvl w:ilvl="0" w:tplc="85DA87E2">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D5C5331"/>
    <w:multiLevelType w:val="hybridMultilevel"/>
    <w:tmpl w:val="C3F6517A"/>
    <w:lvl w:ilvl="0" w:tplc="AE4ADF5E">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3A20776"/>
    <w:multiLevelType w:val="hybridMultilevel"/>
    <w:tmpl w:val="DBDC4548"/>
    <w:lvl w:ilvl="0" w:tplc="DA769E7A">
      <w:start w:val="1"/>
      <w:numFmt w:val="bullet"/>
      <w:lvlText w:val="·"/>
      <w:lvlJc w:val="left"/>
      <w:pPr>
        <w:ind w:left="717" w:hanging="360"/>
      </w:pPr>
      <w:rPr>
        <w:rFonts w:ascii="Calibri" w:hAnsi="Calibri" w:hint="default"/>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2" w15:restartNumberingAfterBreak="0">
    <w:nsid w:val="34A13C15"/>
    <w:multiLevelType w:val="hybridMultilevel"/>
    <w:tmpl w:val="4D02B382"/>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396056F9"/>
    <w:multiLevelType w:val="hybridMultilevel"/>
    <w:tmpl w:val="55228D10"/>
    <w:lvl w:ilvl="0" w:tplc="08130015">
      <w:start w:val="1"/>
      <w:numFmt w:val="upperLetter"/>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B2F405F"/>
    <w:multiLevelType w:val="hybridMultilevel"/>
    <w:tmpl w:val="0122B998"/>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41CB4935"/>
    <w:multiLevelType w:val="hybridMultilevel"/>
    <w:tmpl w:val="7CEE1A82"/>
    <w:lvl w:ilvl="0" w:tplc="85DA87E2">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9975CA4"/>
    <w:multiLevelType w:val="hybridMultilevel"/>
    <w:tmpl w:val="89725F52"/>
    <w:lvl w:ilvl="0" w:tplc="85DA87E2">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AE62300"/>
    <w:multiLevelType w:val="hybridMultilevel"/>
    <w:tmpl w:val="F6A01354"/>
    <w:lvl w:ilvl="0" w:tplc="85DA87E2">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84546C"/>
    <w:multiLevelType w:val="hybridMultilevel"/>
    <w:tmpl w:val="F85CA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DC421D8"/>
    <w:multiLevelType w:val="hybridMultilevel"/>
    <w:tmpl w:val="24D8F810"/>
    <w:lvl w:ilvl="0" w:tplc="85DA87E2">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02601C7"/>
    <w:multiLevelType w:val="hybridMultilevel"/>
    <w:tmpl w:val="EA600DA2"/>
    <w:lvl w:ilvl="0" w:tplc="08130017">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541C067D"/>
    <w:multiLevelType w:val="hybridMultilevel"/>
    <w:tmpl w:val="53FAFA74"/>
    <w:lvl w:ilvl="0" w:tplc="85DA87E2">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6A83AD9"/>
    <w:multiLevelType w:val="hybridMultilevel"/>
    <w:tmpl w:val="BFBE7F5E"/>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5D67760F"/>
    <w:multiLevelType w:val="hybridMultilevel"/>
    <w:tmpl w:val="92E4992C"/>
    <w:lvl w:ilvl="0" w:tplc="04090005">
      <w:start w:val="1"/>
      <w:numFmt w:val="bullet"/>
      <w:lvlText w:val=""/>
      <w:lvlJc w:val="left"/>
      <w:pPr>
        <w:tabs>
          <w:tab w:val="num" w:pos="1434"/>
        </w:tabs>
        <w:ind w:left="1434" w:hanging="360"/>
      </w:pPr>
      <w:rPr>
        <w:rFonts w:ascii="Wingdings" w:hAnsi="Wingdings" w:hint="default"/>
      </w:rPr>
    </w:lvl>
    <w:lvl w:ilvl="1" w:tplc="7BD0778A">
      <w:start w:val="1"/>
      <w:numFmt w:val="bullet"/>
      <w:lvlRestart w:val="0"/>
      <w:pStyle w:val="KBCOpsomming2"/>
      <w:lvlText w:val=""/>
      <w:lvlJc w:val="left"/>
      <w:pPr>
        <w:tabs>
          <w:tab w:val="num" w:pos="2078"/>
        </w:tabs>
        <w:ind w:left="2078" w:hanging="284"/>
      </w:pPr>
      <w:rPr>
        <w:rFonts w:ascii="Symbol" w:hAnsi="Symbol" w:hint="default"/>
        <w:color w:val="auto"/>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4" w15:restartNumberingAfterBreak="0">
    <w:nsid w:val="649165CA"/>
    <w:multiLevelType w:val="multilevel"/>
    <w:tmpl w:val="3D7E5A3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718"/>
        </w:tabs>
        <w:ind w:left="718" w:hanging="576"/>
      </w:pPr>
      <w:rPr>
        <w:rFonts w:cs="Times New Roman"/>
      </w:rPr>
    </w:lvl>
    <w:lvl w:ilvl="2">
      <w:start w:val="1"/>
      <w:numFmt w:val="decimal"/>
      <w:pStyle w:val="Heading3"/>
      <w:lvlText w:val="%1.%2.%3"/>
      <w:lvlJc w:val="left"/>
      <w:pPr>
        <w:tabs>
          <w:tab w:val="num" w:pos="436"/>
        </w:tabs>
        <w:ind w:left="436" w:hanging="720"/>
      </w:pPr>
      <w:rPr>
        <w:rFonts w:cs="Times New Roman"/>
      </w:rPr>
    </w:lvl>
    <w:lvl w:ilvl="3">
      <w:start w:val="1"/>
      <w:numFmt w:val="decimal"/>
      <w:pStyle w:val="Heading4"/>
      <w:lvlText w:val="%1.%2.%3.%4"/>
      <w:lvlJc w:val="left"/>
      <w:pPr>
        <w:tabs>
          <w:tab w:val="num" w:pos="580"/>
        </w:tabs>
        <w:ind w:left="580" w:hanging="864"/>
      </w:pPr>
      <w:rPr>
        <w:rFonts w:cs="Times New Roman"/>
      </w:rPr>
    </w:lvl>
    <w:lvl w:ilvl="4">
      <w:start w:val="1"/>
      <w:numFmt w:val="decimal"/>
      <w:pStyle w:val="Heading5"/>
      <w:lvlText w:val="%1.%2.%3.%4.%5"/>
      <w:lvlJc w:val="left"/>
      <w:pPr>
        <w:tabs>
          <w:tab w:val="num" w:pos="724"/>
        </w:tabs>
        <w:ind w:left="724" w:hanging="1008"/>
      </w:pPr>
      <w:rPr>
        <w:rFonts w:cs="Times New Roman"/>
      </w:rPr>
    </w:lvl>
    <w:lvl w:ilvl="5">
      <w:start w:val="1"/>
      <w:numFmt w:val="decimal"/>
      <w:pStyle w:val="Heading6"/>
      <w:lvlText w:val="%1.%2.%3.%4.%5.%6"/>
      <w:lvlJc w:val="left"/>
      <w:pPr>
        <w:tabs>
          <w:tab w:val="num" w:pos="868"/>
        </w:tabs>
        <w:ind w:left="868" w:hanging="1152"/>
      </w:pPr>
      <w:rPr>
        <w:rFonts w:cs="Times New Roman"/>
      </w:rPr>
    </w:lvl>
    <w:lvl w:ilvl="6">
      <w:start w:val="1"/>
      <w:numFmt w:val="decimal"/>
      <w:pStyle w:val="Heading7"/>
      <w:lvlText w:val="%1.%2.%3.%4.%5.%6.%7"/>
      <w:lvlJc w:val="left"/>
      <w:pPr>
        <w:tabs>
          <w:tab w:val="num" w:pos="1012"/>
        </w:tabs>
        <w:ind w:left="1012" w:hanging="1296"/>
      </w:pPr>
      <w:rPr>
        <w:rFonts w:cs="Times New Roman"/>
      </w:rPr>
    </w:lvl>
    <w:lvl w:ilvl="7">
      <w:start w:val="1"/>
      <w:numFmt w:val="decimal"/>
      <w:pStyle w:val="Heading8"/>
      <w:lvlText w:val="%1.%2.%3.%4.%5.%6.%7.%8"/>
      <w:lvlJc w:val="left"/>
      <w:pPr>
        <w:tabs>
          <w:tab w:val="num" w:pos="1156"/>
        </w:tabs>
        <w:ind w:left="1156" w:hanging="1440"/>
      </w:pPr>
      <w:rPr>
        <w:rFonts w:cs="Times New Roman"/>
      </w:rPr>
    </w:lvl>
    <w:lvl w:ilvl="8">
      <w:start w:val="1"/>
      <w:numFmt w:val="decimal"/>
      <w:pStyle w:val="Heading9"/>
      <w:lvlText w:val="%1.%2.%3.%4.%5.%6.%7.%8.%9"/>
      <w:lvlJc w:val="left"/>
      <w:pPr>
        <w:tabs>
          <w:tab w:val="num" w:pos="1300"/>
        </w:tabs>
        <w:ind w:left="1300" w:hanging="1584"/>
      </w:pPr>
      <w:rPr>
        <w:rFonts w:cs="Times New Roman"/>
      </w:rPr>
    </w:lvl>
  </w:abstractNum>
  <w:abstractNum w:abstractNumId="25" w15:restartNumberingAfterBreak="0">
    <w:nsid w:val="64D75FAA"/>
    <w:multiLevelType w:val="hybridMultilevel"/>
    <w:tmpl w:val="AFE20580"/>
    <w:lvl w:ilvl="0" w:tplc="08D65F76">
      <w:start w:val="1"/>
      <w:numFmt w:val="lowerLetter"/>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5CE550F"/>
    <w:multiLevelType w:val="hybridMultilevel"/>
    <w:tmpl w:val="AFEEAC14"/>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6A5F15EE"/>
    <w:multiLevelType w:val="hybridMultilevel"/>
    <w:tmpl w:val="0C30F630"/>
    <w:lvl w:ilvl="0" w:tplc="08130017">
      <w:start w:val="1"/>
      <w:numFmt w:val="lowerLetter"/>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6C74710E"/>
    <w:multiLevelType w:val="hybridMultilevel"/>
    <w:tmpl w:val="DD76A8EC"/>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6D32681D"/>
    <w:multiLevelType w:val="hybridMultilevel"/>
    <w:tmpl w:val="EFB6C1BC"/>
    <w:lvl w:ilvl="0" w:tplc="85DA87E2">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7494176A"/>
    <w:multiLevelType w:val="hybridMultilevel"/>
    <w:tmpl w:val="F976BA60"/>
    <w:lvl w:ilvl="0" w:tplc="85DA87E2">
      <w:start w:val="1"/>
      <w:numFmt w:val="bullet"/>
      <w:lvlText w:val="­"/>
      <w:lvlJc w:val="left"/>
      <w:pPr>
        <w:ind w:left="360" w:hanging="360"/>
      </w:pPr>
      <w:rPr>
        <w:rFonts w:ascii="Calibri" w:hAnsi="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7BCB7952"/>
    <w:multiLevelType w:val="hybridMultilevel"/>
    <w:tmpl w:val="3272ABB4"/>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15:restartNumberingAfterBreak="0">
    <w:nsid w:val="7E782347"/>
    <w:multiLevelType w:val="hybridMultilevel"/>
    <w:tmpl w:val="E43A1E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FF707F6"/>
    <w:multiLevelType w:val="hybridMultilevel"/>
    <w:tmpl w:val="3BCEA5AA"/>
    <w:lvl w:ilvl="0" w:tplc="85DA87E2">
      <w:start w:val="1"/>
      <w:numFmt w:val="bullet"/>
      <w:lvlText w:val="­"/>
      <w:lvlJc w:val="left"/>
      <w:pPr>
        <w:ind w:left="360" w:hanging="360"/>
      </w:pPr>
      <w:rPr>
        <w:rFonts w:ascii="Calibri" w:hAnsi="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24"/>
  </w:num>
  <w:num w:numId="3">
    <w:abstractNumId w:val="23"/>
  </w:num>
  <w:num w:numId="4">
    <w:abstractNumId w:val="33"/>
  </w:num>
  <w:num w:numId="5">
    <w:abstractNumId w:val="6"/>
  </w:num>
  <w:num w:numId="6">
    <w:abstractNumId w:val="12"/>
  </w:num>
  <w:num w:numId="7">
    <w:abstractNumId w:val="2"/>
  </w:num>
  <w:num w:numId="8">
    <w:abstractNumId w:val="8"/>
  </w:num>
  <w:num w:numId="9">
    <w:abstractNumId w:val="3"/>
  </w:num>
  <w:num w:numId="10">
    <w:abstractNumId w:val="27"/>
  </w:num>
  <w:num w:numId="11">
    <w:abstractNumId w:val="1"/>
  </w:num>
  <w:num w:numId="12">
    <w:abstractNumId w:val="18"/>
  </w:num>
  <w:num w:numId="13">
    <w:abstractNumId w:val="32"/>
  </w:num>
  <w:num w:numId="14">
    <w:abstractNumId w:val="10"/>
  </w:num>
  <w:num w:numId="15">
    <w:abstractNumId w:val="5"/>
  </w:num>
  <w:num w:numId="16">
    <w:abstractNumId w:val="24"/>
  </w:num>
  <w:num w:numId="17">
    <w:abstractNumId w:val="24"/>
  </w:num>
  <w:num w:numId="18">
    <w:abstractNumId w:val="25"/>
  </w:num>
  <w:num w:numId="19">
    <w:abstractNumId w:val="16"/>
  </w:num>
  <w:num w:numId="20">
    <w:abstractNumId w:val="9"/>
  </w:num>
  <w:num w:numId="21">
    <w:abstractNumId w:val="24"/>
  </w:num>
  <w:num w:numId="22">
    <w:abstractNumId w:val="22"/>
  </w:num>
  <w:num w:numId="23">
    <w:abstractNumId w:val="13"/>
  </w:num>
  <w:num w:numId="24">
    <w:abstractNumId w:val="14"/>
  </w:num>
  <w:num w:numId="25">
    <w:abstractNumId w:val="17"/>
  </w:num>
  <w:num w:numId="26">
    <w:abstractNumId w:val="20"/>
  </w:num>
  <w:num w:numId="27">
    <w:abstractNumId w:val="15"/>
  </w:num>
  <w:num w:numId="28">
    <w:abstractNumId w:val="4"/>
  </w:num>
  <w:num w:numId="29">
    <w:abstractNumId w:val="28"/>
  </w:num>
  <w:num w:numId="30">
    <w:abstractNumId w:val="30"/>
  </w:num>
  <w:num w:numId="31">
    <w:abstractNumId w:val="7"/>
  </w:num>
  <w:num w:numId="32">
    <w:abstractNumId w:val="26"/>
  </w:num>
  <w:num w:numId="33">
    <w:abstractNumId w:val="19"/>
  </w:num>
  <w:num w:numId="34">
    <w:abstractNumId w:val="24"/>
  </w:num>
  <w:num w:numId="35">
    <w:abstractNumId w:val="24"/>
  </w:num>
  <w:num w:numId="36">
    <w:abstractNumId w:val="11"/>
  </w:num>
  <w:num w:numId="37">
    <w:abstractNumId w:val="24"/>
  </w:num>
  <w:num w:numId="38">
    <w:abstractNumId w:val="21"/>
  </w:num>
  <w:num w:numId="39">
    <w:abstractNumId w:val="31"/>
  </w:num>
  <w:num w:numId="4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57"/>
  <w:hyphenationZone w:val="425"/>
  <w:drawingGridHorizontalSpacing w:val="9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89"/>
    <w:rsid w:val="0000001C"/>
    <w:rsid w:val="00000C0E"/>
    <w:rsid w:val="00000FB0"/>
    <w:rsid w:val="00001FA7"/>
    <w:rsid w:val="000020B2"/>
    <w:rsid w:val="0000255E"/>
    <w:rsid w:val="0000357B"/>
    <w:rsid w:val="000035EB"/>
    <w:rsid w:val="000041DA"/>
    <w:rsid w:val="000043F0"/>
    <w:rsid w:val="00004922"/>
    <w:rsid w:val="000052A1"/>
    <w:rsid w:val="0000589B"/>
    <w:rsid w:val="00005A97"/>
    <w:rsid w:val="00005AB1"/>
    <w:rsid w:val="00005DA7"/>
    <w:rsid w:val="000061BF"/>
    <w:rsid w:val="00006FBD"/>
    <w:rsid w:val="00007B21"/>
    <w:rsid w:val="00007E13"/>
    <w:rsid w:val="000103CD"/>
    <w:rsid w:val="0001138E"/>
    <w:rsid w:val="00011555"/>
    <w:rsid w:val="00011942"/>
    <w:rsid w:val="00011D70"/>
    <w:rsid w:val="00011DBD"/>
    <w:rsid w:val="00011E9D"/>
    <w:rsid w:val="00012267"/>
    <w:rsid w:val="00012F20"/>
    <w:rsid w:val="00013325"/>
    <w:rsid w:val="000143B0"/>
    <w:rsid w:val="00014E77"/>
    <w:rsid w:val="00015AAB"/>
    <w:rsid w:val="00015DF4"/>
    <w:rsid w:val="00015F6D"/>
    <w:rsid w:val="0001648B"/>
    <w:rsid w:val="00016E2C"/>
    <w:rsid w:val="00017B7C"/>
    <w:rsid w:val="00020E32"/>
    <w:rsid w:val="00022F0F"/>
    <w:rsid w:val="000231EC"/>
    <w:rsid w:val="00023F92"/>
    <w:rsid w:val="0002422A"/>
    <w:rsid w:val="00025A3B"/>
    <w:rsid w:val="000261A9"/>
    <w:rsid w:val="000262BD"/>
    <w:rsid w:val="00026DF9"/>
    <w:rsid w:val="00027222"/>
    <w:rsid w:val="000275D4"/>
    <w:rsid w:val="00027608"/>
    <w:rsid w:val="00027C6C"/>
    <w:rsid w:val="00030516"/>
    <w:rsid w:val="0003084F"/>
    <w:rsid w:val="00030AB6"/>
    <w:rsid w:val="00031156"/>
    <w:rsid w:val="00032058"/>
    <w:rsid w:val="000320DE"/>
    <w:rsid w:val="0003277E"/>
    <w:rsid w:val="000329AE"/>
    <w:rsid w:val="00032EEB"/>
    <w:rsid w:val="000337DC"/>
    <w:rsid w:val="00033B0C"/>
    <w:rsid w:val="000346DC"/>
    <w:rsid w:val="000353B6"/>
    <w:rsid w:val="000355CF"/>
    <w:rsid w:val="00035706"/>
    <w:rsid w:val="00036E90"/>
    <w:rsid w:val="0003725B"/>
    <w:rsid w:val="00037285"/>
    <w:rsid w:val="000372E7"/>
    <w:rsid w:val="00037E26"/>
    <w:rsid w:val="0004092D"/>
    <w:rsid w:val="00041A54"/>
    <w:rsid w:val="00041C32"/>
    <w:rsid w:val="00044807"/>
    <w:rsid w:val="00046EDC"/>
    <w:rsid w:val="00047219"/>
    <w:rsid w:val="00047825"/>
    <w:rsid w:val="00050A45"/>
    <w:rsid w:val="00050DCF"/>
    <w:rsid w:val="00050E52"/>
    <w:rsid w:val="00051678"/>
    <w:rsid w:val="00052730"/>
    <w:rsid w:val="00053577"/>
    <w:rsid w:val="00053CE0"/>
    <w:rsid w:val="00054514"/>
    <w:rsid w:val="000546AF"/>
    <w:rsid w:val="00054A45"/>
    <w:rsid w:val="00054C44"/>
    <w:rsid w:val="0005519E"/>
    <w:rsid w:val="0005573F"/>
    <w:rsid w:val="00055DA1"/>
    <w:rsid w:val="00055FD2"/>
    <w:rsid w:val="000566C6"/>
    <w:rsid w:val="00056F91"/>
    <w:rsid w:val="00057D4F"/>
    <w:rsid w:val="000600D1"/>
    <w:rsid w:val="000602E4"/>
    <w:rsid w:val="000607BE"/>
    <w:rsid w:val="000609BB"/>
    <w:rsid w:val="00060AC7"/>
    <w:rsid w:val="00060F06"/>
    <w:rsid w:val="000610C9"/>
    <w:rsid w:val="000617D3"/>
    <w:rsid w:val="00062902"/>
    <w:rsid w:val="00062904"/>
    <w:rsid w:val="00062CF9"/>
    <w:rsid w:val="00063024"/>
    <w:rsid w:val="000648CB"/>
    <w:rsid w:val="00064EEC"/>
    <w:rsid w:val="00065385"/>
    <w:rsid w:val="0006599A"/>
    <w:rsid w:val="000659A3"/>
    <w:rsid w:val="00066161"/>
    <w:rsid w:val="00066373"/>
    <w:rsid w:val="00066915"/>
    <w:rsid w:val="00066964"/>
    <w:rsid w:val="00066D5B"/>
    <w:rsid w:val="000672E5"/>
    <w:rsid w:val="00067780"/>
    <w:rsid w:val="0007131F"/>
    <w:rsid w:val="00071A46"/>
    <w:rsid w:val="000728C1"/>
    <w:rsid w:val="00072951"/>
    <w:rsid w:val="00072CBB"/>
    <w:rsid w:val="0007446D"/>
    <w:rsid w:val="00074C07"/>
    <w:rsid w:val="000757CF"/>
    <w:rsid w:val="0007589A"/>
    <w:rsid w:val="00076103"/>
    <w:rsid w:val="000765A1"/>
    <w:rsid w:val="00076A63"/>
    <w:rsid w:val="00076E0B"/>
    <w:rsid w:val="00077540"/>
    <w:rsid w:val="00077A46"/>
    <w:rsid w:val="00080EE3"/>
    <w:rsid w:val="000815AC"/>
    <w:rsid w:val="00081709"/>
    <w:rsid w:val="00081D4A"/>
    <w:rsid w:val="00083480"/>
    <w:rsid w:val="00083484"/>
    <w:rsid w:val="000839B1"/>
    <w:rsid w:val="00083B58"/>
    <w:rsid w:val="00084519"/>
    <w:rsid w:val="00084732"/>
    <w:rsid w:val="0008484C"/>
    <w:rsid w:val="00084D21"/>
    <w:rsid w:val="00084F40"/>
    <w:rsid w:val="0008560D"/>
    <w:rsid w:val="00085948"/>
    <w:rsid w:val="00085AAD"/>
    <w:rsid w:val="00086023"/>
    <w:rsid w:val="00086041"/>
    <w:rsid w:val="0008724E"/>
    <w:rsid w:val="00091A52"/>
    <w:rsid w:val="00092171"/>
    <w:rsid w:val="00092411"/>
    <w:rsid w:val="00092A9D"/>
    <w:rsid w:val="00092CD3"/>
    <w:rsid w:val="00092F49"/>
    <w:rsid w:val="000930C4"/>
    <w:rsid w:val="000938BD"/>
    <w:rsid w:val="000953E4"/>
    <w:rsid w:val="0009573D"/>
    <w:rsid w:val="00095E88"/>
    <w:rsid w:val="00095FD7"/>
    <w:rsid w:val="000967BE"/>
    <w:rsid w:val="00096943"/>
    <w:rsid w:val="000973C5"/>
    <w:rsid w:val="00097651"/>
    <w:rsid w:val="000A0547"/>
    <w:rsid w:val="000A0DC7"/>
    <w:rsid w:val="000A0E61"/>
    <w:rsid w:val="000A0EFC"/>
    <w:rsid w:val="000A1099"/>
    <w:rsid w:val="000A117A"/>
    <w:rsid w:val="000A1527"/>
    <w:rsid w:val="000A1B02"/>
    <w:rsid w:val="000A2D06"/>
    <w:rsid w:val="000A3037"/>
    <w:rsid w:val="000A3304"/>
    <w:rsid w:val="000A35DC"/>
    <w:rsid w:val="000A3B7B"/>
    <w:rsid w:val="000A44D9"/>
    <w:rsid w:val="000A4733"/>
    <w:rsid w:val="000A4B1F"/>
    <w:rsid w:val="000A4DBE"/>
    <w:rsid w:val="000A5A5B"/>
    <w:rsid w:val="000A5C71"/>
    <w:rsid w:val="000A67AB"/>
    <w:rsid w:val="000A7D0D"/>
    <w:rsid w:val="000B0498"/>
    <w:rsid w:val="000B0933"/>
    <w:rsid w:val="000B1152"/>
    <w:rsid w:val="000B176C"/>
    <w:rsid w:val="000B1A31"/>
    <w:rsid w:val="000B2079"/>
    <w:rsid w:val="000B2468"/>
    <w:rsid w:val="000B2805"/>
    <w:rsid w:val="000B2D4B"/>
    <w:rsid w:val="000B2EC0"/>
    <w:rsid w:val="000B3156"/>
    <w:rsid w:val="000B31B7"/>
    <w:rsid w:val="000B350F"/>
    <w:rsid w:val="000B35E5"/>
    <w:rsid w:val="000B3E39"/>
    <w:rsid w:val="000B4607"/>
    <w:rsid w:val="000B4903"/>
    <w:rsid w:val="000B5115"/>
    <w:rsid w:val="000B61CC"/>
    <w:rsid w:val="000B7053"/>
    <w:rsid w:val="000B73BF"/>
    <w:rsid w:val="000B7CAD"/>
    <w:rsid w:val="000B7F34"/>
    <w:rsid w:val="000C0642"/>
    <w:rsid w:val="000C1BAC"/>
    <w:rsid w:val="000C1CFD"/>
    <w:rsid w:val="000C318A"/>
    <w:rsid w:val="000C3B32"/>
    <w:rsid w:val="000C5BFD"/>
    <w:rsid w:val="000C5CCE"/>
    <w:rsid w:val="000C62F3"/>
    <w:rsid w:val="000C6DD8"/>
    <w:rsid w:val="000C733B"/>
    <w:rsid w:val="000C7EB4"/>
    <w:rsid w:val="000D04A4"/>
    <w:rsid w:val="000D06DE"/>
    <w:rsid w:val="000D166E"/>
    <w:rsid w:val="000D18C6"/>
    <w:rsid w:val="000D25F9"/>
    <w:rsid w:val="000D3C4D"/>
    <w:rsid w:val="000D457A"/>
    <w:rsid w:val="000D5ECA"/>
    <w:rsid w:val="000D6796"/>
    <w:rsid w:val="000D69C3"/>
    <w:rsid w:val="000D6CD9"/>
    <w:rsid w:val="000D7ADA"/>
    <w:rsid w:val="000D7DED"/>
    <w:rsid w:val="000E1D8F"/>
    <w:rsid w:val="000E21D1"/>
    <w:rsid w:val="000E3111"/>
    <w:rsid w:val="000E366B"/>
    <w:rsid w:val="000E506E"/>
    <w:rsid w:val="000E511A"/>
    <w:rsid w:val="000E6025"/>
    <w:rsid w:val="000E6ACC"/>
    <w:rsid w:val="000F0112"/>
    <w:rsid w:val="000F1782"/>
    <w:rsid w:val="000F2A58"/>
    <w:rsid w:val="000F4DFA"/>
    <w:rsid w:val="000F52F7"/>
    <w:rsid w:val="000F6F33"/>
    <w:rsid w:val="000F75B8"/>
    <w:rsid w:val="00100816"/>
    <w:rsid w:val="0010113F"/>
    <w:rsid w:val="00101353"/>
    <w:rsid w:val="00101394"/>
    <w:rsid w:val="001014EE"/>
    <w:rsid w:val="00101BF3"/>
    <w:rsid w:val="00101D52"/>
    <w:rsid w:val="001020D9"/>
    <w:rsid w:val="00102C08"/>
    <w:rsid w:val="00102C71"/>
    <w:rsid w:val="0010344A"/>
    <w:rsid w:val="001039D0"/>
    <w:rsid w:val="0010466A"/>
    <w:rsid w:val="00105126"/>
    <w:rsid w:val="001057FD"/>
    <w:rsid w:val="00105FF4"/>
    <w:rsid w:val="001062B6"/>
    <w:rsid w:val="001063A8"/>
    <w:rsid w:val="00106FEA"/>
    <w:rsid w:val="00107017"/>
    <w:rsid w:val="00107249"/>
    <w:rsid w:val="00110542"/>
    <w:rsid w:val="001114A7"/>
    <w:rsid w:val="001114B5"/>
    <w:rsid w:val="00111CE9"/>
    <w:rsid w:val="00112424"/>
    <w:rsid w:val="00112AA0"/>
    <w:rsid w:val="00112B39"/>
    <w:rsid w:val="00112B7E"/>
    <w:rsid w:val="00112BDC"/>
    <w:rsid w:val="00113883"/>
    <w:rsid w:val="00114887"/>
    <w:rsid w:val="001155AC"/>
    <w:rsid w:val="001156CA"/>
    <w:rsid w:val="00115C44"/>
    <w:rsid w:val="00115F40"/>
    <w:rsid w:val="00116FD9"/>
    <w:rsid w:val="001200C5"/>
    <w:rsid w:val="001204F0"/>
    <w:rsid w:val="00122C35"/>
    <w:rsid w:val="00122D63"/>
    <w:rsid w:val="00122F24"/>
    <w:rsid w:val="00123193"/>
    <w:rsid w:val="001231EF"/>
    <w:rsid w:val="00123328"/>
    <w:rsid w:val="001239FC"/>
    <w:rsid w:val="00123C58"/>
    <w:rsid w:val="00124798"/>
    <w:rsid w:val="0012641B"/>
    <w:rsid w:val="001264E9"/>
    <w:rsid w:val="00126675"/>
    <w:rsid w:val="001279A7"/>
    <w:rsid w:val="0013150F"/>
    <w:rsid w:val="00131749"/>
    <w:rsid w:val="0013189E"/>
    <w:rsid w:val="00131DEC"/>
    <w:rsid w:val="00132573"/>
    <w:rsid w:val="001327C9"/>
    <w:rsid w:val="00132A5E"/>
    <w:rsid w:val="00132A87"/>
    <w:rsid w:val="00132AED"/>
    <w:rsid w:val="00132F99"/>
    <w:rsid w:val="001337E6"/>
    <w:rsid w:val="0013408B"/>
    <w:rsid w:val="00134430"/>
    <w:rsid w:val="001348CC"/>
    <w:rsid w:val="00134CC1"/>
    <w:rsid w:val="0013572E"/>
    <w:rsid w:val="00135827"/>
    <w:rsid w:val="00136CB6"/>
    <w:rsid w:val="00136F63"/>
    <w:rsid w:val="00137E60"/>
    <w:rsid w:val="00140BD8"/>
    <w:rsid w:val="00140C6B"/>
    <w:rsid w:val="00140C9F"/>
    <w:rsid w:val="0014109D"/>
    <w:rsid w:val="001410D1"/>
    <w:rsid w:val="001414CF"/>
    <w:rsid w:val="00141B52"/>
    <w:rsid w:val="00141C66"/>
    <w:rsid w:val="001421A8"/>
    <w:rsid w:val="00144CFE"/>
    <w:rsid w:val="00145A30"/>
    <w:rsid w:val="00145A4A"/>
    <w:rsid w:val="00145F66"/>
    <w:rsid w:val="00146D0C"/>
    <w:rsid w:val="00147196"/>
    <w:rsid w:val="00147DE1"/>
    <w:rsid w:val="0015076B"/>
    <w:rsid w:val="00150CEF"/>
    <w:rsid w:val="00150D5F"/>
    <w:rsid w:val="00150EF6"/>
    <w:rsid w:val="00151871"/>
    <w:rsid w:val="001539BC"/>
    <w:rsid w:val="00153B00"/>
    <w:rsid w:val="001540B1"/>
    <w:rsid w:val="00154645"/>
    <w:rsid w:val="00155378"/>
    <w:rsid w:val="001554FE"/>
    <w:rsid w:val="00156568"/>
    <w:rsid w:val="0015699B"/>
    <w:rsid w:val="001570F2"/>
    <w:rsid w:val="00157802"/>
    <w:rsid w:val="001603CD"/>
    <w:rsid w:val="00161867"/>
    <w:rsid w:val="001618C0"/>
    <w:rsid w:val="00162951"/>
    <w:rsid w:val="00163B38"/>
    <w:rsid w:val="00163B5D"/>
    <w:rsid w:val="00164293"/>
    <w:rsid w:val="001645E8"/>
    <w:rsid w:val="00164C3B"/>
    <w:rsid w:val="00164D55"/>
    <w:rsid w:val="00166682"/>
    <w:rsid w:val="00167AE8"/>
    <w:rsid w:val="00170D39"/>
    <w:rsid w:val="00170F57"/>
    <w:rsid w:val="00171D24"/>
    <w:rsid w:val="00171E9F"/>
    <w:rsid w:val="001732D0"/>
    <w:rsid w:val="00173860"/>
    <w:rsid w:val="00173A15"/>
    <w:rsid w:val="00174B1E"/>
    <w:rsid w:val="00174C9A"/>
    <w:rsid w:val="00174F16"/>
    <w:rsid w:val="00175973"/>
    <w:rsid w:val="00176D42"/>
    <w:rsid w:val="00177005"/>
    <w:rsid w:val="00181489"/>
    <w:rsid w:val="00182612"/>
    <w:rsid w:val="001828DC"/>
    <w:rsid w:val="00182AAC"/>
    <w:rsid w:val="00183B28"/>
    <w:rsid w:val="00183C38"/>
    <w:rsid w:val="0018423F"/>
    <w:rsid w:val="00184A2B"/>
    <w:rsid w:val="0018518D"/>
    <w:rsid w:val="001853CC"/>
    <w:rsid w:val="001856CA"/>
    <w:rsid w:val="00185CEB"/>
    <w:rsid w:val="00186615"/>
    <w:rsid w:val="001872AE"/>
    <w:rsid w:val="00190052"/>
    <w:rsid w:val="00190E75"/>
    <w:rsid w:val="00190EF5"/>
    <w:rsid w:val="0019139A"/>
    <w:rsid w:val="001913DF"/>
    <w:rsid w:val="00192CF5"/>
    <w:rsid w:val="00193441"/>
    <w:rsid w:val="0019364A"/>
    <w:rsid w:val="00193FA5"/>
    <w:rsid w:val="00193FED"/>
    <w:rsid w:val="0019483E"/>
    <w:rsid w:val="0019584F"/>
    <w:rsid w:val="00197CB6"/>
    <w:rsid w:val="001A03C9"/>
    <w:rsid w:val="001A0AB9"/>
    <w:rsid w:val="001A0AFD"/>
    <w:rsid w:val="001A1027"/>
    <w:rsid w:val="001A1E25"/>
    <w:rsid w:val="001A2BC5"/>
    <w:rsid w:val="001A3608"/>
    <w:rsid w:val="001A3CCF"/>
    <w:rsid w:val="001A418D"/>
    <w:rsid w:val="001A4199"/>
    <w:rsid w:val="001A4771"/>
    <w:rsid w:val="001A54E8"/>
    <w:rsid w:val="001A59EC"/>
    <w:rsid w:val="001A7077"/>
    <w:rsid w:val="001A7293"/>
    <w:rsid w:val="001A7E95"/>
    <w:rsid w:val="001B02D5"/>
    <w:rsid w:val="001B0E59"/>
    <w:rsid w:val="001B1ADB"/>
    <w:rsid w:val="001B26B8"/>
    <w:rsid w:val="001B3670"/>
    <w:rsid w:val="001B3D0A"/>
    <w:rsid w:val="001B4506"/>
    <w:rsid w:val="001B7D2F"/>
    <w:rsid w:val="001C132C"/>
    <w:rsid w:val="001C23BC"/>
    <w:rsid w:val="001C2DE1"/>
    <w:rsid w:val="001C3547"/>
    <w:rsid w:val="001C412D"/>
    <w:rsid w:val="001C536D"/>
    <w:rsid w:val="001C5E54"/>
    <w:rsid w:val="001C6589"/>
    <w:rsid w:val="001C6DA4"/>
    <w:rsid w:val="001C7B11"/>
    <w:rsid w:val="001D122A"/>
    <w:rsid w:val="001D16E0"/>
    <w:rsid w:val="001D27F0"/>
    <w:rsid w:val="001D2E61"/>
    <w:rsid w:val="001D2E8C"/>
    <w:rsid w:val="001D5E84"/>
    <w:rsid w:val="001D6906"/>
    <w:rsid w:val="001D7D34"/>
    <w:rsid w:val="001E090F"/>
    <w:rsid w:val="001E0FED"/>
    <w:rsid w:val="001E4426"/>
    <w:rsid w:val="001E58EB"/>
    <w:rsid w:val="001E64D3"/>
    <w:rsid w:val="001E6622"/>
    <w:rsid w:val="001E7DB1"/>
    <w:rsid w:val="001F068F"/>
    <w:rsid w:val="001F0C83"/>
    <w:rsid w:val="001F1607"/>
    <w:rsid w:val="001F1CF7"/>
    <w:rsid w:val="001F2D5A"/>
    <w:rsid w:val="001F2F82"/>
    <w:rsid w:val="001F3459"/>
    <w:rsid w:val="001F3C7D"/>
    <w:rsid w:val="001F3DDB"/>
    <w:rsid w:val="001F566B"/>
    <w:rsid w:val="001F621A"/>
    <w:rsid w:val="001F6261"/>
    <w:rsid w:val="001F64BC"/>
    <w:rsid w:val="001F65EA"/>
    <w:rsid w:val="00200BDB"/>
    <w:rsid w:val="00201D52"/>
    <w:rsid w:val="0020220E"/>
    <w:rsid w:val="0020358C"/>
    <w:rsid w:val="00203799"/>
    <w:rsid w:val="00203A94"/>
    <w:rsid w:val="00203D25"/>
    <w:rsid w:val="00203E8B"/>
    <w:rsid w:val="00203FC0"/>
    <w:rsid w:val="0020418C"/>
    <w:rsid w:val="002051F1"/>
    <w:rsid w:val="002061E4"/>
    <w:rsid w:val="0020636A"/>
    <w:rsid w:val="002067F0"/>
    <w:rsid w:val="0020754F"/>
    <w:rsid w:val="002077AB"/>
    <w:rsid w:val="00207EF7"/>
    <w:rsid w:val="00210095"/>
    <w:rsid w:val="00210A2D"/>
    <w:rsid w:val="002111BF"/>
    <w:rsid w:val="00211F28"/>
    <w:rsid w:val="0021247C"/>
    <w:rsid w:val="00212B0B"/>
    <w:rsid w:val="00213DD6"/>
    <w:rsid w:val="002161A1"/>
    <w:rsid w:val="00216836"/>
    <w:rsid w:val="00216CA7"/>
    <w:rsid w:val="002176EF"/>
    <w:rsid w:val="00217C56"/>
    <w:rsid w:val="00220683"/>
    <w:rsid w:val="002209F3"/>
    <w:rsid w:val="002215DF"/>
    <w:rsid w:val="002226C9"/>
    <w:rsid w:val="002231CE"/>
    <w:rsid w:val="00224015"/>
    <w:rsid w:val="00224356"/>
    <w:rsid w:val="002244F0"/>
    <w:rsid w:val="0022464E"/>
    <w:rsid w:val="0022475C"/>
    <w:rsid w:val="0022577B"/>
    <w:rsid w:val="00225D43"/>
    <w:rsid w:val="00226024"/>
    <w:rsid w:val="00226A0F"/>
    <w:rsid w:val="0022775D"/>
    <w:rsid w:val="002309D4"/>
    <w:rsid w:val="00230A58"/>
    <w:rsid w:val="00230C21"/>
    <w:rsid w:val="00230EDB"/>
    <w:rsid w:val="002310C2"/>
    <w:rsid w:val="00231257"/>
    <w:rsid w:val="002323B0"/>
    <w:rsid w:val="002325B0"/>
    <w:rsid w:val="00233236"/>
    <w:rsid w:val="002341A9"/>
    <w:rsid w:val="0023479E"/>
    <w:rsid w:val="002347B4"/>
    <w:rsid w:val="0023530E"/>
    <w:rsid w:val="00235464"/>
    <w:rsid w:val="00235BA9"/>
    <w:rsid w:val="00235ECD"/>
    <w:rsid w:val="00236263"/>
    <w:rsid w:val="00236D35"/>
    <w:rsid w:val="002374FC"/>
    <w:rsid w:val="00242109"/>
    <w:rsid w:val="00242607"/>
    <w:rsid w:val="00242F2D"/>
    <w:rsid w:val="00243193"/>
    <w:rsid w:val="002431A0"/>
    <w:rsid w:val="002437CD"/>
    <w:rsid w:val="00243BB5"/>
    <w:rsid w:val="002443AA"/>
    <w:rsid w:val="002448DE"/>
    <w:rsid w:val="00244B33"/>
    <w:rsid w:val="00244BDD"/>
    <w:rsid w:val="002452C6"/>
    <w:rsid w:val="002457D9"/>
    <w:rsid w:val="00245BFF"/>
    <w:rsid w:val="00250108"/>
    <w:rsid w:val="002513EE"/>
    <w:rsid w:val="0025234F"/>
    <w:rsid w:val="002528F9"/>
    <w:rsid w:val="00253081"/>
    <w:rsid w:val="00253086"/>
    <w:rsid w:val="00253396"/>
    <w:rsid w:val="002542E8"/>
    <w:rsid w:val="002545AF"/>
    <w:rsid w:val="00254FDF"/>
    <w:rsid w:val="00255819"/>
    <w:rsid w:val="002568A1"/>
    <w:rsid w:val="002571F2"/>
    <w:rsid w:val="002576E1"/>
    <w:rsid w:val="002579A9"/>
    <w:rsid w:val="00257E6A"/>
    <w:rsid w:val="002600B3"/>
    <w:rsid w:val="00260202"/>
    <w:rsid w:val="00260F28"/>
    <w:rsid w:val="002611A8"/>
    <w:rsid w:val="0026130A"/>
    <w:rsid w:val="00261455"/>
    <w:rsid w:val="00261ED1"/>
    <w:rsid w:val="00263064"/>
    <w:rsid w:val="0026356B"/>
    <w:rsid w:val="002637BC"/>
    <w:rsid w:val="002658AF"/>
    <w:rsid w:val="00266BC7"/>
    <w:rsid w:val="0026762C"/>
    <w:rsid w:val="00270106"/>
    <w:rsid w:val="002708BF"/>
    <w:rsid w:val="0027101A"/>
    <w:rsid w:val="0027176A"/>
    <w:rsid w:val="002718E9"/>
    <w:rsid w:val="00272549"/>
    <w:rsid w:val="00272AFD"/>
    <w:rsid w:val="00273177"/>
    <w:rsid w:val="0027346C"/>
    <w:rsid w:val="00274469"/>
    <w:rsid w:val="002749C0"/>
    <w:rsid w:val="00274FC4"/>
    <w:rsid w:val="002758ED"/>
    <w:rsid w:val="00275CCA"/>
    <w:rsid w:val="00276177"/>
    <w:rsid w:val="00276229"/>
    <w:rsid w:val="00277869"/>
    <w:rsid w:val="002802DB"/>
    <w:rsid w:val="002805D5"/>
    <w:rsid w:val="0028071E"/>
    <w:rsid w:val="002818AD"/>
    <w:rsid w:val="00282113"/>
    <w:rsid w:val="00282467"/>
    <w:rsid w:val="002824B0"/>
    <w:rsid w:val="00282720"/>
    <w:rsid w:val="00282A9D"/>
    <w:rsid w:val="00283436"/>
    <w:rsid w:val="002836FE"/>
    <w:rsid w:val="00284570"/>
    <w:rsid w:val="002849B1"/>
    <w:rsid w:val="00284AFE"/>
    <w:rsid w:val="0028504A"/>
    <w:rsid w:val="0028572B"/>
    <w:rsid w:val="002863AF"/>
    <w:rsid w:val="00286F95"/>
    <w:rsid w:val="002872F3"/>
    <w:rsid w:val="0028795F"/>
    <w:rsid w:val="002902E1"/>
    <w:rsid w:val="00290965"/>
    <w:rsid w:val="00290EB6"/>
    <w:rsid w:val="002911C9"/>
    <w:rsid w:val="002917B6"/>
    <w:rsid w:val="002927ED"/>
    <w:rsid w:val="00292CE6"/>
    <w:rsid w:val="002932A4"/>
    <w:rsid w:val="00294C63"/>
    <w:rsid w:val="00294D31"/>
    <w:rsid w:val="00294D35"/>
    <w:rsid w:val="002958BA"/>
    <w:rsid w:val="00295C7A"/>
    <w:rsid w:val="002961DC"/>
    <w:rsid w:val="00297823"/>
    <w:rsid w:val="00297AFD"/>
    <w:rsid w:val="002A029C"/>
    <w:rsid w:val="002A09A0"/>
    <w:rsid w:val="002A0B76"/>
    <w:rsid w:val="002A1B6D"/>
    <w:rsid w:val="002A2247"/>
    <w:rsid w:val="002A2854"/>
    <w:rsid w:val="002A405D"/>
    <w:rsid w:val="002A4C30"/>
    <w:rsid w:val="002A4DA5"/>
    <w:rsid w:val="002A59B9"/>
    <w:rsid w:val="002A5B11"/>
    <w:rsid w:val="002A5C37"/>
    <w:rsid w:val="002A72FD"/>
    <w:rsid w:val="002A7613"/>
    <w:rsid w:val="002B07ED"/>
    <w:rsid w:val="002B0997"/>
    <w:rsid w:val="002B0D50"/>
    <w:rsid w:val="002B20B0"/>
    <w:rsid w:val="002B2282"/>
    <w:rsid w:val="002B3D29"/>
    <w:rsid w:val="002B3E37"/>
    <w:rsid w:val="002B465A"/>
    <w:rsid w:val="002B4C59"/>
    <w:rsid w:val="002B4F5F"/>
    <w:rsid w:val="002B5225"/>
    <w:rsid w:val="002B524A"/>
    <w:rsid w:val="002B55D2"/>
    <w:rsid w:val="002B586C"/>
    <w:rsid w:val="002B70A3"/>
    <w:rsid w:val="002B720B"/>
    <w:rsid w:val="002B73BC"/>
    <w:rsid w:val="002B7999"/>
    <w:rsid w:val="002B7CBA"/>
    <w:rsid w:val="002B7E6A"/>
    <w:rsid w:val="002C03C8"/>
    <w:rsid w:val="002C0E3F"/>
    <w:rsid w:val="002C1021"/>
    <w:rsid w:val="002C1ED3"/>
    <w:rsid w:val="002C34D6"/>
    <w:rsid w:val="002C3FC0"/>
    <w:rsid w:val="002C53B7"/>
    <w:rsid w:val="002C552F"/>
    <w:rsid w:val="002C5ADA"/>
    <w:rsid w:val="002C6154"/>
    <w:rsid w:val="002C6278"/>
    <w:rsid w:val="002C62CD"/>
    <w:rsid w:val="002C7E94"/>
    <w:rsid w:val="002D1652"/>
    <w:rsid w:val="002D267A"/>
    <w:rsid w:val="002D30C7"/>
    <w:rsid w:val="002D4F03"/>
    <w:rsid w:val="002D5CD6"/>
    <w:rsid w:val="002D5EFC"/>
    <w:rsid w:val="002D6073"/>
    <w:rsid w:val="002D613A"/>
    <w:rsid w:val="002D6630"/>
    <w:rsid w:val="002D75CD"/>
    <w:rsid w:val="002D7C6B"/>
    <w:rsid w:val="002D7D64"/>
    <w:rsid w:val="002D7DD9"/>
    <w:rsid w:val="002E036B"/>
    <w:rsid w:val="002E04B5"/>
    <w:rsid w:val="002E1956"/>
    <w:rsid w:val="002E2490"/>
    <w:rsid w:val="002E312C"/>
    <w:rsid w:val="002E3316"/>
    <w:rsid w:val="002E3609"/>
    <w:rsid w:val="002E3857"/>
    <w:rsid w:val="002E3F91"/>
    <w:rsid w:val="002E4247"/>
    <w:rsid w:val="002E47D9"/>
    <w:rsid w:val="002E4E26"/>
    <w:rsid w:val="002E5197"/>
    <w:rsid w:val="002E532C"/>
    <w:rsid w:val="002E6DB9"/>
    <w:rsid w:val="002E719F"/>
    <w:rsid w:val="002E7D0C"/>
    <w:rsid w:val="002F0101"/>
    <w:rsid w:val="002F0542"/>
    <w:rsid w:val="002F06D3"/>
    <w:rsid w:val="002F14BD"/>
    <w:rsid w:val="002F2043"/>
    <w:rsid w:val="002F21DC"/>
    <w:rsid w:val="002F268C"/>
    <w:rsid w:val="002F2700"/>
    <w:rsid w:val="002F279B"/>
    <w:rsid w:val="002F37AD"/>
    <w:rsid w:val="002F4B78"/>
    <w:rsid w:val="002F4D84"/>
    <w:rsid w:val="002F5BBD"/>
    <w:rsid w:val="002F5F8A"/>
    <w:rsid w:val="002F61EA"/>
    <w:rsid w:val="002F638A"/>
    <w:rsid w:val="002F65F2"/>
    <w:rsid w:val="002F7164"/>
    <w:rsid w:val="002F7B33"/>
    <w:rsid w:val="00300AF8"/>
    <w:rsid w:val="00300E57"/>
    <w:rsid w:val="00301E46"/>
    <w:rsid w:val="003023D1"/>
    <w:rsid w:val="003024DE"/>
    <w:rsid w:val="0030318E"/>
    <w:rsid w:val="00303AB3"/>
    <w:rsid w:val="00303C1A"/>
    <w:rsid w:val="00303C76"/>
    <w:rsid w:val="00304348"/>
    <w:rsid w:val="003043C9"/>
    <w:rsid w:val="003048BB"/>
    <w:rsid w:val="00306784"/>
    <w:rsid w:val="0030695B"/>
    <w:rsid w:val="003073A4"/>
    <w:rsid w:val="00307859"/>
    <w:rsid w:val="003110FA"/>
    <w:rsid w:val="0031119F"/>
    <w:rsid w:val="00311268"/>
    <w:rsid w:val="003112D7"/>
    <w:rsid w:val="00311827"/>
    <w:rsid w:val="0031196F"/>
    <w:rsid w:val="0031267F"/>
    <w:rsid w:val="003126B9"/>
    <w:rsid w:val="0031396A"/>
    <w:rsid w:val="003140E0"/>
    <w:rsid w:val="0031494C"/>
    <w:rsid w:val="00314BB4"/>
    <w:rsid w:val="00315324"/>
    <w:rsid w:val="00315D2F"/>
    <w:rsid w:val="00315EA7"/>
    <w:rsid w:val="003161C0"/>
    <w:rsid w:val="0031658D"/>
    <w:rsid w:val="003173EB"/>
    <w:rsid w:val="00317A8C"/>
    <w:rsid w:val="00317DE3"/>
    <w:rsid w:val="00320250"/>
    <w:rsid w:val="003208CB"/>
    <w:rsid w:val="0032151D"/>
    <w:rsid w:val="00321AE8"/>
    <w:rsid w:val="003221D1"/>
    <w:rsid w:val="0032275F"/>
    <w:rsid w:val="003236FE"/>
    <w:rsid w:val="00323CD8"/>
    <w:rsid w:val="00323FAA"/>
    <w:rsid w:val="00324515"/>
    <w:rsid w:val="00325D91"/>
    <w:rsid w:val="00326E62"/>
    <w:rsid w:val="00330158"/>
    <w:rsid w:val="00330865"/>
    <w:rsid w:val="00332FCD"/>
    <w:rsid w:val="003333BD"/>
    <w:rsid w:val="00333748"/>
    <w:rsid w:val="00334059"/>
    <w:rsid w:val="0033459F"/>
    <w:rsid w:val="00334E49"/>
    <w:rsid w:val="00334F3B"/>
    <w:rsid w:val="00335AA1"/>
    <w:rsid w:val="00335C44"/>
    <w:rsid w:val="00336147"/>
    <w:rsid w:val="0033622D"/>
    <w:rsid w:val="003368BB"/>
    <w:rsid w:val="0034089E"/>
    <w:rsid w:val="00340D1E"/>
    <w:rsid w:val="00341765"/>
    <w:rsid w:val="003422CD"/>
    <w:rsid w:val="00343B9A"/>
    <w:rsid w:val="0034519D"/>
    <w:rsid w:val="00345552"/>
    <w:rsid w:val="00345DE8"/>
    <w:rsid w:val="00346496"/>
    <w:rsid w:val="003469B6"/>
    <w:rsid w:val="00346D0F"/>
    <w:rsid w:val="00347015"/>
    <w:rsid w:val="0034701F"/>
    <w:rsid w:val="003473A3"/>
    <w:rsid w:val="00350B53"/>
    <w:rsid w:val="00350C66"/>
    <w:rsid w:val="00352036"/>
    <w:rsid w:val="0035388A"/>
    <w:rsid w:val="00354816"/>
    <w:rsid w:val="0035531F"/>
    <w:rsid w:val="00355455"/>
    <w:rsid w:val="003554F5"/>
    <w:rsid w:val="0035584F"/>
    <w:rsid w:val="00356D3E"/>
    <w:rsid w:val="00357364"/>
    <w:rsid w:val="00357A00"/>
    <w:rsid w:val="003602C1"/>
    <w:rsid w:val="003605AE"/>
    <w:rsid w:val="0036089F"/>
    <w:rsid w:val="00360B27"/>
    <w:rsid w:val="00360E21"/>
    <w:rsid w:val="00361576"/>
    <w:rsid w:val="00361F15"/>
    <w:rsid w:val="00362C32"/>
    <w:rsid w:val="00362DFD"/>
    <w:rsid w:val="00363169"/>
    <w:rsid w:val="003637C4"/>
    <w:rsid w:val="00363DBC"/>
    <w:rsid w:val="00364A7B"/>
    <w:rsid w:val="003654CA"/>
    <w:rsid w:val="0036565F"/>
    <w:rsid w:val="0036566B"/>
    <w:rsid w:val="00365ABC"/>
    <w:rsid w:val="00365CD9"/>
    <w:rsid w:val="00366374"/>
    <w:rsid w:val="0036667E"/>
    <w:rsid w:val="00366B46"/>
    <w:rsid w:val="003677F8"/>
    <w:rsid w:val="0036792B"/>
    <w:rsid w:val="00367AF3"/>
    <w:rsid w:val="00367E41"/>
    <w:rsid w:val="003704B0"/>
    <w:rsid w:val="003712F1"/>
    <w:rsid w:val="00371825"/>
    <w:rsid w:val="00371AB3"/>
    <w:rsid w:val="00372336"/>
    <w:rsid w:val="00373967"/>
    <w:rsid w:val="0037403A"/>
    <w:rsid w:val="003746A4"/>
    <w:rsid w:val="00374A2D"/>
    <w:rsid w:val="00374B6C"/>
    <w:rsid w:val="00375613"/>
    <w:rsid w:val="00375643"/>
    <w:rsid w:val="00380279"/>
    <w:rsid w:val="00380714"/>
    <w:rsid w:val="00380C34"/>
    <w:rsid w:val="003828C5"/>
    <w:rsid w:val="003828F1"/>
    <w:rsid w:val="00382B11"/>
    <w:rsid w:val="003837EE"/>
    <w:rsid w:val="00384632"/>
    <w:rsid w:val="0038504C"/>
    <w:rsid w:val="00385563"/>
    <w:rsid w:val="00385876"/>
    <w:rsid w:val="003863DF"/>
    <w:rsid w:val="003866A9"/>
    <w:rsid w:val="003874F7"/>
    <w:rsid w:val="00387AD6"/>
    <w:rsid w:val="00390D78"/>
    <w:rsid w:val="00390DE7"/>
    <w:rsid w:val="003919B5"/>
    <w:rsid w:val="00391B07"/>
    <w:rsid w:val="0039383E"/>
    <w:rsid w:val="003938F8"/>
    <w:rsid w:val="00394095"/>
    <w:rsid w:val="00394371"/>
    <w:rsid w:val="00394740"/>
    <w:rsid w:val="00394E0A"/>
    <w:rsid w:val="00395AE1"/>
    <w:rsid w:val="0039669B"/>
    <w:rsid w:val="00396E92"/>
    <w:rsid w:val="00397115"/>
    <w:rsid w:val="003972E9"/>
    <w:rsid w:val="00397516"/>
    <w:rsid w:val="00397BC5"/>
    <w:rsid w:val="003A09D8"/>
    <w:rsid w:val="003A0BFA"/>
    <w:rsid w:val="003A143D"/>
    <w:rsid w:val="003A15A7"/>
    <w:rsid w:val="003A2B88"/>
    <w:rsid w:val="003A3124"/>
    <w:rsid w:val="003A37CC"/>
    <w:rsid w:val="003A445C"/>
    <w:rsid w:val="003A451C"/>
    <w:rsid w:val="003A5975"/>
    <w:rsid w:val="003B08AE"/>
    <w:rsid w:val="003B152F"/>
    <w:rsid w:val="003B2A74"/>
    <w:rsid w:val="003B2BEE"/>
    <w:rsid w:val="003B2D76"/>
    <w:rsid w:val="003B3573"/>
    <w:rsid w:val="003B4D88"/>
    <w:rsid w:val="003B5A8C"/>
    <w:rsid w:val="003B5B4F"/>
    <w:rsid w:val="003B6D32"/>
    <w:rsid w:val="003B6F9A"/>
    <w:rsid w:val="003B7F59"/>
    <w:rsid w:val="003B7FB2"/>
    <w:rsid w:val="003C0581"/>
    <w:rsid w:val="003C0816"/>
    <w:rsid w:val="003C1212"/>
    <w:rsid w:val="003C129F"/>
    <w:rsid w:val="003C132D"/>
    <w:rsid w:val="003C1658"/>
    <w:rsid w:val="003C1B6D"/>
    <w:rsid w:val="003C1F38"/>
    <w:rsid w:val="003C302E"/>
    <w:rsid w:val="003C367A"/>
    <w:rsid w:val="003C392F"/>
    <w:rsid w:val="003C3A6E"/>
    <w:rsid w:val="003C3EA1"/>
    <w:rsid w:val="003C45EC"/>
    <w:rsid w:val="003D0543"/>
    <w:rsid w:val="003D0E75"/>
    <w:rsid w:val="003D1631"/>
    <w:rsid w:val="003D2B19"/>
    <w:rsid w:val="003D2F23"/>
    <w:rsid w:val="003D2FF7"/>
    <w:rsid w:val="003D339B"/>
    <w:rsid w:val="003D383E"/>
    <w:rsid w:val="003D44D0"/>
    <w:rsid w:val="003D4A4A"/>
    <w:rsid w:val="003D4B5D"/>
    <w:rsid w:val="003D4DE7"/>
    <w:rsid w:val="003D600B"/>
    <w:rsid w:val="003D6121"/>
    <w:rsid w:val="003D637E"/>
    <w:rsid w:val="003D6F02"/>
    <w:rsid w:val="003D74B1"/>
    <w:rsid w:val="003D78EE"/>
    <w:rsid w:val="003E0DCF"/>
    <w:rsid w:val="003E1073"/>
    <w:rsid w:val="003E1783"/>
    <w:rsid w:val="003E20A6"/>
    <w:rsid w:val="003E2543"/>
    <w:rsid w:val="003E2882"/>
    <w:rsid w:val="003E29B1"/>
    <w:rsid w:val="003E302D"/>
    <w:rsid w:val="003E4095"/>
    <w:rsid w:val="003E4A45"/>
    <w:rsid w:val="003E4E5C"/>
    <w:rsid w:val="003E5462"/>
    <w:rsid w:val="003E56EE"/>
    <w:rsid w:val="003E72F8"/>
    <w:rsid w:val="003E7481"/>
    <w:rsid w:val="003E7AB8"/>
    <w:rsid w:val="003E7CAD"/>
    <w:rsid w:val="003F05EB"/>
    <w:rsid w:val="003F061A"/>
    <w:rsid w:val="003F1E49"/>
    <w:rsid w:val="003F1F01"/>
    <w:rsid w:val="003F2B18"/>
    <w:rsid w:val="003F3F5C"/>
    <w:rsid w:val="003F4AD8"/>
    <w:rsid w:val="003F63FF"/>
    <w:rsid w:val="003F664C"/>
    <w:rsid w:val="003F6D11"/>
    <w:rsid w:val="003F7039"/>
    <w:rsid w:val="003F74A5"/>
    <w:rsid w:val="00400438"/>
    <w:rsid w:val="004009A1"/>
    <w:rsid w:val="00400E61"/>
    <w:rsid w:val="0040125F"/>
    <w:rsid w:val="00401AFC"/>
    <w:rsid w:val="00403A36"/>
    <w:rsid w:val="00403DAC"/>
    <w:rsid w:val="004057E6"/>
    <w:rsid w:val="004058F3"/>
    <w:rsid w:val="00405BA0"/>
    <w:rsid w:val="004062CD"/>
    <w:rsid w:val="004064A3"/>
    <w:rsid w:val="0040657C"/>
    <w:rsid w:val="00406730"/>
    <w:rsid w:val="00406ED7"/>
    <w:rsid w:val="00407B56"/>
    <w:rsid w:val="004102F7"/>
    <w:rsid w:val="004103EC"/>
    <w:rsid w:val="00410FCF"/>
    <w:rsid w:val="004122DF"/>
    <w:rsid w:val="004138F8"/>
    <w:rsid w:val="00413E36"/>
    <w:rsid w:val="00414BB7"/>
    <w:rsid w:val="00414F47"/>
    <w:rsid w:val="004162D9"/>
    <w:rsid w:val="00417465"/>
    <w:rsid w:val="004174FC"/>
    <w:rsid w:val="0041783B"/>
    <w:rsid w:val="00417AB2"/>
    <w:rsid w:val="00421082"/>
    <w:rsid w:val="0042117B"/>
    <w:rsid w:val="00421275"/>
    <w:rsid w:val="00421E9B"/>
    <w:rsid w:val="00423504"/>
    <w:rsid w:val="00423DA0"/>
    <w:rsid w:val="004240C6"/>
    <w:rsid w:val="00424609"/>
    <w:rsid w:val="00424644"/>
    <w:rsid w:val="00424D7D"/>
    <w:rsid w:val="00425122"/>
    <w:rsid w:val="004253A8"/>
    <w:rsid w:val="004253EA"/>
    <w:rsid w:val="0042592F"/>
    <w:rsid w:val="004259D7"/>
    <w:rsid w:val="00425C33"/>
    <w:rsid w:val="00426697"/>
    <w:rsid w:val="004274C1"/>
    <w:rsid w:val="00427734"/>
    <w:rsid w:val="00427A39"/>
    <w:rsid w:val="00427AAC"/>
    <w:rsid w:val="00427B02"/>
    <w:rsid w:val="0043014E"/>
    <w:rsid w:val="004307C2"/>
    <w:rsid w:val="004318F2"/>
    <w:rsid w:val="004329E1"/>
    <w:rsid w:val="00432FBC"/>
    <w:rsid w:val="004335FB"/>
    <w:rsid w:val="00434E92"/>
    <w:rsid w:val="00434FD3"/>
    <w:rsid w:val="0043645E"/>
    <w:rsid w:val="00436466"/>
    <w:rsid w:val="004367DB"/>
    <w:rsid w:val="00436F4E"/>
    <w:rsid w:val="00437227"/>
    <w:rsid w:val="00437308"/>
    <w:rsid w:val="00437BB7"/>
    <w:rsid w:val="00437C23"/>
    <w:rsid w:val="00437DD8"/>
    <w:rsid w:val="00437F41"/>
    <w:rsid w:val="0044053F"/>
    <w:rsid w:val="00440548"/>
    <w:rsid w:val="00440C78"/>
    <w:rsid w:val="00441641"/>
    <w:rsid w:val="00441B2E"/>
    <w:rsid w:val="004421ED"/>
    <w:rsid w:val="00442F50"/>
    <w:rsid w:val="00443A1F"/>
    <w:rsid w:val="00443AF4"/>
    <w:rsid w:val="0044405F"/>
    <w:rsid w:val="004457E6"/>
    <w:rsid w:val="00446047"/>
    <w:rsid w:val="00446BA0"/>
    <w:rsid w:val="00446D20"/>
    <w:rsid w:val="00446FB9"/>
    <w:rsid w:val="00447B67"/>
    <w:rsid w:val="00447DFD"/>
    <w:rsid w:val="004500D2"/>
    <w:rsid w:val="004507A5"/>
    <w:rsid w:val="00450D3E"/>
    <w:rsid w:val="0045157D"/>
    <w:rsid w:val="00452343"/>
    <w:rsid w:val="00453C30"/>
    <w:rsid w:val="004549C9"/>
    <w:rsid w:val="0045553E"/>
    <w:rsid w:val="00456257"/>
    <w:rsid w:val="00457101"/>
    <w:rsid w:val="00457F73"/>
    <w:rsid w:val="00461517"/>
    <w:rsid w:val="00461552"/>
    <w:rsid w:val="004615AC"/>
    <w:rsid w:val="00462028"/>
    <w:rsid w:val="00462705"/>
    <w:rsid w:val="00462B4C"/>
    <w:rsid w:val="00462D53"/>
    <w:rsid w:val="00463512"/>
    <w:rsid w:val="00464511"/>
    <w:rsid w:val="004647CF"/>
    <w:rsid w:val="00464BB0"/>
    <w:rsid w:val="00465EBA"/>
    <w:rsid w:val="00466015"/>
    <w:rsid w:val="00466509"/>
    <w:rsid w:val="00466874"/>
    <w:rsid w:val="00466A9D"/>
    <w:rsid w:val="00466AF3"/>
    <w:rsid w:val="004677D6"/>
    <w:rsid w:val="00467932"/>
    <w:rsid w:val="0047013B"/>
    <w:rsid w:val="00471D53"/>
    <w:rsid w:val="004733A2"/>
    <w:rsid w:val="00474415"/>
    <w:rsid w:val="00474C69"/>
    <w:rsid w:val="004751BA"/>
    <w:rsid w:val="00475636"/>
    <w:rsid w:val="00475708"/>
    <w:rsid w:val="00476162"/>
    <w:rsid w:val="0047665A"/>
    <w:rsid w:val="0047696A"/>
    <w:rsid w:val="004769C8"/>
    <w:rsid w:val="00477685"/>
    <w:rsid w:val="00477C11"/>
    <w:rsid w:val="00477C39"/>
    <w:rsid w:val="00481568"/>
    <w:rsid w:val="0048192C"/>
    <w:rsid w:val="00482A0F"/>
    <w:rsid w:val="00482C48"/>
    <w:rsid w:val="00482FF4"/>
    <w:rsid w:val="00484A68"/>
    <w:rsid w:val="00485AD9"/>
    <w:rsid w:val="0048655B"/>
    <w:rsid w:val="0048700E"/>
    <w:rsid w:val="00487021"/>
    <w:rsid w:val="00487335"/>
    <w:rsid w:val="004909D9"/>
    <w:rsid w:val="00490DFA"/>
    <w:rsid w:val="00491745"/>
    <w:rsid w:val="00491ED4"/>
    <w:rsid w:val="00492077"/>
    <w:rsid w:val="004926A8"/>
    <w:rsid w:val="004927DE"/>
    <w:rsid w:val="00494640"/>
    <w:rsid w:val="00494B44"/>
    <w:rsid w:val="00495B01"/>
    <w:rsid w:val="00495CA9"/>
    <w:rsid w:val="00496076"/>
    <w:rsid w:val="00496429"/>
    <w:rsid w:val="004969B0"/>
    <w:rsid w:val="004A0341"/>
    <w:rsid w:val="004A045D"/>
    <w:rsid w:val="004A0E2A"/>
    <w:rsid w:val="004A18D0"/>
    <w:rsid w:val="004A1F38"/>
    <w:rsid w:val="004A21D4"/>
    <w:rsid w:val="004A2FC3"/>
    <w:rsid w:val="004A317D"/>
    <w:rsid w:val="004A32F7"/>
    <w:rsid w:val="004A3BA5"/>
    <w:rsid w:val="004A40A2"/>
    <w:rsid w:val="004A468F"/>
    <w:rsid w:val="004A470C"/>
    <w:rsid w:val="004A5A9B"/>
    <w:rsid w:val="004A5BB8"/>
    <w:rsid w:val="004A6A60"/>
    <w:rsid w:val="004A6F5A"/>
    <w:rsid w:val="004A7DBF"/>
    <w:rsid w:val="004A7DF4"/>
    <w:rsid w:val="004B00D4"/>
    <w:rsid w:val="004B014E"/>
    <w:rsid w:val="004B08AD"/>
    <w:rsid w:val="004B0C02"/>
    <w:rsid w:val="004B16E3"/>
    <w:rsid w:val="004B23F3"/>
    <w:rsid w:val="004B2860"/>
    <w:rsid w:val="004B2D28"/>
    <w:rsid w:val="004B2FDE"/>
    <w:rsid w:val="004B3755"/>
    <w:rsid w:val="004B44F5"/>
    <w:rsid w:val="004B504B"/>
    <w:rsid w:val="004B51B4"/>
    <w:rsid w:val="004B51F7"/>
    <w:rsid w:val="004B5AFA"/>
    <w:rsid w:val="004B685E"/>
    <w:rsid w:val="004B6906"/>
    <w:rsid w:val="004B6B12"/>
    <w:rsid w:val="004B6F8F"/>
    <w:rsid w:val="004B7B35"/>
    <w:rsid w:val="004B7E03"/>
    <w:rsid w:val="004C0CEA"/>
    <w:rsid w:val="004C1C8F"/>
    <w:rsid w:val="004C3605"/>
    <w:rsid w:val="004C387B"/>
    <w:rsid w:val="004C3AD4"/>
    <w:rsid w:val="004C43EC"/>
    <w:rsid w:val="004C4518"/>
    <w:rsid w:val="004C47BB"/>
    <w:rsid w:val="004C4F00"/>
    <w:rsid w:val="004C51BA"/>
    <w:rsid w:val="004C6040"/>
    <w:rsid w:val="004C7286"/>
    <w:rsid w:val="004C7E53"/>
    <w:rsid w:val="004D0206"/>
    <w:rsid w:val="004D0DA2"/>
    <w:rsid w:val="004D1488"/>
    <w:rsid w:val="004D1557"/>
    <w:rsid w:val="004D204F"/>
    <w:rsid w:val="004D2305"/>
    <w:rsid w:val="004D2A93"/>
    <w:rsid w:val="004D2AD1"/>
    <w:rsid w:val="004D2FBC"/>
    <w:rsid w:val="004D3430"/>
    <w:rsid w:val="004D36CD"/>
    <w:rsid w:val="004D3B2F"/>
    <w:rsid w:val="004D44E9"/>
    <w:rsid w:val="004D56AD"/>
    <w:rsid w:val="004D6131"/>
    <w:rsid w:val="004D67EF"/>
    <w:rsid w:val="004D6FE2"/>
    <w:rsid w:val="004E07F0"/>
    <w:rsid w:val="004E0898"/>
    <w:rsid w:val="004E1223"/>
    <w:rsid w:val="004E13DE"/>
    <w:rsid w:val="004E1BDF"/>
    <w:rsid w:val="004E215C"/>
    <w:rsid w:val="004E4433"/>
    <w:rsid w:val="004E4930"/>
    <w:rsid w:val="004E4B2B"/>
    <w:rsid w:val="004E4EB5"/>
    <w:rsid w:val="004E55F8"/>
    <w:rsid w:val="004E5C01"/>
    <w:rsid w:val="004E6F7B"/>
    <w:rsid w:val="004E7840"/>
    <w:rsid w:val="004E7D34"/>
    <w:rsid w:val="004E7F10"/>
    <w:rsid w:val="004F0861"/>
    <w:rsid w:val="004F090F"/>
    <w:rsid w:val="004F163A"/>
    <w:rsid w:val="004F1BED"/>
    <w:rsid w:val="004F216D"/>
    <w:rsid w:val="004F2A42"/>
    <w:rsid w:val="004F2B76"/>
    <w:rsid w:val="004F2D19"/>
    <w:rsid w:val="004F42BA"/>
    <w:rsid w:val="004F4334"/>
    <w:rsid w:val="004F45E1"/>
    <w:rsid w:val="004F50A7"/>
    <w:rsid w:val="004F6483"/>
    <w:rsid w:val="004F7534"/>
    <w:rsid w:val="004F77D4"/>
    <w:rsid w:val="00500141"/>
    <w:rsid w:val="00500A08"/>
    <w:rsid w:val="00501275"/>
    <w:rsid w:val="00501415"/>
    <w:rsid w:val="00501661"/>
    <w:rsid w:val="00501FF4"/>
    <w:rsid w:val="005021C3"/>
    <w:rsid w:val="005026E2"/>
    <w:rsid w:val="005030E0"/>
    <w:rsid w:val="00503DF5"/>
    <w:rsid w:val="00503E3B"/>
    <w:rsid w:val="005044BF"/>
    <w:rsid w:val="005046D8"/>
    <w:rsid w:val="00504749"/>
    <w:rsid w:val="00504BEE"/>
    <w:rsid w:val="0050510E"/>
    <w:rsid w:val="0050568C"/>
    <w:rsid w:val="005065C8"/>
    <w:rsid w:val="00506D71"/>
    <w:rsid w:val="005077BC"/>
    <w:rsid w:val="005109E2"/>
    <w:rsid w:val="00511AD9"/>
    <w:rsid w:val="005127D9"/>
    <w:rsid w:val="005135E5"/>
    <w:rsid w:val="00514113"/>
    <w:rsid w:val="00514704"/>
    <w:rsid w:val="00514BB5"/>
    <w:rsid w:val="005154B9"/>
    <w:rsid w:val="00516135"/>
    <w:rsid w:val="00516BE3"/>
    <w:rsid w:val="00517FA5"/>
    <w:rsid w:val="00520115"/>
    <w:rsid w:val="0052042F"/>
    <w:rsid w:val="00520ACD"/>
    <w:rsid w:val="005219B2"/>
    <w:rsid w:val="00521C09"/>
    <w:rsid w:val="00521FEC"/>
    <w:rsid w:val="005224FC"/>
    <w:rsid w:val="0052292A"/>
    <w:rsid w:val="00522A39"/>
    <w:rsid w:val="00522DF0"/>
    <w:rsid w:val="00523F71"/>
    <w:rsid w:val="0052452B"/>
    <w:rsid w:val="00526837"/>
    <w:rsid w:val="005268F7"/>
    <w:rsid w:val="00526B12"/>
    <w:rsid w:val="005271E3"/>
    <w:rsid w:val="00527221"/>
    <w:rsid w:val="005278CA"/>
    <w:rsid w:val="005278DF"/>
    <w:rsid w:val="00527DE6"/>
    <w:rsid w:val="00531BAD"/>
    <w:rsid w:val="00531FF3"/>
    <w:rsid w:val="0053286D"/>
    <w:rsid w:val="005328A8"/>
    <w:rsid w:val="00532C97"/>
    <w:rsid w:val="00532D3A"/>
    <w:rsid w:val="00534036"/>
    <w:rsid w:val="005345E6"/>
    <w:rsid w:val="00535012"/>
    <w:rsid w:val="0053514B"/>
    <w:rsid w:val="00535377"/>
    <w:rsid w:val="00535831"/>
    <w:rsid w:val="0053596B"/>
    <w:rsid w:val="00535BA4"/>
    <w:rsid w:val="0053620C"/>
    <w:rsid w:val="00536294"/>
    <w:rsid w:val="00536483"/>
    <w:rsid w:val="005366BD"/>
    <w:rsid w:val="00537C2F"/>
    <w:rsid w:val="0054049D"/>
    <w:rsid w:val="00540B4F"/>
    <w:rsid w:val="005414E5"/>
    <w:rsid w:val="005418B6"/>
    <w:rsid w:val="00541BD3"/>
    <w:rsid w:val="005423AC"/>
    <w:rsid w:val="00543163"/>
    <w:rsid w:val="005431C8"/>
    <w:rsid w:val="0054335B"/>
    <w:rsid w:val="00543841"/>
    <w:rsid w:val="005503BA"/>
    <w:rsid w:val="005508F8"/>
    <w:rsid w:val="005509DF"/>
    <w:rsid w:val="00550DF4"/>
    <w:rsid w:val="0055147B"/>
    <w:rsid w:val="00551822"/>
    <w:rsid w:val="00552567"/>
    <w:rsid w:val="005531B9"/>
    <w:rsid w:val="0055321F"/>
    <w:rsid w:val="0055396E"/>
    <w:rsid w:val="00553C26"/>
    <w:rsid w:val="00553E05"/>
    <w:rsid w:val="00554578"/>
    <w:rsid w:val="005547FE"/>
    <w:rsid w:val="00555020"/>
    <w:rsid w:val="0055508F"/>
    <w:rsid w:val="00555866"/>
    <w:rsid w:val="00555969"/>
    <w:rsid w:val="00555A6E"/>
    <w:rsid w:val="00555A72"/>
    <w:rsid w:val="00555CDA"/>
    <w:rsid w:val="00555D7A"/>
    <w:rsid w:val="005565B1"/>
    <w:rsid w:val="00556C44"/>
    <w:rsid w:val="0055703A"/>
    <w:rsid w:val="0056006D"/>
    <w:rsid w:val="0056114A"/>
    <w:rsid w:val="005612E3"/>
    <w:rsid w:val="005612F3"/>
    <w:rsid w:val="00561989"/>
    <w:rsid w:val="00561D02"/>
    <w:rsid w:val="005625D7"/>
    <w:rsid w:val="0056262A"/>
    <w:rsid w:val="0056263B"/>
    <w:rsid w:val="00562C63"/>
    <w:rsid w:val="00562C64"/>
    <w:rsid w:val="00562F6F"/>
    <w:rsid w:val="00563331"/>
    <w:rsid w:val="0056368A"/>
    <w:rsid w:val="00563E15"/>
    <w:rsid w:val="00564688"/>
    <w:rsid w:val="005646D1"/>
    <w:rsid w:val="0056567C"/>
    <w:rsid w:val="00566C13"/>
    <w:rsid w:val="00567410"/>
    <w:rsid w:val="00570440"/>
    <w:rsid w:val="00570692"/>
    <w:rsid w:val="0057093D"/>
    <w:rsid w:val="0057174B"/>
    <w:rsid w:val="00571F0E"/>
    <w:rsid w:val="00571FCD"/>
    <w:rsid w:val="00572371"/>
    <w:rsid w:val="005725A2"/>
    <w:rsid w:val="00573E4F"/>
    <w:rsid w:val="00574B1E"/>
    <w:rsid w:val="005756F6"/>
    <w:rsid w:val="00576D64"/>
    <w:rsid w:val="005804F1"/>
    <w:rsid w:val="0058087E"/>
    <w:rsid w:val="00581307"/>
    <w:rsid w:val="0058136D"/>
    <w:rsid w:val="0058177B"/>
    <w:rsid w:val="00581892"/>
    <w:rsid w:val="005820EA"/>
    <w:rsid w:val="005821D4"/>
    <w:rsid w:val="00582319"/>
    <w:rsid w:val="005823FC"/>
    <w:rsid w:val="00582447"/>
    <w:rsid w:val="005825BD"/>
    <w:rsid w:val="00582CA8"/>
    <w:rsid w:val="00584272"/>
    <w:rsid w:val="00584554"/>
    <w:rsid w:val="00584613"/>
    <w:rsid w:val="00584992"/>
    <w:rsid w:val="00585C4C"/>
    <w:rsid w:val="00585E7D"/>
    <w:rsid w:val="005866BA"/>
    <w:rsid w:val="00586DFC"/>
    <w:rsid w:val="005876C2"/>
    <w:rsid w:val="0059197D"/>
    <w:rsid w:val="00591F51"/>
    <w:rsid w:val="00592160"/>
    <w:rsid w:val="00592389"/>
    <w:rsid w:val="00592AE8"/>
    <w:rsid w:val="005935BC"/>
    <w:rsid w:val="005939E9"/>
    <w:rsid w:val="00593F0B"/>
    <w:rsid w:val="0059412E"/>
    <w:rsid w:val="005943F8"/>
    <w:rsid w:val="00594DA5"/>
    <w:rsid w:val="005953CB"/>
    <w:rsid w:val="00595AC2"/>
    <w:rsid w:val="00595E98"/>
    <w:rsid w:val="00596508"/>
    <w:rsid w:val="005976A7"/>
    <w:rsid w:val="005A1988"/>
    <w:rsid w:val="005A265F"/>
    <w:rsid w:val="005A2795"/>
    <w:rsid w:val="005A2845"/>
    <w:rsid w:val="005A2E78"/>
    <w:rsid w:val="005A34CC"/>
    <w:rsid w:val="005A43AA"/>
    <w:rsid w:val="005A4C4D"/>
    <w:rsid w:val="005A4EDA"/>
    <w:rsid w:val="005A52B2"/>
    <w:rsid w:val="005A5D65"/>
    <w:rsid w:val="005A5E39"/>
    <w:rsid w:val="005B014A"/>
    <w:rsid w:val="005B034D"/>
    <w:rsid w:val="005B0487"/>
    <w:rsid w:val="005B0520"/>
    <w:rsid w:val="005B328A"/>
    <w:rsid w:val="005B40AE"/>
    <w:rsid w:val="005B45BF"/>
    <w:rsid w:val="005B4A6D"/>
    <w:rsid w:val="005B52DE"/>
    <w:rsid w:val="005B5423"/>
    <w:rsid w:val="005B62BF"/>
    <w:rsid w:val="005B63E0"/>
    <w:rsid w:val="005B6CCF"/>
    <w:rsid w:val="005B75C3"/>
    <w:rsid w:val="005C0076"/>
    <w:rsid w:val="005C08C0"/>
    <w:rsid w:val="005C0B05"/>
    <w:rsid w:val="005C114C"/>
    <w:rsid w:val="005C1899"/>
    <w:rsid w:val="005C299E"/>
    <w:rsid w:val="005C2B49"/>
    <w:rsid w:val="005C2BDF"/>
    <w:rsid w:val="005C3096"/>
    <w:rsid w:val="005C5543"/>
    <w:rsid w:val="005C6340"/>
    <w:rsid w:val="005C6535"/>
    <w:rsid w:val="005C6936"/>
    <w:rsid w:val="005C6C63"/>
    <w:rsid w:val="005C77F1"/>
    <w:rsid w:val="005D06A1"/>
    <w:rsid w:val="005D0886"/>
    <w:rsid w:val="005D0E01"/>
    <w:rsid w:val="005D0E7F"/>
    <w:rsid w:val="005D205A"/>
    <w:rsid w:val="005D253B"/>
    <w:rsid w:val="005D3CB0"/>
    <w:rsid w:val="005D4435"/>
    <w:rsid w:val="005D4F3A"/>
    <w:rsid w:val="005D50B9"/>
    <w:rsid w:val="005D5936"/>
    <w:rsid w:val="005D6056"/>
    <w:rsid w:val="005D6772"/>
    <w:rsid w:val="005D7DAE"/>
    <w:rsid w:val="005D7FF1"/>
    <w:rsid w:val="005E05B5"/>
    <w:rsid w:val="005E12CA"/>
    <w:rsid w:val="005E12FC"/>
    <w:rsid w:val="005E19EA"/>
    <w:rsid w:val="005E1C42"/>
    <w:rsid w:val="005E2F0D"/>
    <w:rsid w:val="005E3142"/>
    <w:rsid w:val="005E32AE"/>
    <w:rsid w:val="005E3631"/>
    <w:rsid w:val="005E41C0"/>
    <w:rsid w:val="005E56F7"/>
    <w:rsid w:val="005E5A5A"/>
    <w:rsid w:val="005E5C4E"/>
    <w:rsid w:val="005E5D11"/>
    <w:rsid w:val="005E5EFE"/>
    <w:rsid w:val="005E63F6"/>
    <w:rsid w:val="005E6BFE"/>
    <w:rsid w:val="005E7069"/>
    <w:rsid w:val="005E76C9"/>
    <w:rsid w:val="005F08F4"/>
    <w:rsid w:val="005F142D"/>
    <w:rsid w:val="005F27F1"/>
    <w:rsid w:val="005F2FF5"/>
    <w:rsid w:val="005F3A57"/>
    <w:rsid w:val="005F3BB3"/>
    <w:rsid w:val="005F4F77"/>
    <w:rsid w:val="005F5B42"/>
    <w:rsid w:val="005F5EAD"/>
    <w:rsid w:val="005F63A4"/>
    <w:rsid w:val="005F6EE6"/>
    <w:rsid w:val="005F7A36"/>
    <w:rsid w:val="006014AE"/>
    <w:rsid w:val="00601B58"/>
    <w:rsid w:val="006026AB"/>
    <w:rsid w:val="006037F9"/>
    <w:rsid w:val="00603A4C"/>
    <w:rsid w:val="00603F5C"/>
    <w:rsid w:val="00604530"/>
    <w:rsid w:val="00604807"/>
    <w:rsid w:val="006051EE"/>
    <w:rsid w:val="00605630"/>
    <w:rsid w:val="0060627E"/>
    <w:rsid w:val="00606F81"/>
    <w:rsid w:val="0060748E"/>
    <w:rsid w:val="0061024A"/>
    <w:rsid w:val="00610F8C"/>
    <w:rsid w:val="00611801"/>
    <w:rsid w:val="00611B18"/>
    <w:rsid w:val="006121B5"/>
    <w:rsid w:val="0061275B"/>
    <w:rsid w:val="00612C1B"/>
    <w:rsid w:val="00612C57"/>
    <w:rsid w:val="00613DB8"/>
    <w:rsid w:val="00614BD5"/>
    <w:rsid w:val="00614DA4"/>
    <w:rsid w:val="006159E8"/>
    <w:rsid w:val="0062103D"/>
    <w:rsid w:val="006210E7"/>
    <w:rsid w:val="006212C4"/>
    <w:rsid w:val="00621535"/>
    <w:rsid w:val="00621BB9"/>
    <w:rsid w:val="00621F82"/>
    <w:rsid w:val="0062209E"/>
    <w:rsid w:val="00622588"/>
    <w:rsid w:val="006229DF"/>
    <w:rsid w:val="00623C31"/>
    <w:rsid w:val="00623FCC"/>
    <w:rsid w:val="006248A4"/>
    <w:rsid w:val="00624A11"/>
    <w:rsid w:val="00624CA0"/>
    <w:rsid w:val="00624E4F"/>
    <w:rsid w:val="00624E58"/>
    <w:rsid w:val="00625B7B"/>
    <w:rsid w:val="00627F2E"/>
    <w:rsid w:val="00630005"/>
    <w:rsid w:val="00630588"/>
    <w:rsid w:val="00630E9F"/>
    <w:rsid w:val="006312FE"/>
    <w:rsid w:val="00631FBC"/>
    <w:rsid w:val="006334E7"/>
    <w:rsid w:val="00634909"/>
    <w:rsid w:val="00634989"/>
    <w:rsid w:val="0063589B"/>
    <w:rsid w:val="00635A06"/>
    <w:rsid w:val="00635C57"/>
    <w:rsid w:val="00635DCB"/>
    <w:rsid w:val="00636FAA"/>
    <w:rsid w:val="00637697"/>
    <w:rsid w:val="00637884"/>
    <w:rsid w:val="006378AD"/>
    <w:rsid w:val="00637D9B"/>
    <w:rsid w:val="00640180"/>
    <w:rsid w:val="00640BD0"/>
    <w:rsid w:val="00641045"/>
    <w:rsid w:val="00641375"/>
    <w:rsid w:val="006413BA"/>
    <w:rsid w:val="00641457"/>
    <w:rsid w:val="00641D99"/>
    <w:rsid w:val="00641ED4"/>
    <w:rsid w:val="00642EFF"/>
    <w:rsid w:val="00642F2F"/>
    <w:rsid w:val="00644787"/>
    <w:rsid w:val="0064481D"/>
    <w:rsid w:val="006458BA"/>
    <w:rsid w:val="006473F8"/>
    <w:rsid w:val="006477E1"/>
    <w:rsid w:val="0065065C"/>
    <w:rsid w:val="006518FD"/>
    <w:rsid w:val="00652119"/>
    <w:rsid w:val="006526FF"/>
    <w:rsid w:val="006530EE"/>
    <w:rsid w:val="00653E4C"/>
    <w:rsid w:val="00653EFA"/>
    <w:rsid w:val="00654077"/>
    <w:rsid w:val="006555D8"/>
    <w:rsid w:val="00655E7F"/>
    <w:rsid w:val="006563A6"/>
    <w:rsid w:val="00656C29"/>
    <w:rsid w:val="0065778D"/>
    <w:rsid w:val="006577DD"/>
    <w:rsid w:val="00657B3D"/>
    <w:rsid w:val="00657B8B"/>
    <w:rsid w:val="00660CA1"/>
    <w:rsid w:val="00660FBD"/>
    <w:rsid w:val="00662272"/>
    <w:rsid w:val="00662AF6"/>
    <w:rsid w:val="00663507"/>
    <w:rsid w:val="0066448B"/>
    <w:rsid w:val="00664526"/>
    <w:rsid w:val="006654A1"/>
    <w:rsid w:val="0066563D"/>
    <w:rsid w:val="006656C4"/>
    <w:rsid w:val="006657E3"/>
    <w:rsid w:val="0066611E"/>
    <w:rsid w:val="00666316"/>
    <w:rsid w:val="00666F02"/>
    <w:rsid w:val="006679F2"/>
    <w:rsid w:val="00667B97"/>
    <w:rsid w:val="00671EF6"/>
    <w:rsid w:val="00672B51"/>
    <w:rsid w:val="00672DDA"/>
    <w:rsid w:val="00672E04"/>
    <w:rsid w:val="00673605"/>
    <w:rsid w:val="00673A2D"/>
    <w:rsid w:val="006740DA"/>
    <w:rsid w:val="006741CB"/>
    <w:rsid w:val="00674536"/>
    <w:rsid w:val="0067464A"/>
    <w:rsid w:val="00674B01"/>
    <w:rsid w:val="00675063"/>
    <w:rsid w:val="00675497"/>
    <w:rsid w:val="00676731"/>
    <w:rsid w:val="00677352"/>
    <w:rsid w:val="0067767E"/>
    <w:rsid w:val="006803D1"/>
    <w:rsid w:val="00680BC3"/>
    <w:rsid w:val="00681DEC"/>
    <w:rsid w:val="006830FC"/>
    <w:rsid w:val="00684C0D"/>
    <w:rsid w:val="00685BBD"/>
    <w:rsid w:val="00686351"/>
    <w:rsid w:val="006867CC"/>
    <w:rsid w:val="00686A7F"/>
    <w:rsid w:val="00686EF4"/>
    <w:rsid w:val="0068750A"/>
    <w:rsid w:val="006877B7"/>
    <w:rsid w:val="006901AA"/>
    <w:rsid w:val="0069075A"/>
    <w:rsid w:val="00691CBB"/>
    <w:rsid w:val="00692058"/>
    <w:rsid w:val="00692844"/>
    <w:rsid w:val="00692D9F"/>
    <w:rsid w:val="00693CE7"/>
    <w:rsid w:val="006942D5"/>
    <w:rsid w:val="006952B3"/>
    <w:rsid w:val="00696503"/>
    <w:rsid w:val="00697ACF"/>
    <w:rsid w:val="006A2889"/>
    <w:rsid w:val="006A2B58"/>
    <w:rsid w:val="006A2C71"/>
    <w:rsid w:val="006A3313"/>
    <w:rsid w:val="006A3BD4"/>
    <w:rsid w:val="006A4D6C"/>
    <w:rsid w:val="006A4DE1"/>
    <w:rsid w:val="006A5994"/>
    <w:rsid w:val="006A6352"/>
    <w:rsid w:val="006A636A"/>
    <w:rsid w:val="006A67A4"/>
    <w:rsid w:val="006A6FD0"/>
    <w:rsid w:val="006A7738"/>
    <w:rsid w:val="006A7B5F"/>
    <w:rsid w:val="006B0B1F"/>
    <w:rsid w:val="006B148C"/>
    <w:rsid w:val="006B297B"/>
    <w:rsid w:val="006B31F3"/>
    <w:rsid w:val="006B43FA"/>
    <w:rsid w:val="006B442B"/>
    <w:rsid w:val="006B464A"/>
    <w:rsid w:val="006B5FF9"/>
    <w:rsid w:val="006B761C"/>
    <w:rsid w:val="006B781B"/>
    <w:rsid w:val="006C0605"/>
    <w:rsid w:val="006C0C57"/>
    <w:rsid w:val="006C1435"/>
    <w:rsid w:val="006C1A83"/>
    <w:rsid w:val="006C1A91"/>
    <w:rsid w:val="006C1B74"/>
    <w:rsid w:val="006C295E"/>
    <w:rsid w:val="006C3A9C"/>
    <w:rsid w:val="006C3E7B"/>
    <w:rsid w:val="006C3F27"/>
    <w:rsid w:val="006C4CC7"/>
    <w:rsid w:val="006C54CA"/>
    <w:rsid w:val="006C571E"/>
    <w:rsid w:val="006C7684"/>
    <w:rsid w:val="006D01D1"/>
    <w:rsid w:val="006D0210"/>
    <w:rsid w:val="006D08E3"/>
    <w:rsid w:val="006D0E51"/>
    <w:rsid w:val="006D11FA"/>
    <w:rsid w:val="006D12DB"/>
    <w:rsid w:val="006D1BAF"/>
    <w:rsid w:val="006D228F"/>
    <w:rsid w:val="006D333E"/>
    <w:rsid w:val="006D3F01"/>
    <w:rsid w:val="006D48DB"/>
    <w:rsid w:val="006D50AA"/>
    <w:rsid w:val="006D706B"/>
    <w:rsid w:val="006D7D0F"/>
    <w:rsid w:val="006E011E"/>
    <w:rsid w:val="006E0C72"/>
    <w:rsid w:val="006E165F"/>
    <w:rsid w:val="006E2428"/>
    <w:rsid w:val="006E256F"/>
    <w:rsid w:val="006E28E5"/>
    <w:rsid w:val="006E291E"/>
    <w:rsid w:val="006E39C2"/>
    <w:rsid w:val="006E4048"/>
    <w:rsid w:val="006E40BC"/>
    <w:rsid w:val="006E45EB"/>
    <w:rsid w:val="006E4605"/>
    <w:rsid w:val="006E4A07"/>
    <w:rsid w:val="006E4F4F"/>
    <w:rsid w:val="006E503E"/>
    <w:rsid w:val="006E56B2"/>
    <w:rsid w:val="006E5C59"/>
    <w:rsid w:val="006E652F"/>
    <w:rsid w:val="006E7598"/>
    <w:rsid w:val="006E79F6"/>
    <w:rsid w:val="006F06C2"/>
    <w:rsid w:val="006F1032"/>
    <w:rsid w:val="006F15CE"/>
    <w:rsid w:val="006F1B78"/>
    <w:rsid w:val="006F2917"/>
    <w:rsid w:val="006F3087"/>
    <w:rsid w:val="006F316E"/>
    <w:rsid w:val="006F32B4"/>
    <w:rsid w:val="006F3859"/>
    <w:rsid w:val="006F3FC2"/>
    <w:rsid w:val="006F4CDB"/>
    <w:rsid w:val="006F52C6"/>
    <w:rsid w:val="006F605D"/>
    <w:rsid w:val="006F73B4"/>
    <w:rsid w:val="006F7755"/>
    <w:rsid w:val="006F7A6A"/>
    <w:rsid w:val="007001ED"/>
    <w:rsid w:val="0070049A"/>
    <w:rsid w:val="00700AC7"/>
    <w:rsid w:val="00701369"/>
    <w:rsid w:val="0070211A"/>
    <w:rsid w:val="00702E1B"/>
    <w:rsid w:val="007034BB"/>
    <w:rsid w:val="00703BA5"/>
    <w:rsid w:val="00703F47"/>
    <w:rsid w:val="00703F99"/>
    <w:rsid w:val="007042DD"/>
    <w:rsid w:val="00705FD3"/>
    <w:rsid w:val="0070601D"/>
    <w:rsid w:val="00706AB2"/>
    <w:rsid w:val="00706FB1"/>
    <w:rsid w:val="007070F2"/>
    <w:rsid w:val="0070757B"/>
    <w:rsid w:val="00707A01"/>
    <w:rsid w:val="00710D77"/>
    <w:rsid w:val="0071173D"/>
    <w:rsid w:val="00711B5B"/>
    <w:rsid w:val="00713923"/>
    <w:rsid w:val="0071413D"/>
    <w:rsid w:val="0071438D"/>
    <w:rsid w:val="00714A25"/>
    <w:rsid w:val="00715136"/>
    <w:rsid w:val="00715AF1"/>
    <w:rsid w:val="00715FCB"/>
    <w:rsid w:val="007160E8"/>
    <w:rsid w:val="00717D9E"/>
    <w:rsid w:val="00717DC8"/>
    <w:rsid w:val="007209A2"/>
    <w:rsid w:val="007209A4"/>
    <w:rsid w:val="0072123C"/>
    <w:rsid w:val="0072168A"/>
    <w:rsid w:val="0072201F"/>
    <w:rsid w:val="00722293"/>
    <w:rsid w:val="0072275D"/>
    <w:rsid w:val="00722DAE"/>
    <w:rsid w:val="00723194"/>
    <w:rsid w:val="007232B4"/>
    <w:rsid w:val="00723645"/>
    <w:rsid w:val="00723BA5"/>
    <w:rsid w:val="007247EA"/>
    <w:rsid w:val="00725B40"/>
    <w:rsid w:val="0072619A"/>
    <w:rsid w:val="0072659D"/>
    <w:rsid w:val="00726BC7"/>
    <w:rsid w:val="00730A4B"/>
    <w:rsid w:val="00732693"/>
    <w:rsid w:val="00733016"/>
    <w:rsid w:val="00733630"/>
    <w:rsid w:val="007338F7"/>
    <w:rsid w:val="00733EAB"/>
    <w:rsid w:val="007346EE"/>
    <w:rsid w:val="007348DA"/>
    <w:rsid w:val="00734906"/>
    <w:rsid w:val="00734E28"/>
    <w:rsid w:val="00735487"/>
    <w:rsid w:val="00735A3B"/>
    <w:rsid w:val="007372D9"/>
    <w:rsid w:val="007373D3"/>
    <w:rsid w:val="0073798B"/>
    <w:rsid w:val="007379D2"/>
    <w:rsid w:val="00737D71"/>
    <w:rsid w:val="00737EAA"/>
    <w:rsid w:val="0074092F"/>
    <w:rsid w:val="0074105E"/>
    <w:rsid w:val="007419E4"/>
    <w:rsid w:val="00741AF8"/>
    <w:rsid w:val="00741FCA"/>
    <w:rsid w:val="0074231B"/>
    <w:rsid w:val="007424B3"/>
    <w:rsid w:val="00742CFE"/>
    <w:rsid w:val="00742E63"/>
    <w:rsid w:val="007430F3"/>
    <w:rsid w:val="00744267"/>
    <w:rsid w:val="0074488C"/>
    <w:rsid w:val="007449DF"/>
    <w:rsid w:val="00745DD5"/>
    <w:rsid w:val="0074643A"/>
    <w:rsid w:val="0074713A"/>
    <w:rsid w:val="007475AC"/>
    <w:rsid w:val="00750CF9"/>
    <w:rsid w:val="007520E0"/>
    <w:rsid w:val="0075248D"/>
    <w:rsid w:val="007530DF"/>
    <w:rsid w:val="00753E74"/>
    <w:rsid w:val="00754D08"/>
    <w:rsid w:val="00755099"/>
    <w:rsid w:val="0075574F"/>
    <w:rsid w:val="007565BD"/>
    <w:rsid w:val="007572A6"/>
    <w:rsid w:val="00757902"/>
    <w:rsid w:val="00757B4A"/>
    <w:rsid w:val="0076010F"/>
    <w:rsid w:val="007605ED"/>
    <w:rsid w:val="007609F1"/>
    <w:rsid w:val="00761963"/>
    <w:rsid w:val="00761C25"/>
    <w:rsid w:val="00761FFD"/>
    <w:rsid w:val="007630E6"/>
    <w:rsid w:val="0076345A"/>
    <w:rsid w:val="007636B7"/>
    <w:rsid w:val="0076455B"/>
    <w:rsid w:val="0076463F"/>
    <w:rsid w:val="00764DC2"/>
    <w:rsid w:val="00764FA1"/>
    <w:rsid w:val="007650D3"/>
    <w:rsid w:val="007661E8"/>
    <w:rsid w:val="00766580"/>
    <w:rsid w:val="007670A1"/>
    <w:rsid w:val="00767433"/>
    <w:rsid w:val="007677F3"/>
    <w:rsid w:val="00767CFE"/>
    <w:rsid w:val="00770184"/>
    <w:rsid w:val="00770544"/>
    <w:rsid w:val="00770637"/>
    <w:rsid w:val="00770B59"/>
    <w:rsid w:val="007720B8"/>
    <w:rsid w:val="00772998"/>
    <w:rsid w:val="007732A0"/>
    <w:rsid w:val="00773442"/>
    <w:rsid w:val="007735D2"/>
    <w:rsid w:val="0077402B"/>
    <w:rsid w:val="0077483A"/>
    <w:rsid w:val="007751E9"/>
    <w:rsid w:val="007758DF"/>
    <w:rsid w:val="00776605"/>
    <w:rsid w:val="0077673B"/>
    <w:rsid w:val="007769C3"/>
    <w:rsid w:val="007777B2"/>
    <w:rsid w:val="0078025C"/>
    <w:rsid w:val="00780450"/>
    <w:rsid w:val="00780795"/>
    <w:rsid w:val="00780DAC"/>
    <w:rsid w:val="007810F0"/>
    <w:rsid w:val="007817EB"/>
    <w:rsid w:val="00782757"/>
    <w:rsid w:val="00782A41"/>
    <w:rsid w:val="00783553"/>
    <w:rsid w:val="00783F6D"/>
    <w:rsid w:val="007843ED"/>
    <w:rsid w:val="00784CA3"/>
    <w:rsid w:val="0078578D"/>
    <w:rsid w:val="00785792"/>
    <w:rsid w:val="00785AA3"/>
    <w:rsid w:val="00786A83"/>
    <w:rsid w:val="00786FA3"/>
    <w:rsid w:val="007878AC"/>
    <w:rsid w:val="00787D77"/>
    <w:rsid w:val="00787F0E"/>
    <w:rsid w:val="00790389"/>
    <w:rsid w:val="00790BE2"/>
    <w:rsid w:val="007912A9"/>
    <w:rsid w:val="007919B2"/>
    <w:rsid w:val="007920E9"/>
    <w:rsid w:val="00792332"/>
    <w:rsid w:val="007928B7"/>
    <w:rsid w:val="00792A60"/>
    <w:rsid w:val="00792ED0"/>
    <w:rsid w:val="0079430B"/>
    <w:rsid w:val="007943F5"/>
    <w:rsid w:val="007945D4"/>
    <w:rsid w:val="007946FA"/>
    <w:rsid w:val="00794E0C"/>
    <w:rsid w:val="00794E76"/>
    <w:rsid w:val="00795CBF"/>
    <w:rsid w:val="007963C9"/>
    <w:rsid w:val="00797350"/>
    <w:rsid w:val="007A0D3B"/>
    <w:rsid w:val="007A0DD5"/>
    <w:rsid w:val="007A1038"/>
    <w:rsid w:val="007A1074"/>
    <w:rsid w:val="007A158B"/>
    <w:rsid w:val="007A1969"/>
    <w:rsid w:val="007A1A00"/>
    <w:rsid w:val="007A1B87"/>
    <w:rsid w:val="007A1C2A"/>
    <w:rsid w:val="007A4A14"/>
    <w:rsid w:val="007A4C48"/>
    <w:rsid w:val="007A53B0"/>
    <w:rsid w:val="007A581E"/>
    <w:rsid w:val="007A5824"/>
    <w:rsid w:val="007A59B0"/>
    <w:rsid w:val="007A5F91"/>
    <w:rsid w:val="007A6185"/>
    <w:rsid w:val="007A687C"/>
    <w:rsid w:val="007A7BB9"/>
    <w:rsid w:val="007B0332"/>
    <w:rsid w:val="007B1579"/>
    <w:rsid w:val="007B1DC7"/>
    <w:rsid w:val="007B22BA"/>
    <w:rsid w:val="007B24AF"/>
    <w:rsid w:val="007B2E0E"/>
    <w:rsid w:val="007B315E"/>
    <w:rsid w:val="007B3FA9"/>
    <w:rsid w:val="007B41A2"/>
    <w:rsid w:val="007B4BD0"/>
    <w:rsid w:val="007B566F"/>
    <w:rsid w:val="007B58AC"/>
    <w:rsid w:val="007B5FD8"/>
    <w:rsid w:val="007B60F6"/>
    <w:rsid w:val="007B6693"/>
    <w:rsid w:val="007B68E9"/>
    <w:rsid w:val="007C09E4"/>
    <w:rsid w:val="007C0A0B"/>
    <w:rsid w:val="007C0E3B"/>
    <w:rsid w:val="007C1BBA"/>
    <w:rsid w:val="007C1CF9"/>
    <w:rsid w:val="007C1EB1"/>
    <w:rsid w:val="007C20CF"/>
    <w:rsid w:val="007C2898"/>
    <w:rsid w:val="007C362B"/>
    <w:rsid w:val="007C38EF"/>
    <w:rsid w:val="007C3A7E"/>
    <w:rsid w:val="007C52B8"/>
    <w:rsid w:val="007C5C82"/>
    <w:rsid w:val="007C63C7"/>
    <w:rsid w:val="007C6467"/>
    <w:rsid w:val="007C658E"/>
    <w:rsid w:val="007C65C7"/>
    <w:rsid w:val="007C794C"/>
    <w:rsid w:val="007C7EEF"/>
    <w:rsid w:val="007D0298"/>
    <w:rsid w:val="007D1482"/>
    <w:rsid w:val="007D19EF"/>
    <w:rsid w:val="007D1E6D"/>
    <w:rsid w:val="007D23AE"/>
    <w:rsid w:val="007D2DB1"/>
    <w:rsid w:val="007D3AAD"/>
    <w:rsid w:val="007D3B03"/>
    <w:rsid w:val="007D4A9E"/>
    <w:rsid w:val="007D6B88"/>
    <w:rsid w:val="007D7C3F"/>
    <w:rsid w:val="007E10DA"/>
    <w:rsid w:val="007E13E8"/>
    <w:rsid w:val="007E1B59"/>
    <w:rsid w:val="007E1B77"/>
    <w:rsid w:val="007E1EED"/>
    <w:rsid w:val="007E2421"/>
    <w:rsid w:val="007E2686"/>
    <w:rsid w:val="007E2741"/>
    <w:rsid w:val="007E2C65"/>
    <w:rsid w:val="007E2DEB"/>
    <w:rsid w:val="007E382D"/>
    <w:rsid w:val="007E3BE1"/>
    <w:rsid w:val="007E4FF4"/>
    <w:rsid w:val="007E54C1"/>
    <w:rsid w:val="007E6636"/>
    <w:rsid w:val="007E6644"/>
    <w:rsid w:val="007E7AA3"/>
    <w:rsid w:val="007F0ED5"/>
    <w:rsid w:val="007F14E7"/>
    <w:rsid w:val="007F164D"/>
    <w:rsid w:val="007F20F5"/>
    <w:rsid w:val="007F27B0"/>
    <w:rsid w:val="007F4C02"/>
    <w:rsid w:val="007F505E"/>
    <w:rsid w:val="007F56DF"/>
    <w:rsid w:val="007F5AC3"/>
    <w:rsid w:val="007F5BB1"/>
    <w:rsid w:val="007F5C62"/>
    <w:rsid w:val="007F5EE0"/>
    <w:rsid w:val="007F62A6"/>
    <w:rsid w:val="0080038D"/>
    <w:rsid w:val="00800974"/>
    <w:rsid w:val="008009C7"/>
    <w:rsid w:val="00801B06"/>
    <w:rsid w:val="00801EF7"/>
    <w:rsid w:val="00801F37"/>
    <w:rsid w:val="00803587"/>
    <w:rsid w:val="0080418C"/>
    <w:rsid w:val="0080427E"/>
    <w:rsid w:val="00804A19"/>
    <w:rsid w:val="00804F5A"/>
    <w:rsid w:val="00804FD3"/>
    <w:rsid w:val="008053CE"/>
    <w:rsid w:val="008054D2"/>
    <w:rsid w:val="00805FE2"/>
    <w:rsid w:val="008066B7"/>
    <w:rsid w:val="00806C00"/>
    <w:rsid w:val="008075E7"/>
    <w:rsid w:val="00807B5D"/>
    <w:rsid w:val="00810EB2"/>
    <w:rsid w:val="00811020"/>
    <w:rsid w:val="00811303"/>
    <w:rsid w:val="008132D8"/>
    <w:rsid w:val="008132EF"/>
    <w:rsid w:val="0081367E"/>
    <w:rsid w:val="0081392A"/>
    <w:rsid w:val="0081440B"/>
    <w:rsid w:val="00815690"/>
    <w:rsid w:val="00816161"/>
    <w:rsid w:val="008168E2"/>
    <w:rsid w:val="0081746A"/>
    <w:rsid w:val="00817AD5"/>
    <w:rsid w:val="00820534"/>
    <w:rsid w:val="00820688"/>
    <w:rsid w:val="00820B67"/>
    <w:rsid w:val="00821552"/>
    <w:rsid w:val="0082184D"/>
    <w:rsid w:val="0082214E"/>
    <w:rsid w:val="008221F5"/>
    <w:rsid w:val="00822D7D"/>
    <w:rsid w:val="008233ED"/>
    <w:rsid w:val="0082384F"/>
    <w:rsid w:val="00824674"/>
    <w:rsid w:val="008255BB"/>
    <w:rsid w:val="00825D0B"/>
    <w:rsid w:val="0082665B"/>
    <w:rsid w:val="00826752"/>
    <w:rsid w:val="00827188"/>
    <w:rsid w:val="00827742"/>
    <w:rsid w:val="008279D5"/>
    <w:rsid w:val="00831284"/>
    <w:rsid w:val="00831C8B"/>
    <w:rsid w:val="00831DAA"/>
    <w:rsid w:val="00831E32"/>
    <w:rsid w:val="0083228C"/>
    <w:rsid w:val="008336C7"/>
    <w:rsid w:val="00833E47"/>
    <w:rsid w:val="0083463A"/>
    <w:rsid w:val="00835A14"/>
    <w:rsid w:val="00836663"/>
    <w:rsid w:val="00836DA2"/>
    <w:rsid w:val="00837208"/>
    <w:rsid w:val="0084067C"/>
    <w:rsid w:val="00840EEE"/>
    <w:rsid w:val="0084198C"/>
    <w:rsid w:val="00841B50"/>
    <w:rsid w:val="00841C4A"/>
    <w:rsid w:val="00841C67"/>
    <w:rsid w:val="00842CB3"/>
    <w:rsid w:val="0084326C"/>
    <w:rsid w:val="00843D09"/>
    <w:rsid w:val="00844653"/>
    <w:rsid w:val="008446EE"/>
    <w:rsid w:val="00844C75"/>
    <w:rsid w:val="00844E06"/>
    <w:rsid w:val="00846250"/>
    <w:rsid w:val="00846717"/>
    <w:rsid w:val="00847748"/>
    <w:rsid w:val="008500DC"/>
    <w:rsid w:val="0085035D"/>
    <w:rsid w:val="0085099B"/>
    <w:rsid w:val="00850DA6"/>
    <w:rsid w:val="0085164C"/>
    <w:rsid w:val="008519CD"/>
    <w:rsid w:val="008519DA"/>
    <w:rsid w:val="008519E1"/>
    <w:rsid w:val="00851F51"/>
    <w:rsid w:val="00852CAE"/>
    <w:rsid w:val="00852D0D"/>
    <w:rsid w:val="00852D5F"/>
    <w:rsid w:val="008538B3"/>
    <w:rsid w:val="00853D7D"/>
    <w:rsid w:val="00854135"/>
    <w:rsid w:val="0085498F"/>
    <w:rsid w:val="008556B2"/>
    <w:rsid w:val="00856C14"/>
    <w:rsid w:val="0085711D"/>
    <w:rsid w:val="0085715A"/>
    <w:rsid w:val="00860B2B"/>
    <w:rsid w:val="008613E4"/>
    <w:rsid w:val="00861ABA"/>
    <w:rsid w:val="00861B49"/>
    <w:rsid w:val="008620A1"/>
    <w:rsid w:val="00863950"/>
    <w:rsid w:val="00864363"/>
    <w:rsid w:val="00864FCC"/>
    <w:rsid w:val="0086531F"/>
    <w:rsid w:val="00865673"/>
    <w:rsid w:val="00865999"/>
    <w:rsid w:val="00865A12"/>
    <w:rsid w:val="00865BBA"/>
    <w:rsid w:val="008660AF"/>
    <w:rsid w:val="00866573"/>
    <w:rsid w:val="00866C24"/>
    <w:rsid w:val="00866D50"/>
    <w:rsid w:val="00866ED4"/>
    <w:rsid w:val="0087012E"/>
    <w:rsid w:val="008704EC"/>
    <w:rsid w:val="008707F3"/>
    <w:rsid w:val="008715BD"/>
    <w:rsid w:val="00872275"/>
    <w:rsid w:val="00872CB8"/>
    <w:rsid w:val="00873184"/>
    <w:rsid w:val="008737AF"/>
    <w:rsid w:val="0087403C"/>
    <w:rsid w:val="00874048"/>
    <w:rsid w:val="0087467D"/>
    <w:rsid w:val="0087471F"/>
    <w:rsid w:val="00874AAA"/>
    <w:rsid w:val="00875328"/>
    <w:rsid w:val="00876362"/>
    <w:rsid w:val="00876591"/>
    <w:rsid w:val="008769AC"/>
    <w:rsid w:val="008769D6"/>
    <w:rsid w:val="00876F12"/>
    <w:rsid w:val="008805B4"/>
    <w:rsid w:val="00880885"/>
    <w:rsid w:val="00880C88"/>
    <w:rsid w:val="00880E6C"/>
    <w:rsid w:val="00881058"/>
    <w:rsid w:val="008812C0"/>
    <w:rsid w:val="00881554"/>
    <w:rsid w:val="008816C3"/>
    <w:rsid w:val="00881741"/>
    <w:rsid w:val="00882EFF"/>
    <w:rsid w:val="00882F29"/>
    <w:rsid w:val="00883430"/>
    <w:rsid w:val="0088396A"/>
    <w:rsid w:val="00883E69"/>
    <w:rsid w:val="00884730"/>
    <w:rsid w:val="0088473D"/>
    <w:rsid w:val="008847A5"/>
    <w:rsid w:val="00884A95"/>
    <w:rsid w:val="00884DAC"/>
    <w:rsid w:val="00884FD2"/>
    <w:rsid w:val="00885589"/>
    <w:rsid w:val="00885FE9"/>
    <w:rsid w:val="00886CAA"/>
    <w:rsid w:val="00887360"/>
    <w:rsid w:val="008900CF"/>
    <w:rsid w:val="00890189"/>
    <w:rsid w:val="00890C2A"/>
    <w:rsid w:val="00890ED2"/>
    <w:rsid w:val="0089258F"/>
    <w:rsid w:val="00892E2F"/>
    <w:rsid w:val="00893C8C"/>
    <w:rsid w:val="00894944"/>
    <w:rsid w:val="00894C9C"/>
    <w:rsid w:val="0089502A"/>
    <w:rsid w:val="008951BE"/>
    <w:rsid w:val="00895722"/>
    <w:rsid w:val="00895E34"/>
    <w:rsid w:val="00895FAD"/>
    <w:rsid w:val="008966A3"/>
    <w:rsid w:val="00897547"/>
    <w:rsid w:val="00897B01"/>
    <w:rsid w:val="00897FFD"/>
    <w:rsid w:val="008A02F6"/>
    <w:rsid w:val="008A0755"/>
    <w:rsid w:val="008A0B91"/>
    <w:rsid w:val="008A0EA2"/>
    <w:rsid w:val="008A105A"/>
    <w:rsid w:val="008A1725"/>
    <w:rsid w:val="008A2231"/>
    <w:rsid w:val="008A293E"/>
    <w:rsid w:val="008A2CC5"/>
    <w:rsid w:val="008A3448"/>
    <w:rsid w:val="008A3D49"/>
    <w:rsid w:val="008A46B9"/>
    <w:rsid w:val="008A5043"/>
    <w:rsid w:val="008A5356"/>
    <w:rsid w:val="008A63C0"/>
    <w:rsid w:val="008A6B6D"/>
    <w:rsid w:val="008A71CC"/>
    <w:rsid w:val="008B1101"/>
    <w:rsid w:val="008B1428"/>
    <w:rsid w:val="008B150F"/>
    <w:rsid w:val="008B1734"/>
    <w:rsid w:val="008B1FB6"/>
    <w:rsid w:val="008B2D0C"/>
    <w:rsid w:val="008B2E6D"/>
    <w:rsid w:val="008B3332"/>
    <w:rsid w:val="008B39D1"/>
    <w:rsid w:val="008B43D4"/>
    <w:rsid w:val="008B44C5"/>
    <w:rsid w:val="008B479F"/>
    <w:rsid w:val="008B4A24"/>
    <w:rsid w:val="008B4D5F"/>
    <w:rsid w:val="008B58BD"/>
    <w:rsid w:val="008B638B"/>
    <w:rsid w:val="008B66A3"/>
    <w:rsid w:val="008B7054"/>
    <w:rsid w:val="008B7154"/>
    <w:rsid w:val="008B7850"/>
    <w:rsid w:val="008C03BD"/>
    <w:rsid w:val="008C05A2"/>
    <w:rsid w:val="008C077E"/>
    <w:rsid w:val="008C0B14"/>
    <w:rsid w:val="008C0D6F"/>
    <w:rsid w:val="008C0EA1"/>
    <w:rsid w:val="008C2177"/>
    <w:rsid w:val="008C265C"/>
    <w:rsid w:val="008C2B30"/>
    <w:rsid w:val="008C2C52"/>
    <w:rsid w:val="008C2C79"/>
    <w:rsid w:val="008C2CD9"/>
    <w:rsid w:val="008C504E"/>
    <w:rsid w:val="008C566E"/>
    <w:rsid w:val="008C5F4E"/>
    <w:rsid w:val="008C6161"/>
    <w:rsid w:val="008C675B"/>
    <w:rsid w:val="008C75C8"/>
    <w:rsid w:val="008C7B46"/>
    <w:rsid w:val="008D00C8"/>
    <w:rsid w:val="008D0269"/>
    <w:rsid w:val="008D0810"/>
    <w:rsid w:val="008D0BAE"/>
    <w:rsid w:val="008D1728"/>
    <w:rsid w:val="008D210E"/>
    <w:rsid w:val="008D248E"/>
    <w:rsid w:val="008D2B8E"/>
    <w:rsid w:val="008D328A"/>
    <w:rsid w:val="008D4342"/>
    <w:rsid w:val="008D4479"/>
    <w:rsid w:val="008D4808"/>
    <w:rsid w:val="008D498C"/>
    <w:rsid w:val="008D53B8"/>
    <w:rsid w:val="008D6085"/>
    <w:rsid w:val="008D6B39"/>
    <w:rsid w:val="008D6ECB"/>
    <w:rsid w:val="008E1A1C"/>
    <w:rsid w:val="008E1F9B"/>
    <w:rsid w:val="008E226B"/>
    <w:rsid w:val="008E2892"/>
    <w:rsid w:val="008E38B8"/>
    <w:rsid w:val="008E3AFD"/>
    <w:rsid w:val="008E3DCC"/>
    <w:rsid w:val="008E47FB"/>
    <w:rsid w:val="008E511B"/>
    <w:rsid w:val="008E5F02"/>
    <w:rsid w:val="008F07AA"/>
    <w:rsid w:val="008F1B32"/>
    <w:rsid w:val="008F2134"/>
    <w:rsid w:val="008F2245"/>
    <w:rsid w:val="008F3088"/>
    <w:rsid w:val="008F370A"/>
    <w:rsid w:val="008F3AA8"/>
    <w:rsid w:val="008F3F2E"/>
    <w:rsid w:val="008F4DA2"/>
    <w:rsid w:val="008F6D1B"/>
    <w:rsid w:val="008F74AE"/>
    <w:rsid w:val="008F75B8"/>
    <w:rsid w:val="008F7A47"/>
    <w:rsid w:val="009000F1"/>
    <w:rsid w:val="00900E0B"/>
    <w:rsid w:val="00901AF9"/>
    <w:rsid w:val="00901DBA"/>
    <w:rsid w:val="009025F6"/>
    <w:rsid w:val="00902B32"/>
    <w:rsid w:val="00902BC4"/>
    <w:rsid w:val="00903062"/>
    <w:rsid w:val="0090326E"/>
    <w:rsid w:val="0090400A"/>
    <w:rsid w:val="0090415F"/>
    <w:rsid w:val="009044FD"/>
    <w:rsid w:val="00904AB0"/>
    <w:rsid w:val="00905ADD"/>
    <w:rsid w:val="009064CA"/>
    <w:rsid w:val="009070F5"/>
    <w:rsid w:val="00907F71"/>
    <w:rsid w:val="00910206"/>
    <w:rsid w:val="00910640"/>
    <w:rsid w:val="00911299"/>
    <w:rsid w:val="009114F8"/>
    <w:rsid w:val="00911B79"/>
    <w:rsid w:val="0091436D"/>
    <w:rsid w:val="0091455C"/>
    <w:rsid w:val="00914928"/>
    <w:rsid w:val="00914AAF"/>
    <w:rsid w:val="00920FA9"/>
    <w:rsid w:val="0092107E"/>
    <w:rsid w:val="00921C53"/>
    <w:rsid w:val="00921FA3"/>
    <w:rsid w:val="00922C41"/>
    <w:rsid w:val="00922C78"/>
    <w:rsid w:val="00922EFE"/>
    <w:rsid w:val="00922FB5"/>
    <w:rsid w:val="00923023"/>
    <w:rsid w:val="009237E9"/>
    <w:rsid w:val="0092380F"/>
    <w:rsid w:val="00923EBD"/>
    <w:rsid w:val="0092437D"/>
    <w:rsid w:val="00925090"/>
    <w:rsid w:val="009254A7"/>
    <w:rsid w:val="00925E89"/>
    <w:rsid w:val="00925F23"/>
    <w:rsid w:val="0092610D"/>
    <w:rsid w:val="009267BC"/>
    <w:rsid w:val="0092715B"/>
    <w:rsid w:val="0092799E"/>
    <w:rsid w:val="00927A66"/>
    <w:rsid w:val="00930464"/>
    <w:rsid w:val="009305D4"/>
    <w:rsid w:val="00930699"/>
    <w:rsid w:val="00930711"/>
    <w:rsid w:val="00930FE9"/>
    <w:rsid w:val="00931BFF"/>
    <w:rsid w:val="00932766"/>
    <w:rsid w:val="00932D4F"/>
    <w:rsid w:val="009340C9"/>
    <w:rsid w:val="00935687"/>
    <w:rsid w:val="00935CEA"/>
    <w:rsid w:val="00936106"/>
    <w:rsid w:val="0093620C"/>
    <w:rsid w:val="00936259"/>
    <w:rsid w:val="00937B43"/>
    <w:rsid w:val="00940835"/>
    <w:rsid w:val="00940EFA"/>
    <w:rsid w:val="009414C8"/>
    <w:rsid w:val="00942B02"/>
    <w:rsid w:val="00942C94"/>
    <w:rsid w:val="00942CB8"/>
    <w:rsid w:val="009433A8"/>
    <w:rsid w:val="00943792"/>
    <w:rsid w:val="00943E9A"/>
    <w:rsid w:val="0094415E"/>
    <w:rsid w:val="00944902"/>
    <w:rsid w:val="00945C8F"/>
    <w:rsid w:val="00945E61"/>
    <w:rsid w:val="00946A48"/>
    <w:rsid w:val="00947408"/>
    <w:rsid w:val="00947547"/>
    <w:rsid w:val="00947696"/>
    <w:rsid w:val="00951149"/>
    <w:rsid w:val="00951457"/>
    <w:rsid w:val="00952039"/>
    <w:rsid w:val="00952145"/>
    <w:rsid w:val="009525B9"/>
    <w:rsid w:val="009528DC"/>
    <w:rsid w:val="009533B6"/>
    <w:rsid w:val="00953E6F"/>
    <w:rsid w:val="00954154"/>
    <w:rsid w:val="009541B9"/>
    <w:rsid w:val="00954F0D"/>
    <w:rsid w:val="00956609"/>
    <w:rsid w:val="00956E5C"/>
    <w:rsid w:val="009577B7"/>
    <w:rsid w:val="00957844"/>
    <w:rsid w:val="00957BD8"/>
    <w:rsid w:val="00957F2C"/>
    <w:rsid w:val="009603AB"/>
    <w:rsid w:val="00960501"/>
    <w:rsid w:val="00961036"/>
    <w:rsid w:val="00961688"/>
    <w:rsid w:val="00961B35"/>
    <w:rsid w:val="0096206A"/>
    <w:rsid w:val="009620C4"/>
    <w:rsid w:val="009622F8"/>
    <w:rsid w:val="009628BC"/>
    <w:rsid w:val="00964323"/>
    <w:rsid w:val="0096498B"/>
    <w:rsid w:val="00964FA3"/>
    <w:rsid w:val="009651C5"/>
    <w:rsid w:val="00965532"/>
    <w:rsid w:val="00967C4B"/>
    <w:rsid w:val="00967E0B"/>
    <w:rsid w:val="00970656"/>
    <w:rsid w:val="00970B6A"/>
    <w:rsid w:val="009710E8"/>
    <w:rsid w:val="0097170F"/>
    <w:rsid w:val="0097172B"/>
    <w:rsid w:val="00971E9E"/>
    <w:rsid w:val="0097234F"/>
    <w:rsid w:val="00972567"/>
    <w:rsid w:val="00973044"/>
    <w:rsid w:val="00973A29"/>
    <w:rsid w:val="00973AC3"/>
    <w:rsid w:val="009741A2"/>
    <w:rsid w:val="00974623"/>
    <w:rsid w:val="00974E6B"/>
    <w:rsid w:val="00975321"/>
    <w:rsid w:val="009758FA"/>
    <w:rsid w:val="009761F6"/>
    <w:rsid w:val="009766EB"/>
    <w:rsid w:val="009775E8"/>
    <w:rsid w:val="00980050"/>
    <w:rsid w:val="0098058D"/>
    <w:rsid w:val="009824FF"/>
    <w:rsid w:val="00982A80"/>
    <w:rsid w:val="00982D5B"/>
    <w:rsid w:val="009844AD"/>
    <w:rsid w:val="00984C25"/>
    <w:rsid w:val="00985157"/>
    <w:rsid w:val="00985471"/>
    <w:rsid w:val="009854EE"/>
    <w:rsid w:val="00986298"/>
    <w:rsid w:val="0098680C"/>
    <w:rsid w:val="00986886"/>
    <w:rsid w:val="00986A06"/>
    <w:rsid w:val="00986F3C"/>
    <w:rsid w:val="00987E90"/>
    <w:rsid w:val="00990331"/>
    <w:rsid w:val="0099036B"/>
    <w:rsid w:val="00990979"/>
    <w:rsid w:val="0099150A"/>
    <w:rsid w:val="00991E81"/>
    <w:rsid w:val="009925CC"/>
    <w:rsid w:val="0099308D"/>
    <w:rsid w:val="009934AD"/>
    <w:rsid w:val="00993655"/>
    <w:rsid w:val="0099375D"/>
    <w:rsid w:val="00994F5B"/>
    <w:rsid w:val="00995646"/>
    <w:rsid w:val="00996122"/>
    <w:rsid w:val="0099617A"/>
    <w:rsid w:val="00996228"/>
    <w:rsid w:val="00996830"/>
    <w:rsid w:val="0099688A"/>
    <w:rsid w:val="00996971"/>
    <w:rsid w:val="00997920"/>
    <w:rsid w:val="009A0AE2"/>
    <w:rsid w:val="009A0D7F"/>
    <w:rsid w:val="009A0E3C"/>
    <w:rsid w:val="009A1CA0"/>
    <w:rsid w:val="009A209E"/>
    <w:rsid w:val="009A20F4"/>
    <w:rsid w:val="009A3395"/>
    <w:rsid w:val="009A45C5"/>
    <w:rsid w:val="009A4D7A"/>
    <w:rsid w:val="009A5139"/>
    <w:rsid w:val="009A6351"/>
    <w:rsid w:val="009A6EB4"/>
    <w:rsid w:val="009A7656"/>
    <w:rsid w:val="009B0117"/>
    <w:rsid w:val="009B1263"/>
    <w:rsid w:val="009B18C9"/>
    <w:rsid w:val="009B20BF"/>
    <w:rsid w:val="009B2353"/>
    <w:rsid w:val="009B2380"/>
    <w:rsid w:val="009B3737"/>
    <w:rsid w:val="009B4256"/>
    <w:rsid w:val="009B4B3C"/>
    <w:rsid w:val="009B4C90"/>
    <w:rsid w:val="009B52EF"/>
    <w:rsid w:val="009B5CB9"/>
    <w:rsid w:val="009B5EBE"/>
    <w:rsid w:val="009B69B5"/>
    <w:rsid w:val="009C029E"/>
    <w:rsid w:val="009C0745"/>
    <w:rsid w:val="009C1AF3"/>
    <w:rsid w:val="009C1BE8"/>
    <w:rsid w:val="009C2050"/>
    <w:rsid w:val="009C2124"/>
    <w:rsid w:val="009C273D"/>
    <w:rsid w:val="009C322D"/>
    <w:rsid w:val="009C3938"/>
    <w:rsid w:val="009C3C81"/>
    <w:rsid w:val="009C3DB0"/>
    <w:rsid w:val="009C486B"/>
    <w:rsid w:val="009C4B7A"/>
    <w:rsid w:val="009C5A41"/>
    <w:rsid w:val="009C7D57"/>
    <w:rsid w:val="009D02EF"/>
    <w:rsid w:val="009D0B5D"/>
    <w:rsid w:val="009D1632"/>
    <w:rsid w:val="009D1830"/>
    <w:rsid w:val="009D2BB9"/>
    <w:rsid w:val="009D2BF3"/>
    <w:rsid w:val="009D353C"/>
    <w:rsid w:val="009D3826"/>
    <w:rsid w:val="009D3B80"/>
    <w:rsid w:val="009D3DDA"/>
    <w:rsid w:val="009D49A2"/>
    <w:rsid w:val="009D4AFB"/>
    <w:rsid w:val="009D4F7F"/>
    <w:rsid w:val="009D5CB2"/>
    <w:rsid w:val="009D69BC"/>
    <w:rsid w:val="009D7454"/>
    <w:rsid w:val="009D7503"/>
    <w:rsid w:val="009D7C05"/>
    <w:rsid w:val="009D7F46"/>
    <w:rsid w:val="009E0A16"/>
    <w:rsid w:val="009E0B82"/>
    <w:rsid w:val="009E0F63"/>
    <w:rsid w:val="009E2E86"/>
    <w:rsid w:val="009E39BB"/>
    <w:rsid w:val="009E39FB"/>
    <w:rsid w:val="009E3A83"/>
    <w:rsid w:val="009E496C"/>
    <w:rsid w:val="009E59D5"/>
    <w:rsid w:val="009E5B70"/>
    <w:rsid w:val="009E602F"/>
    <w:rsid w:val="009E6140"/>
    <w:rsid w:val="009E69C6"/>
    <w:rsid w:val="009E7BD4"/>
    <w:rsid w:val="009F0B75"/>
    <w:rsid w:val="009F0E22"/>
    <w:rsid w:val="009F0EBE"/>
    <w:rsid w:val="009F100E"/>
    <w:rsid w:val="009F1683"/>
    <w:rsid w:val="009F2DC4"/>
    <w:rsid w:val="009F2EE4"/>
    <w:rsid w:val="009F3C5D"/>
    <w:rsid w:val="009F3D31"/>
    <w:rsid w:val="009F473D"/>
    <w:rsid w:val="009F4745"/>
    <w:rsid w:val="009F514C"/>
    <w:rsid w:val="009F5A63"/>
    <w:rsid w:val="009F5EBF"/>
    <w:rsid w:val="009F63F0"/>
    <w:rsid w:val="009F68B8"/>
    <w:rsid w:val="009F718E"/>
    <w:rsid w:val="009F79BD"/>
    <w:rsid w:val="00A02559"/>
    <w:rsid w:val="00A02B3B"/>
    <w:rsid w:val="00A02D69"/>
    <w:rsid w:val="00A02E9F"/>
    <w:rsid w:val="00A02FB9"/>
    <w:rsid w:val="00A04834"/>
    <w:rsid w:val="00A049D0"/>
    <w:rsid w:val="00A05682"/>
    <w:rsid w:val="00A05ACA"/>
    <w:rsid w:val="00A06081"/>
    <w:rsid w:val="00A07032"/>
    <w:rsid w:val="00A07F0B"/>
    <w:rsid w:val="00A10065"/>
    <w:rsid w:val="00A10D05"/>
    <w:rsid w:val="00A1139A"/>
    <w:rsid w:val="00A11821"/>
    <w:rsid w:val="00A140DE"/>
    <w:rsid w:val="00A1512D"/>
    <w:rsid w:val="00A152BB"/>
    <w:rsid w:val="00A16368"/>
    <w:rsid w:val="00A169A9"/>
    <w:rsid w:val="00A178AE"/>
    <w:rsid w:val="00A202D2"/>
    <w:rsid w:val="00A20D48"/>
    <w:rsid w:val="00A21940"/>
    <w:rsid w:val="00A22823"/>
    <w:rsid w:val="00A22F0F"/>
    <w:rsid w:val="00A24CDC"/>
    <w:rsid w:val="00A2577F"/>
    <w:rsid w:val="00A258A5"/>
    <w:rsid w:val="00A25A88"/>
    <w:rsid w:val="00A25C12"/>
    <w:rsid w:val="00A25C64"/>
    <w:rsid w:val="00A25F82"/>
    <w:rsid w:val="00A26C7C"/>
    <w:rsid w:val="00A26FBF"/>
    <w:rsid w:val="00A27354"/>
    <w:rsid w:val="00A27D63"/>
    <w:rsid w:val="00A300A4"/>
    <w:rsid w:val="00A306A6"/>
    <w:rsid w:val="00A30D33"/>
    <w:rsid w:val="00A339A2"/>
    <w:rsid w:val="00A33A0C"/>
    <w:rsid w:val="00A33DE3"/>
    <w:rsid w:val="00A34A91"/>
    <w:rsid w:val="00A359D3"/>
    <w:rsid w:val="00A35D05"/>
    <w:rsid w:val="00A364F2"/>
    <w:rsid w:val="00A3672C"/>
    <w:rsid w:val="00A369AA"/>
    <w:rsid w:val="00A403DE"/>
    <w:rsid w:val="00A40C72"/>
    <w:rsid w:val="00A421F2"/>
    <w:rsid w:val="00A42467"/>
    <w:rsid w:val="00A42A96"/>
    <w:rsid w:val="00A43262"/>
    <w:rsid w:val="00A436AB"/>
    <w:rsid w:val="00A44883"/>
    <w:rsid w:val="00A4510B"/>
    <w:rsid w:val="00A462F4"/>
    <w:rsid w:val="00A4677F"/>
    <w:rsid w:val="00A47153"/>
    <w:rsid w:val="00A47498"/>
    <w:rsid w:val="00A50F94"/>
    <w:rsid w:val="00A5151F"/>
    <w:rsid w:val="00A518DF"/>
    <w:rsid w:val="00A51F58"/>
    <w:rsid w:val="00A530BB"/>
    <w:rsid w:val="00A533BD"/>
    <w:rsid w:val="00A5366A"/>
    <w:rsid w:val="00A55206"/>
    <w:rsid w:val="00A554BD"/>
    <w:rsid w:val="00A55CED"/>
    <w:rsid w:val="00A563DA"/>
    <w:rsid w:val="00A5653C"/>
    <w:rsid w:val="00A568D2"/>
    <w:rsid w:val="00A5695B"/>
    <w:rsid w:val="00A56D87"/>
    <w:rsid w:val="00A57CDB"/>
    <w:rsid w:val="00A613BC"/>
    <w:rsid w:val="00A617C9"/>
    <w:rsid w:val="00A61EAF"/>
    <w:rsid w:val="00A62461"/>
    <w:rsid w:val="00A6331B"/>
    <w:rsid w:val="00A63E67"/>
    <w:rsid w:val="00A64538"/>
    <w:rsid w:val="00A656ED"/>
    <w:rsid w:val="00A65FB5"/>
    <w:rsid w:val="00A66902"/>
    <w:rsid w:val="00A66930"/>
    <w:rsid w:val="00A6696C"/>
    <w:rsid w:val="00A67709"/>
    <w:rsid w:val="00A67B57"/>
    <w:rsid w:val="00A70105"/>
    <w:rsid w:val="00A70BEB"/>
    <w:rsid w:val="00A70D1C"/>
    <w:rsid w:val="00A71F11"/>
    <w:rsid w:val="00A720F0"/>
    <w:rsid w:val="00A7217E"/>
    <w:rsid w:val="00A7270A"/>
    <w:rsid w:val="00A728BB"/>
    <w:rsid w:val="00A72EBE"/>
    <w:rsid w:val="00A737EA"/>
    <w:rsid w:val="00A74966"/>
    <w:rsid w:val="00A7548F"/>
    <w:rsid w:val="00A756FB"/>
    <w:rsid w:val="00A75CC0"/>
    <w:rsid w:val="00A75E5D"/>
    <w:rsid w:val="00A77097"/>
    <w:rsid w:val="00A770DE"/>
    <w:rsid w:val="00A7746A"/>
    <w:rsid w:val="00A7757B"/>
    <w:rsid w:val="00A77A2F"/>
    <w:rsid w:val="00A80108"/>
    <w:rsid w:val="00A8020F"/>
    <w:rsid w:val="00A8076D"/>
    <w:rsid w:val="00A80A21"/>
    <w:rsid w:val="00A80BE7"/>
    <w:rsid w:val="00A82CF1"/>
    <w:rsid w:val="00A8369A"/>
    <w:rsid w:val="00A83ED7"/>
    <w:rsid w:val="00A84869"/>
    <w:rsid w:val="00A8576D"/>
    <w:rsid w:val="00A85A67"/>
    <w:rsid w:val="00A878E8"/>
    <w:rsid w:val="00A90468"/>
    <w:rsid w:val="00A9151C"/>
    <w:rsid w:val="00A91AC7"/>
    <w:rsid w:val="00A91B54"/>
    <w:rsid w:val="00A92BF2"/>
    <w:rsid w:val="00A92C8E"/>
    <w:rsid w:val="00A93045"/>
    <w:rsid w:val="00A935C0"/>
    <w:rsid w:val="00A937B0"/>
    <w:rsid w:val="00A93E80"/>
    <w:rsid w:val="00A94117"/>
    <w:rsid w:val="00A94713"/>
    <w:rsid w:val="00A951E3"/>
    <w:rsid w:val="00A956AE"/>
    <w:rsid w:val="00A96739"/>
    <w:rsid w:val="00A96B8E"/>
    <w:rsid w:val="00A97604"/>
    <w:rsid w:val="00A97622"/>
    <w:rsid w:val="00AA1768"/>
    <w:rsid w:val="00AA22CB"/>
    <w:rsid w:val="00AA2527"/>
    <w:rsid w:val="00AA253A"/>
    <w:rsid w:val="00AA2623"/>
    <w:rsid w:val="00AA2B0B"/>
    <w:rsid w:val="00AA3106"/>
    <w:rsid w:val="00AA3933"/>
    <w:rsid w:val="00AA3A1A"/>
    <w:rsid w:val="00AA42DB"/>
    <w:rsid w:val="00AA49E6"/>
    <w:rsid w:val="00AA59A9"/>
    <w:rsid w:val="00AA5C44"/>
    <w:rsid w:val="00AA5EFB"/>
    <w:rsid w:val="00AA6135"/>
    <w:rsid w:val="00AA6184"/>
    <w:rsid w:val="00AA646B"/>
    <w:rsid w:val="00AA68B1"/>
    <w:rsid w:val="00AA6F69"/>
    <w:rsid w:val="00AA7063"/>
    <w:rsid w:val="00AA789A"/>
    <w:rsid w:val="00AA7A69"/>
    <w:rsid w:val="00AB038C"/>
    <w:rsid w:val="00AB03BA"/>
    <w:rsid w:val="00AB0A9F"/>
    <w:rsid w:val="00AB0AE8"/>
    <w:rsid w:val="00AB12AE"/>
    <w:rsid w:val="00AB1340"/>
    <w:rsid w:val="00AB13C3"/>
    <w:rsid w:val="00AB194A"/>
    <w:rsid w:val="00AB2598"/>
    <w:rsid w:val="00AB3A4D"/>
    <w:rsid w:val="00AB429F"/>
    <w:rsid w:val="00AB4F43"/>
    <w:rsid w:val="00AB50E7"/>
    <w:rsid w:val="00AB5679"/>
    <w:rsid w:val="00AB56BB"/>
    <w:rsid w:val="00AB69C1"/>
    <w:rsid w:val="00AB747A"/>
    <w:rsid w:val="00AB78DD"/>
    <w:rsid w:val="00AB793A"/>
    <w:rsid w:val="00AC002C"/>
    <w:rsid w:val="00AC0518"/>
    <w:rsid w:val="00AC1B87"/>
    <w:rsid w:val="00AC23DA"/>
    <w:rsid w:val="00AC3065"/>
    <w:rsid w:val="00AC3424"/>
    <w:rsid w:val="00AC34D6"/>
    <w:rsid w:val="00AC5453"/>
    <w:rsid w:val="00AC5F09"/>
    <w:rsid w:val="00AC688C"/>
    <w:rsid w:val="00AC6C6F"/>
    <w:rsid w:val="00AC6CB5"/>
    <w:rsid w:val="00AC73FA"/>
    <w:rsid w:val="00AD1A0B"/>
    <w:rsid w:val="00AD23AC"/>
    <w:rsid w:val="00AD2FAB"/>
    <w:rsid w:val="00AD3F5B"/>
    <w:rsid w:val="00AD4745"/>
    <w:rsid w:val="00AD5055"/>
    <w:rsid w:val="00AD52F2"/>
    <w:rsid w:val="00AD54AE"/>
    <w:rsid w:val="00AD5DF1"/>
    <w:rsid w:val="00AD65E8"/>
    <w:rsid w:val="00AD6A9D"/>
    <w:rsid w:val="00AD71E9"/>
    <w:rsid w:val="00AD7735"/>
    <w:rsid w:val="00AD7A91"/>
    <w:rsid w:val="00AE0598"/>
    <w:rsid w:val="00AE2E92"/>
    <w:rsid w:val="00AE30A0"/>
    <w:rsid w:val="00AE31E1"/>
    <w:rsid w:val="00AE3566"/>
    <w:rsid w:val="00AE3CF2"/>
    <w:rsid w:val="00AE4422"/>
    <w:rsid w:val="00AE4B51"/>
    <w:rsid w:val="00AE4C63"/>
    <w:rsid w:val="00AE4D98"/>
    <w:rsid w:val="00AE52AE"/>
    <w:rsid w:val="00AE54D4"/>
    <w:rsid w:val="00AE5568"/>
    <w:rsid w:val="00AE609D"/>
    <w:rsid w:val="00AE644A"/>
    <w:rsid w:val="00AE6A14"/>
    <w:rsid w:val="00AE6E4A"/>
    <w:rsid w:val="00AE73E4"/>
    <w:rsid w:val="00AE7EE1"/>
    <w:rsid w:val="00AF00BB"/>
    <w:rsid w:val="00AF0899"/>
    <w:rsid w:val="00AF0EB7"/>
    <w:rsid w:val="00AF14F1"/>
    <w:rsid w:val="00AF22FC"/>
    <w:rsid w:val="00AF2616"/>
    <w:rsid w:val="00AF273B"/>
    <w:rsid w:val="00AF3652"/>
    <w:rsid w:val="00AF46EA"/>
    <w:rsid w:val="00AF4CEE"/>
    <w:rsid w:val="00AF5EB5"/>
    <w:rsid w:val="00AF612D"/>
    <w:rsid w:val="00AF68BB"/>
    <w:rsid w:val="00AF6EF3"/>
    <w:rsid w:val="00AF7E4F"/>
    <w:rsid w:val="00B000CB"/>
    <w:rsid w:val="00B00617"/>
    <w:rsid w:val="00B00749"/>
    <w:rsid w:val="00B00F2B"/>
    <w:rsid w:val="00B00FB6"/>
    <w:rsid w:val="00B0168B"/>
    <w:rsid w:val="00B01CEB"/>
    <w:rsid w:val="00B020A7"/>
    <w:rsid w:val="00B020B9"/>
    <w:rsid w:val="00B037E0"/>
    <w:rsid w:val="00B03816"/>
    <w:rsid w:val="00B03AB0"/>
    <w:rsid w:val="00B061C4"/>
    <w:rsid w:val="00B06835"/>
    <w:rsid w:val="00B06C36"/>
    <w:rsid w:val="00B06D02"/>
    <w:rsid w:val="00B10289"/>
    <w:rsid w:val="00B10B3F"/>
    <w:rsid w:val="00B10F2A"/>
    <w:rsid w:val="00B11855"/>
    <w:rsid w:val="00B11A61"/>
    <w:rsid w:val="00B11CAD"/>
    <w:rsid w:val="00B11FBA"/>
    <w:rsid w:val="00B123F4"/>
    <w:rsid w:val="00B1254E"/>
    <w:rsid w:val="00B12590"/>
    <w:rsid w:val="00B127B4"/>
    <w:rsid w:val="00B128EF"/>
    <w:rsid w:val="00B12D71"/>
    <w:rsid w:val="00B1323C"/>
    <w:rsid w:val="00B134B4"/>
    <w:rsid w:val="00B15509"/>
    <w:rsid w:val="00B15E76"/>
    <w:rsid w:val="00B16A28"/>
    <w:rsid w:val="00B16CAA"/>
    <w:rsid w:val="00B17427"/>
    <w:rsid w:val="00B20166"/>
    <w:rsid w:val="00B20193"/>
    <w:rsid w:val="00B20643"/>
    <w:rsid w:val="00B20A0B"/>
    <w:rsid w:val="00B22761"/>
    <w:rsid w:val="00B239C6"/>
    <w:rsid w:val="00B23AEE"/>
    <w:rsid w:val="00B23C1A"/>
    <w:rsid w:val="00B23C6E"/>
    <w:rsid w:val="00B244D8"/>
    <w:rsid w:val="00B2516A"/>
    <w:rsid w:val="00B25518"/>
    <w:rsid w:val="00B255D6"/>
    <w:rsid w:val="00B3095E"/>
    <w:rsid w:val="00B30BB7"/>
    <w:rsid w:val="00B3102D"/>
    <w:rsid w:val="00B317AB"/>
    <w:rsid w:val="00B33855"/>
    <w:rsid w:val="00B33886"/>
    <w:rsid w:val="00B33D20"/>
    <w:rsid w:val="00B3434C"/>
    <w:rsid w:val="00B3488B"/>
    <w:rsid w:val="00B34C63"/>
    <w:rsid w:val="00B34E8E"/>
    <w:rsid w:val="00B351AF"/>
    <w:rsid w:val="00B3559D"/>
    <w:rsid w:val="00B35836"/>
    <w:rsid w:val="00B35E21"/>
    <w:rsid w:val="00B37EF4"/>
    <w:rsid w:val="00B40556"/>
    <w:rsid w:val="00B40863"/>
    <w:rsid w:val="00B42E96"/>
    <w:rsid w:val="00B42FD6"/>
    <w:rsid w:val="00B43077"/>
    <w:rsid w:val="00B437B7"/>
    <w:rsid w:val="00B44885"/>
    <w:rsid w:val="00B45031"/>
    <w:rsid w:val="00B45233"/>
    <w:rsid w:val="00B45CFC"/>
    <w:rsid w:val="00B46018"/>
    <w:rsid w:val="00B466C0"/>
    <w:rsid w:val="00B46A5C"/>
    <w:rsid w:val="00B476D8"/>
    <w:rsid w:val="00B47A8E"/>
    <w:rsid w:val="00B47AE9"/>
    <w:rsid w:val="00B47E4C"/>
    <w:rsid w:val="00B5051C"/>
    <w:rsid w:val="00B51171"/>
    <w:rsid w:val="00B51244"/>
    <w:rsid w:val="00B51A3E"/>
    <w:rsid w:val="00B525DD"/>
    <w:rsid w:val="00B53923"/>
    <w:rsid w:val="00B54B7E"/>
    <w:rsid w:val="00B54D0B"/>
    <w:rsid w:val="00B55B1A"/>
    <w:rsid w:val="00B5609D"/>
    <w:rsid w:val="00B561DB"/>
    <w:rsid w:val="00B56495"/>
    <w:rsid w:val="00B56C80"/>
    <w:rsid w:val="00B575ED"/>
    <w:rsid w:val="00B576E9"/>
    <w:rsid w:val="00B578AC"/>
    <w:rsid w:val="00B57FB6"/>
    <w:rsid w:val="00B6167E"/>
    <w:rsid w:val="00B61DB0"/>
    <w:rsid w:val="00B62BB8"/>
    <w:rsid w:val="00B63D2D"/>
    <w:rsid w:val="00B63E77"/>
    <w:rsid w:val="00B64E65"/>
    <w:rsid w:val="00B6519C"/>
    <w:rsid w:val="00B654A9"/>
    <w:rsid w:val="00B659B5"/>
    <w:rsid w:val="00B659E2"/>
    <w:rsid w:val="00B65E13"/>
    <w:rsid w:val="00B665A8"/>
    <w:rsid w:val="00B66D56"/>
    <w:rsid w:val="00B67D07"/>
    <w:rsid w:val="00B7008F"/>
    <w:rsid w:val="00B70936"/>
    <w:rsid w:val="00B70964"/>
    <w:rsid w:val="00B70BD2"/>
    <w:rsid w:val="00B70DCF"/>
    <w:rsid w:val="00B7145F"/>
    <w:rsid w:val="00B71C72"/>
    <w:rsid w:val="00B71CD0"/>
    <w:rsid w:val="00B71D59"/>
    <w:rsid w:val="00B72306"/>
    <w:rsid w:val="00B72F9A"/>
    <w:rsid w:val="00B73357"/>
    <w:rsid w:val="00B74091"/>
    <w:rsid w:val="00B74E8C"/>
    <w:rsid w:val="00B75F06"/>
    <w:rsid w:val="00B76D57"/>
    <w:rsid w:val="00B7793E"/>
    <w:rsid w:val="00B77C8E"/>
    <w:rsid w:val="00B77E09"/>
    <w:rsid w:val="00B80918"/>
    <w:rsid w:val="00B80E7E"/>
    <w:rsid w:val="00B80FBA"/>
    <w:rsid w:val="00B814F1"/>
    <w:rsid w:val="00B8165C"/>
    <w:rsid w:val="00B81A20"/>
    <w:rsid w:val="00B81B33"/>
    <w:rsid w:val="00B8245E"/>
    <w:rsid w:val="00B824C2"/>
    <w:rsid w:val="00B837DE"/>
    <w:rsid w:val="00B83E4A"/>
    <w:rsid w:val="00B8448C"/>
    <w:rsid w:val="00B84BFD"/>
    <w:rsid w:val="00B854AC"/>
    <w:rsid w:val="00B85D5D"/>
    <w:rsid w:val="00B865E1"/>
    <w:rsid w:val="00B872DA"/>
    <w:rsid w:val="00B91FC7"/>
    <w:rsid w:val="00B92060"/>
    <w:rsid w:val="00B93CB3"/>
    <w:rsid w:val="00B93FF3"/>
    <w:rsid w:val="00B9403C"/>
    <w:rsid w:val="00B953FC"/>
    <w:rsid w:val="00B95E68"/>
    <w:rsid w:val="00B9688A"/>
    <w:rsid w:val="00B9710E"/>
    <w:rsid w:val="00B976CB"/>
    <w:rsid w:val="00BA3B1A"/>
    <w:rsid w:val="00BA6230"/>
    <w:rsid w:val="00BA6433"/>
    <w:rsid w:val="00BA718D"/>
    <w:rsid w:val="00BA7267"/>
    <w:rsid w:val="00BA73D6"/>
    <w:rsid w:val="00BA7B6C"/>
    <w:rsid w:val="00BB0DFB"/>
    <w:rsid w:val="00BB10A5"/>
    <w:rsid w:val="00BB121F"/>
    <w:rsid w:val="00BB133C"/>
    <w:rsid w:val="00BB161F"/>
    <w:rsid w:val="00BB259F"/>
    <w:rsid w:val="00BB277C"/>
    <w:rsid w:val="00BB318B"/>
    <w:rsid w:val="00BB32BE"/>
    <w:rsid w:val="00BB409B"/>
    <w:rsid w:val="00BB44B1"/>
    <w:rsid w:val="00BB51A2"/>
    <w:rsid w:val="00BB6449"/>
    <w:rsid w:val="00BB7E8B"/>
    <w:rsid w:val="00BC0B7A"/>
    <w:rsid w:val="00BC1575"/>
    <w:rsid w:val="00BC1E9B"/>
    <w:rsid w:val="00BC20EE"/>
    <w:rsid w:val="00BC213C"/>
    <w:rsid w:val="00BC263E"/>
    <w:rsid w:val="00BC2D79"/>
    <w:rsid w:val="00BC31DA"/>
    <w:rsid w:val="00BC376B"/>
    <w:rsid w:val="00BC37D1"/>
    <w:rsid w:val="00BC4428"/>
    <w:rsid w:val="00BC4A5D"/>
    <w:rsid w:val="00BC5F5C"/>
    <w:rsid w:val="00BC6EAD"/>
    <w:rsid w:val="00BC7938"/>
    <w:rsid w:val="00BD0346"/>
    <w:rsid w:val="00BD04F4"/>
    <w:rsid w:val="00BD1023"/>
    <w:rsid w:val="00BD1995"/>
    <w:rsid w:val="00BD3624"/>
    <w:rsid w:val="00BD3ECE"/>
    <w:rsid w:val="00BD4202"/>
    <w:rsid w:val="00BD569D"/>
    <w:rsid w:val="00BD59AC"/>
    <w:rsid w:val="00BD5B4A"/>
    <w:rsid w:val="00BD668B"/>
    <w:rsid w:val="00BE01DD"/>
    <w:rsid w:val="00BE0C1A"/>
    <w:rsid w:val="00BE19D5"/>
    <w:rsid w:val="00BE1CD2"/>
    <w:rsid w:val="00BE2F11"/>
    <w:rsid w:val="00BE31AF"/>
    <w:rsid w:val="00BE39F3"/>
    <w:rsid w:val="00BE47AE"/>
    <w:rsid w:val="00BE5EEE"/>
    <w:rsid w:val="00BE7884"/>
    <w:rsid w:val="00BE7A41"/>
    <w:rsid w:val="00BF0AC3"/>
    <w:rsid w:val="00BF1BC9"/>
    <w:rsid w:val="00BF249D"/>
    <w:rsid w:val="00BF324A"/>
    <w:rsid w:val="00BF3638"/>
    <w:rsid w:val="00BF3B61"/>
    <w:rsid w:val="00BF44A6"/>
    <w:rsid w:val="00BF5B1E"/>
    <w:rsid w:val="00BF6A2C"/>
    <w:rsid w:val="00BF6D57"/>
    <w:rsid w:val="00BF73D5"/>
    <w:rsid w:val="00BF78B6"/>
    <w:rsid w:val="00C00BE1"/>
    <w:rsid w:val="00C017C6"/>
    <w:rsid w:val="00C0301D"/>
    <w:rsid w:val="00C0505D"/>
    <w:rsid w:val="00C05694"/>
    <w:rsid w:val="00C079AC"/>
    <w:rsid w:val="00C10391"/>
    <w:rsid w:val="00C111DD"/>
    <w:rsid w:val="00C113B6"/>
    <w:rsid w:val="00C1157F"/>
    <w:rsid w:val="00C11751"/>
    <w:rsid w:val="00C11753"/>
    <w:rsid w:val="00C11CC0"/>
    <w:rsid w:val="00C1205B"/>
    <w:rsid w:val="00C124B8"/>
    <w:rsid w:val="00C12D19"/>
    <w:rsid w:val="00C13328"/>
    <w:rsid w:val="00C13D3E"/>
    <w:rsid w:val="00C15060"/>
    <w:rsid w:val="00C15067"/>
    <w:rsid w:val="00C155B1"/>
    <w:rsid w:val="00C16938"/>
    <w:rsid w:val="00C16C4A"/>
    <w:rsid w:val="00C16E83"/>
    <w:rsid w:val="00C17053"/>
    <w:rsid w:val="00C176E0"/>
    <w:rsid w:val="00C17C3C"/>
    <w:rsid w:val="00C201E2"/>
    <w:rsid w:val="00C21E7A"/>
    <w:rsid w:val="00C221D2"/>
    <w:rsid w:val="00C223E6"/>
    <w:rsid w:val="00C23043"/>
    <w:rsid w:val="00C24D07"/>
    <w:rsid w:val="00C26719"/>
    <w:rsid w:val="00C27C71"/>
    <w:rsid w:val="00C27CDA"/>
    <w:rsid w:val="00C27EC8"/>
    <w:rsid w:val="00C27FD7"/>
    <w:rsid w:val="00C3034F"/>
    <w:rsid w:val="00C307ED"/>
    <w:rsid w:val="00C30B40"/>
    <w:rsid w:val="00C30DEC"/>
    <w:rsid w:val="00C32124"/>
    <w:rsid w:val="00C33264"/>
    <w:rsid w:val="00C338E8"/>
    <w:rsid w:val="00C343BA"/>
    <w:rsid w:val="00C345AD"/>
    <w:rsid w:val="00C34A18"/>
    <w:rsid w:val="00C34E65"/>
    <w:rsid w:val="00C3506A"/>
    <w:rsid w:val="00C351DF"/>
    <w:rsid w:val="00C35716"/>
    <w:rsid w:val="00C3572E"/>
    <w:rsid w:val="00C35C11"/>
    <w:rsid w:val="00C365D9"/>
    <w:rsid w:val="00C3677E"/>
    <w:rsid w:val="00C367BF"/>
    <w:rsid w:val="00C36939"/>
    <w:rsid w:val="00C3722A"/>
    <w:rsid w:val="00C37420"/>
    <w:rsid w:val="00C41495"/>
    <w:rsid w:val="00C41888"/>
    <w:rsid w:val="00C419AC"/>
    <w:rsid w:val="00C4275B"/>
    <w:rsid w:val="00C42C59"/>
    <w:rsid w:val="00C43627"/>
    <w:rsid w:val="00C4438B"/>
    <w:rsid w:val="00C44DEF"/>
    <w:rsid w:val="00C44F3F"/>
    <w:rsid w:val="00C4501F"/>
    <w:rsid w:val="00C457F3"/>
    <w:rsid w:val="00C45EA6"/>
    <w:rsid w:val="00C45FF3"/>
    <w:rsid w:val="00C4630D"/>
    <w:rsid w:val="00C4729D"/>
    <w:rsid w:val="00C47BEB"/>
    <w:rsid w:val="00C50169"/>
    <w:rsid w:val="00C50D2B"/>
    <w:rsid w:val="00C511C0"/>
    <w:rsid w:val="00C51262"/>
    <w:rsid w:val="00C51740"/>
    <w:rsid w:val="00C51D8B"/>
    <w:rsid w:val="00C52549"/>
    <w:rsid w:val="00C53211"/>
    <w:rsid w:val="00C53AA3"/>
    <w:rsid w:val="00C54704"/>
    <w:rsid w:val="00C54879"/>
    <w:rsid w:val="00C548F4"/>
    <w:rsid w:val="00C54EFD"/>
    <w:rsid w:val="00C55045"/>
    <w:rsid w:val="00C55947"/>
    <w:rsid w:val="00C5691A"/>
    <w:rsid w:val="00C575F8"/>
    <w:rsid w:val="00C5785D"/>
    <w:rsid w:val="00C612CA"/>
    <w:rsid w:val="00C62D73"/>
    <w:rsid w:val="00C6359B"/>
    <w:rsid w:val="00C635F9"/>
    <w:rsid w:val="00C63A1A"/>
    <w:rsid w:val="00C64187"/>
    <w:rsid w:val="00C642F4"/>
    <w:rsid w:val="00C64670"/>
    <w:rsid w:val="00C653C7"/>
    <w:rsid w:val="00C656B5"/>
    <w:rsid w:val="00C6575F"/>
    <w:rsid w:val="00C65CF3"/>
    <w:rsid w:val="00C66C11"/>
    <w:rsid w:val="00C671ED"/>
    <w:rsid w:val="00C672C5"/>
    <w:rsid w:val="00C67C03"/>
    <w:rsid w:val="00C67EDF"/>
    <w:rsid w:val="00C7000E"/>
    <w:rsid w:val="00C70ADA"/>
    <w:rsid w:val="00C70B5D"/>
    <w:rsid w:val="00C716DF"/>
    <w:rsid w:val="00C71DA7"/>
    <w:rsid w:val="00C71EAF"/>
    <w:rsid w:val="00C731FA"/>
    <w:rsid w:val="00C73236"/>
    <w:rsid w:val="00C739AA"/>
    <w:rsid w:val="00C7463E"/>
    <w:rsid w:val="00C74DC9"/>
    <w:rsid w:val="00C75BFE"/>
    <w:rsid w:val="00C7605C"/>
    <w:rsid w:val="00C77606"/>
    <w:rsid w:val="00C80875"/>
    <w:rsid w:val="00C8112D"/>
    <w:rsid w:val="00C81169"/>
    <w:rsid w:val="00C812F5"/>
    <w:rsid w:val="00C81D33"/>
    <w:rsid w:val="00C8213C"/>
    <w:rsid w:val="00C82D84"/>
    <w:rsid w:val="00C82F08"/>
    <w:rsid w:val="00C83931"/>
    <w:rsid w:val="00C84362"/>
    <w:rsid w:val="00C85582"/>
    <w:rsid w:val="00C85C7E"/>
    <w:rsid w:val="00C87250"/>
    <w:rsid w:val="00C9119B"/>
    <w:rsid w:val="00C912F0"/>
    <w:rsid w:val="00C91840"/>
    <w:rsid w:val="00C91FD0"/>
    <w:rsid w:val="00C9247D"/>
    <w:rsid w:val="00C924ED"/>
    <w:rsid w:val="00C92B49"/>
    <w:rsid w:val="00C93EEF"/>
    <w:rsid w:val="00C94B1D"/>
    <w:rsid w:val="00CA0A3C"/>
    <w:rsid w:val="00CA110A"/>
    <w:rsid w:val="00CA19CC"/>
    <w:rsid w:val="00CA2122"/>
    <w:rsid w:val="00CA256E"/>
    <w:rsid w:val="00CA2973"/>
    <w:rsid w:val="00CA3396"/>
    <w:rsid w:val="00CA46EB"/>
    <w:rsid w:val="00CA541C"/>
    <w:rsid w:val="00CA5605"/>
    <w:rsid w:val="00CA5786"/>
    <w:rsid w:val="00CA6010"/>
    <w:rsid w:val="00CA6A6E"/>
    <w:rsid w:val="00CA6DB9"/>
    <w:rsid w:val="00CA765E"/>
    <w:rsid w:val="00CA770F"/>
    <w:rsid w:val="00CB01A5"/>
    <w:rsid w:val="00CB0E09"/>
    <w:rsid w:val="00CB2135"/>
    <w:rsid w:val="00CB34E7"/>
    <w:rsid w:val="00CB3B6D"/>
    <w:rsid w:val="00CB4029"/>
    <w:rsid w:val="00CB41E3"/>
    <w:rsid w:val="00CB4781"/>
    <w:rsid w:val="00CB4865"/>
    <w:rsid w:val="00CB488A"/>
    <w:rsid w:val="00CB4B8A"/>
    <w:rsid w:val="00CB5A2A"/>
    <w:rsid w:val="00CB63F3"/>
    <w:rsid w:val="00CB65BD"/>
    <w:rsid w:val="00CB7442"/>
    <w:rsid w:val="00CB75D2"/>
    <w:rsid w:val="00CB7FCF"/>
    <w:rsid w:val="00CC0433"/>
    <w:rsid w:val="00CC0443"/>
    <w:rsid w:val="00CC0742"/>
    <w:rsid w:val="00CC0C8A"/>
    <w:rsid w:val="00CC19E7"/>
    <w:rsid w:val="00CC3756"/>
    <w:rsid w:val="00CC3E0B"/>
    <w:rsid w:val="00CC3F03"/>
    <w:rsid w:val="00CC4305"/>
    <w:rsid w:val="00CC5BE3"/>
    <w:rsid w:val="00CC5E81"/>
    <w:rsid w:val="00CC65CE"/>
    <w:rsid w:val="00CC75A0"/>
    <w:rsid w:val="00CC7D43"/>
    <w:rsid w:val="00CD0087"/>
    <w:rsid w:val="00CD05AE"/>
    <w:rsid w:val="00CD1081"/>
    <w:rsid w:val="00CD1226"/>
    <w:rsid w:val="00CD1522"/>
    <w:rsid w:val="00CD20ED"/>
    <w:rsid w:val="00CD2883"/>
    <w:rsid w:val="00CD4DC3"/>
    <w:rsid w:val="00CD5253"/>
    <w:rsid w:val="00CD5628"/>
    <w:rsid w:val="00CD5D75"/>
    <w:rsid w:val="00CD6008"/>
    <w:rsid w:val="00CD7520"/>
    <w:rsid w:val="00CD759E"/>
    <w:rsid w:val="00CD7AE4"/>
    <w:rsid w:val="00CD7BC8"/>
    <w:rsid w:val="00CE02D2"/>
    <w:rsid w:val="00CE1040"/>
    <w:rsid w:val="00CE11A1"/>
    <w:rsid w:val="00CE13D6"/>
    <w:rsid w:val="00CE21B3"/>
    <w:rsid w:val="00CE257F"/>
    <w:rsid w:val="00CE28F7"/>
    <w:rsid w:val="00CE2E14"/>
    <w:rsid w:val="00CE31AD"/>
    <w:rsid w:val="00CE34C2"/>
    <w:rsid w:val="00CE3B08"/>
    <w:rsid w:val="00CE4413"/>
    <w:rsid w:val="00CE44AE"/>
    <w:rsid w:val="00CE4672"/>
    <w:rsid w:val="00CE49E8"/>
    <w:rsid w:val="00CE5073"/>
    <w:rsid w:val="00CE515C"/>
    <w:rsid w:val="00CE5918"/>
    <w:rsid w:val="00CE5BFA"/>
    <w:rsid w:val="00CE6675"/>
    <w:rsid w:val="00CE6A3A"/>
    <w:rsid w:val="00CF045D"/>
    <w:rsid w:val="00CF0830"/>
    <w:rsid w:val="00CF0D64"/>
    <w:rsid w:val="00CF2C11"/>
    <w:rsid w:val="00CF32D7"/>
    <w:rsid w:val="00CF4171"/>
    <w:rsid w:val="00CF5285"/>
    <w:rsid w:val="00CF530A"/>
    <w:rsid w:val="00CF5A5C"/>
    <w:rsid w:val="00CF6319"/>
    <w:rsid w:val="00CF7463"/>
    <w:rsid w:val="00CF7E01"/>
    <w:rsid w:val="00D0025A"/>
    <w:rsid w:val="00D005A8"/>
    <w:rsid w:val="00D01BFA"/>
    <w:rsid w:val="00D02F93"/>
    <w:rsid w:val="00D03253"/>
    <w:rsid w:val="00D039A2"/>
    <w:rsid w:val="00D03FEC"/>
    <w:rsid w:val="00D0438F"/>
    <w:rsid w:val="00D04730"/>
    <w:rsid w:val="00D0481E"/>
    <w:rsid w:val="00D04EAF"/>
    <w:rsid w:val="00D069C6"/>
    <w:rsid w:val="00D07942"/>
    <w:rsid w:val="00D07F0C"/>
    <w:rsid w:val="00D10290"/>
    <w:rsid w:val="00D12D05"/>
    <w:rsid w:val="00D13441"/>
    <w:rsid w:val="00D13BD5"/>
    <w:rsid w:val="00D13C14"/>
    <w:rsid w:val="00D14235"/>
    <w:rsid w:val="00D14991"/>
    <w:rsid w:val="00D14D92"/>
    <w:rsid w:val="00D14FA3"/>
    <w:rsid w:val="00D15199"/>
    <w:rsid w:val="00D15C3B"/>
    <w:rsid w:val="00D16C6E"/>
    <w:rsid w:val="00D17150"/>
    <w:rsid w:val="00D174CD"/>
    <w:rsid w:val="00D179E7"/>
    <w:rsid w:val="00D17CCC"/>
    <w:rsid w:val="00D17DCA"/>
    <w:rsid w:val="00D17E02"/>
    <w:rsid w:val="00D17E0B"/>
    <w:rsid w:val="00D200A6"/>
    <w:rsid w:val="00D2040E"/>
    <w:rsid w:val="00D20ADE"/>
    <w:rsid w:val="00D2251A"/>
    <w:rsid w:val="00D23372"/>
    <w:rsid w:val="00D2376C"/>
    <w:rsid w:val="00D23CCF"/>
    <w:rsid w:val="00D24C90"/>
    <w:rsid w:val="00D2503A"/>
    <w:rsid w:val="00D25B36"/>
    <w:rsid w:val="00D25C6F"/>
    <w:rsid w:val="00D27530"/>
    <w:rsid w:val="00D27611"/>
    <w:rsid w:val="00D27724"/>
    <w:rsid w:val="00D301ED"/>
    <w:rsid w:val="00D30260"/>
    <w:rsid w:val="00D30678"/>
    <w:rsid w:val="00D30D94"/>
    <w:rsid w:val="00D32F9E"/>
    <w:rsid w:val="00D32FE8"/>
    <w:rsid w:val="00D33117"/>
    <w:rsid w:val="00D3386D"/>
    <w:rsid w:val="00D33909"/>
    <w:rsid w:val="00D343D0"/>
    <w:rsid w:val="00D34F9D"/>
    <w:rsid w:val="00D3554F"/>
    <w:rsid w:val="00D35B47"/>
    <w:rsid w:val="00D35CCF"/>
    <w:rsid w:val="00D36D88"/>
    <w:rsid w:val="00D40E8A"/>
    <w:rsid w:val="00D412D2"/>
    <w:rsid w:val="00D412D9"/>
    <w:rsid w:val="00D42054"/>
    <w:rsid w:val="00D4228A"/>
    <w:rsid w:val="00D43042"/>
    <w:rsid w:val="00D44274"/>
    <w:rsid w:val="00D4446D"/>
    <w:rsid w:val="00D45553"/>
    <w:rsid w:val="00D45CFC"/>
    <w:rsid w:val="00D45E01"/>
    <w:rsid w:val="00D4682A"/>
    <w:rsid w:val="00D46BA0"/>
    <w:rsid w:val="00D46DA4"/>
    <w:rsid w:val="00D47012"/>
    <w:rsid w:val="00D4775F"/>
    <w:rsid w:val="00D47DC5"/>
    <w:rsid w:val="00D50761"/>
    <w:rsid w:val="00D52088"/>
    <w:rsid w:val="00D521A1"/>
    <w:rsid w:val="00D521A4"/>
    <w:rsid w:val="00D526EB"/>
    <w:rsid w:val="00D52C7C"/>
    <w:rsid w:val="00D534B4"/>
    <w:rsid w:val="00D53DD2"/>
    <w:rsid w:val="00D5451C"/>
    <w:rsid w:val="00D55FD4"/>
    <w:rsid w:val="00D56157"/>
    <w:rsid w:val="00D561DA"/>
    <w:rsid w:val="00D5647D"/>
    <w:rsid w:val="00D564FF"/>
    <w:rsid w:val="00D5693F"/>
    <w:rsid w:val="00D56A51"/>
    <w:rsid w:val="00D60B56"/>
    <w:rsid w:val="00D60C4B"/>
    <w:rsid w:val="00D6114E"/>
    <w:rsid w:val="00D6127F"/>
    <w:rsid w:val="00D61C62"/>
    <w:rsid w:val="00D61CDE"/>
    <w:rsid w:val="00D61D12"/>
    <w:rsid w:val="00D633BC"/>
    <w:rsid w:val="00D63EE0"/>
    <w:rsid w:val="00D64224"/>
    <w:rsid w:val="00D6533A"/>
    <w:rsid w:val="00D6543F"/>
    <w:rsid w:val="00D65B1C"/>
    <w:rsid w:val="00D65BAC"/>
    <w:rsid w:val="00D65D0E"/>
    <w:rsid w:val="00D65E1F"/>
    <w:rsid w:val="00D667A1"/>
    <w:rsid w:val="00D67E50"/>
    <w:rsid w:val="00D67EFE"/>
    <w:rsid w:val="00D70372"/>
    <w:rsid w:val="00D70BDE"/>
    <w:rsid w:val="00D71A07"/>
    <w:rsid w:val="00D71CC2"/>
    <w:rsid w:val="00D72347"/>
    <w:rsid w:val="00D73EE4"/>
    <w:rsid w:val="00D74A0D"/>
    <w:rsid w:val="00D74CB1"/>
    <w:rsid w:val="00D76510"/>
    <w:rsid w:val="00D769B7"/>
    <w:rsid w:val="00D77742"/>
    <w:rsid w:val="00D77FBC"/>
    <w:rsid w:val="00D807B2"/>
    <w:rsid w:val="00D81363"/>
    <w:rsid w:val="00D819E8"/>
    <w:rsid w:val="00D82276"/>
    <w:rsid w:val="00D82305"/>
    <w:rsid w:val="00D82311"/>
    <w:rsid w:val="00D83155"/>
    <w:rsid w:val="00D83670"/>
    <w:rsid w:val="00D841BC"/>
    <w:rsid w:val="00D844E3"/>
    <w:rsid w:val="00D84BE6"/>
    <w:rsid w:val="00D84DE5"/>
    <w:rsid w:val="00D84F4C"/>
    <w:rsid w:val="00D85345"/>
    <w:rsid w:val="00D8557F"/>
    <w:rsid w:val="00D85993"/>
    <w:rsid w:val="00D85B75"/>
    <w:rsid w:val="00D8619A"/>
    <w:rsid w:val="00D86432"/>
    <w:rsid w:val="00D865EE"/>
    <w:rsid w:val="00D87553"/>
    <w:rsid w:val="00D9065A"/>
    <w:rsid w:val="00D90774"/>
    <w:rsid w:val="00D90CB8"/>
    <w:rsid w:val="00D90E01"/>
    <w:rsid w:val="00D912A5"/>
    <w:rsid w:val="00D915BE"/>
    <w:rsid w:val="00D92944"/>
    <w:rsid w:val="00D93590"/>
    <w:rsid w:val="00D937B1"/>
    <w:rsid w:val="00D93C96"/>
    <w:rsid w:val="00D93E67"/>
    <w:rsid w:val="00D944EA"/>
    <w:rsid w:val="00D94A00"/>
    <w:rsid w:val="00D95839"/>
    <w:rsid w:val="00D971BA"/>
    <w:rsid w:val="00D97C40"/>
    <w:rsid w:val="00DA1D37"/>
    <w:rsid w:val="00DA1D6A"/>
    <w:rsid w:val="00DA23EA"/>
    <w:rsid w:val="00DA26D8"/>
    <w:rsid w:val="00DA29BD"/>
    <w:rsid w:val="00DA2C69"/>
    <w:rsid w:val="00DA328B"/>
    <w:rsid w:val="00DA348C"/>
    <w:rsid w:val="00DA5203"/>
    <w:rsid w:val="00DA6210"/>
    <w:rsid w:val="00DA66C9"/>
    <w:rsid w:val="00DA6AFB"/>
    <w:rsid w:val="00DA77C1"/>
    <w:rsid w:val="00DB04EB"/>
    <w:rsid w:val="00DB0CE4"/>
    <w:rsid w:val="00DB0EC5"/>
    <w:rsid w:val="00DB16C4"/>
    <w:rsid w:val="00DB1D02"/>
    <w:rsid w:val="00DB20D6"/>
    <w:rsid w:val="00DB234F"/>
    <w:rsid w:val="00DB2D4A"/>
    <w:rsid w:val="00DB3CA9"/>
    <w:rsid w:val="00DB42FB"/>
    <w:rsid w:val="00DB48AB"/>
    <w:rsid w:val="00DB4E54"/>
    <w:rsid w:val="00DB4F96"/>
    <w:rsid w:val="00DB4FF3"/>
    <w:rsid w:val="00DB5175"/>
    <w:rsid w:val="00DB5CAE"/>
    <w:rsid w:val="00DB61A1"/>
    <w:rsid w:val="00DB69D7"/>
    <w:rsid w:val="00DC003A"/>
    <w:rsid w:val="00DC1812"/>
    <w:rsid w:val="00DC1A3B"/>
    <w:rsid w:val="00DC2262"/>
    <w:rsid w:val="00DC2A3B"/>
    <w:rsid w:val="00DC3118"/>
    <w:rsid w:val="00DC38F6"/>
    <w:rsid w:val="00DC3B4E"/>
    <w:rsid w:val="00DC4018"/>
    <w:rsid w:val="00DC40DB"/>
    <w:rsid w:val="00DC4327"/>
    <w:rsid w:val="00DC498C"/>
    <w:rsid w:val="00DC5B52"/>
    <w:rsid w:val="00DC5EBC"/>
    <w:rsid w:val="00DC6BDF"/>
    <w:rsid w:val="00DC7293"/>
    <w:rsid w:val="00DC7CA9"/>
    <w:rsid w:val="00DC7E43"/>
    <w:rsid w:val="00DD0650"/>
    <w:rsid w:val="00DD132E"/>
    <w:rsid w:val="00DD1422"/>
    <w:rsid w:val="00DD2636"/>
    <w:rsid w:val="00DD33D2"/>
    <w:rsid w:val="00DD3B0D"/>
    <w:rsid w:val="00DD3B15"/>
    <w:rsid w:val="00DD3C68"/>
    <w:rsid w:val="00DD4439"/>
    <w:rsid w:val="00DD5AB7"/>
    <w:rsid w:val="00DD6ACE"/>
    <w:rsid w:val="00DD6C94"/>
    <w:rsid w:val="00DD6D7B"/>
    <w:rsid w:val="00DD6F0E"/>
    <w:rsid w:val="00DD7660"/>
    <w:rsid w:val="00DD7F3B"/>
    <w:rsid w:val="00DE2084"/>
    <w:rsid w:val="00DE2769"/>
    <w:rsid w:val="00DE331E"/>
    <w:rsid w:val="00DE33B8"/>
    <w:rsid w:val="00DE3AA1"/>
    <w:rsid w:val="00DE3E21"/>
    <w:rsid w:val="00DE3F8A"/>
    <w:rsid w:val="00DE4A15"/>
    <w:rsid w:val="00DE4A96"/>
    <w:rsid w:val="00DE4C31"/>
    <w:rsid w:val="00DE5AF9"/>
    <w:rsid w:val="00DE5CFC"/>
    <w:rsid w:val="00DE680C"/>
    <w:rsid w:val="00DE6C55"/>
    <w:rsid w:val="00DE7D4E"/>
    <w:rsid w:val="00DF0B25"/>
    <w:rsid w:val="00DF0BDD"/>
    <w:rsid w:val="00DF1290"/>
    <w:rsid w:val="00DF12AB"/>
    <w:rsid w:val="00DF2123"/>
    <w:rsid w:val="00DF2151"/>
    <w:rsid w:val="00DF236E"/>
    <w:rsid w:val="00DF34BA"/>
    <w:rsid w:val="00DF3ECE"/>
    <w:rsid w:val="00DF41C6"/>
    <w:rsid w:val="00DF5408"/>
    <w:rsid w:val="00DF6305"/>
    <w:rsid w:val="00DF6402"/>
    <w:rsid w:val="00DF697F"/>
    <w:rsid w:val="00DF6FD2"/>
    <w:rsid w:val="00DF6FFA"/>
    <w:rsid w:val="00DF7090"/>
    <w:rsid w:val="00DF70BC"/>
    <w:rsid w:val="00E006B4"/>
    <w:rsid w:val="00E00E9E"/>
    <w:rsid w:val="00E021B7"/>
    <w:rsid w:val="00E0267C"/>
    <w:rsid w:val="00E03770"/>
    <w:rsid w:val="00E05E75"/>
    <w:rsid w:val="00E06947"/>
    <w:rsid w:val="00E07326"/>
    <w:rsid w:val="00E07E9D"/>
    <w:rsid w:val="00E100BE"/>
    <w:rsid w:val="00E10FD8"/>
    <w:rsid w:val="00E11857"/>
    <w:rsid w:val="00E13025"/>
    <w:rsid w:val="00E14173"/>
    <w:rsid w:val="00E14471"/>
    <w:rsid w:val="00E145DD"/>
    <w:rsid w:val="00E145FC"/>
    <w:rsid w:val="00E14FFC"/>
    <w:rsid w:val="00E16998"/>
    <w:rsid w:val="00E171B9"/>
    <w:rsid w:val="00E20695"/>
    <w:rsid w:val="00E211AC"/>
    <w:rsid w:val="00E21624"/>
    <w:rsid w:val="00E22099"/>
    <w:rsid w:val="00E2412D"/>
    <w:rsid w:val="00E25556"/>
    <w:rsid w:val="00E255BD"/>
    <w:rsid w:val="00E262FA"/>
    <w:rsid w:val="00E26A9B"/>
    <w:rsid w:val="00E26AED"/>
    <w:rsid w:val="00E27173"/>
    <w:rsid w:val="00E27AFF"/>
    <w:rsid w:val="00E27DB7"/>
    <w:rsid w:val="00E3050D"/>
    <w:rsid w:val="00E30930"/>
    <w:rsid w:val="00E31872"/>
    <w:rsid w:val="00E319DD"/>
    <w:rsid w:val="00E31D7F"/>
    <w:rsid w:val="00E3205D"/>
    <w:rsid w:val="00E328C5"/>
    <w:rsid w:val="00E32D52"/>
    <w:rsid w:val="00E32E9B"/>
    <w:rsid w:val="00E33374"/>
    <w:rsid w:val="00E34053"/>
    <w:rsid w:val="00E346AA"/>
    <w:rsid w:val="00E34A9F"/>
    <w:rsid w:val="00E359B1"/>
    <w:rsid w:val="00E3604A"/>
    <w:rsid w:val="00E362E5"/>
    <w:rsid w:val="00E364F5"/>
    <w:rsid w:val="00E375DD"/>
    <w:rsid w:val="00E37951"/>
    <w:rsid w:val="00E37AB3"/>
    <w:rsid w:val="00E40666"/>
    <w:rsid w:val="00E40CFA"/>
    <w:rsid w:val="00E40FC4"/>
    <w:rsid w:val="00E41D2A"/>
    <w:rsid w:val="00E41F52"/>
    <w:rsid w:val="00E42844"/>
    <w:rsid w:val="00E42923"/>
    <w:rsid w:val="00E42BFF"/>
    <w:rsid w:val="00E4350A"/>
    <w:rsid w:val="00E43D2D"/>
    <w:rsid w:val="00E440E7"/>
    <w:rsid w:val="00E44496"/>
    <w:rsid w:val="00E44881"/>
    <w:rsid w:val="00E453F0"/>
    <w:rsid w:val="00E45FF1"/>
    <w:rsid w:val="00E46650"/>
    <w:rsid w:val="00E47858"/>
    <w:rsid w:val="00E47906"/>
    <w:rsid w:val="00E50656"/>
    <w:rsid w:val="00E512FF"/>
    <w:rsid w:val="00E51839"/>
    <w:rsid w:val="00E54093"/>
    <w:rsid w:val="00E542CF"/>
    <w:rsid w:val="00E54760"/>
    <w:rsid w:val="00E548AF"/>
    <w:rsid w:val="00E55352"/>
    <w:rsid w:val="00E55607"/>
    <w:rsid w:val="00E558C8"/>
    <w:rsid w:val="00E55C60"/>
    <w:rsid w:val="00E578D7"/>
    <w:rsid w:val="00E57FA4"/>
    <w:rsid w:val="00E60ADC"/>
    <w:rsid w:val="00E60B02"/>
    <w:rsid w:val="00E6159B"/>
    <w:rsid w:val="00E61C16"/>
    <w:rsid w:val="00E61D26"/>
    <w:rsid w:val="00E62108"/>
    <w:rsid w:val="00E62496"/>
    <w:rsid w:val="00E63251"/>
    <w:rsid w:val="00E654DC"/>
    <w:rsid w:val="00E65D00"/>
    <w:rsid w:val="00E66C7C"/>
    <w:rsid w:val="00E717E2"/>
    <w:rsid w:val="00E71842"/>
    <w:rsid w:val="00E729DE"/>
    <w:rsid w:val="00E7332C"/>
    <w:rsid w:val="00E737E5"/>
    <w:rsid w:val="00E73DA7"/>
    <w:rsid w:val="00E73FE2"/>
    <w:rsid w:val="00E7517A"/>
    <w:rsid w:val="00E75670"/>
    <w:rsid w:val="00E765E4"/>
    <w:rsid w:val="00E766FB"/>
    <w:rsid w:val="00E767BD"/>
    <w:rsid w:val="00E769BB"/>
    <w:rsid w:val="00E774D8"/>
    <w:rsid w:val="00E77512"/>
    <w:rsid w:val="00E80DEE"/>
    <w:rsid w:val="00E819C0"/>
    <w:rsid w:val="00E81D03"/>
    <w:rsid w:val="00E81FE2"/>
    <w:rsid w:val="00E82039"/>
    <w:rsid w:val="00E8279A"/>
    <w:rsid w:val="00E827FB"/>
    <w:rsid w:val="00E830B1"/>
    <w:rsid w:val="00E8340F"/>
    <w:rsid w:val="00E83410"/>
    <w:rsid w:val="00E8371A"/>
    <w:rsid w:val="00E8392B"/>
    <w:rsid w:val="00E84844"/>
    <w:rsid w:val="00E85609"/>
    <w:rsid w:val="00E85773"/>
    <w:rsid w:val="00E85A86"/>
    <w:rsid w:val="00E8644D"/>
    <w:rsid w:val="00E86DC7"/>
    <w:rsid w:val="00E878DE"/>
    <w:rsid w:val="00E90509"/>
    <w:rsid w:val="00E90F17"/>
    <w:rsid w:val="00E91D0D"/>
    <w:rsid w:val="00E91E9D"/>
    <w:rsid w:val="00E923DA"/>
    <w:rsid w:val="00E92DCF"/>
    <w:rsid w:val="00E93E56"/>
    <w:rsid w:val="00E95FDD"/>
    <w:rsid w:val="00E9645C"/>
    <w:rsid w:val="00E966CC"/>
    <w:rsid w:val="00E96B62"/>
    <w:rsid w:val="00E97145"/>
    <w:rsid w:val="00E972D8"/>
    <w:rsid w:val="00E973E6"/>
    <w:rsid w:val="00E9799E"/>
    <w:rsid w:val="00EA042D"/>
    <w:rsid w:val="00EA0A20"/>
    <w:rsid w:val="00EA0D4B"/>
    <w:rsid w:val="00EA1A33"/>
    <w:rsid w:val="00EA230B"/>
    <w:rsid w:val="00EA3047"/>
    <w:rsid w:val="00EA3C1C"/>
    <w:rsid w:val="00EA4D44"/>
    <w:rsid w:val="00EA5397"/>
    <w:rsid w:val="00EA56D2"/>
    <w:rsid w:val="00EA5751"/>
    <w:rsid w:val="00EA5A72"/>
    <w:rsid w:val="00EA61FF"/>
    <w:rsid w:val="00EA63E3"/>
    <w:rsid w:val="00EA657E"/>
    <w:rsid w:val="00EA6F4A"/>
    <w:rsid w:val="00EB1182"/>
    <w:rsid w:val="00EB171E"/>
    <w:rsid w:val="00EB1BDA"/>
    <w:rsid w:val="00EB1C4B"/>
    <w:rsid w:val="00EB265D"/>
    <w:rsid w:val="00EB2C4E"/>
    <w:rsid w:val="00EB3037"/>
    <w:rsid w:val="00EB3FF7"/>
    <w:rsid w:val="00EB4F56"/>
    <w:rsid w:val="00EB4F67"/>
    <w:rsid w:val="00EB4F9D"/>
    <w:rsid w:val="00EB52A6"/>
    <w:rsid w:val="00EB5566"/>
    <w:rsid w:val="00EB5EA5"/>
    <w:rsid w:val="00EB6011"/>
    <w:rsid w:val="00EB61CA"/>
    <w:rsid w:val="00EC0971"/>
    <w:rsid w:val="00EC0FA7"/>
    <w:rsid w:val="00EC174D"/>
    <w:rsid w:val="00EC179E"/>
    <w:rsid w:val="00EC19B2"/>
    <w:rsid w:val="00EC1B4D"/>
    <w:rsid w:val="00EC1D68"/>
    <w:rsid w:val="00EC249C"/>
    <w:rsid w:val="00EC2585"/>
    <w:rsid w:val="00EC2C26"/>
    <w:rsid w:val="00EC320C"/>
    <w:rsid w:val="00EC3ABE"/>
    <w:rsid w:val="00EC3CAC"/>
    <w:rsid w:val="00EC4F99"/>
    <w:rsid w:val="00EC5024"/>
    <w:rsid w:val="00EC55A9"/>
    <w:rsid w:val="00EC57C8"/>
    <w:rsid w:val="00EC5D94"/>
    <w:rsid w:val="00ED1BC2"/>
    <w:rsid w:val="00ED1CCC"/>
    <w:rsid w:val="00ED1E6B"/>
    <w:rsid w:val="00ED2220"/>
    <w:rsid w:val="00ED2952"/>
    <w:rsid w:val="00ED2FCD"/>
    <w:rsid w:val="00ED31F2"/>
    <w:rsid w:val="00ED39A8"/>
    <w:rsid w:val="00ED3F69"/>
    <w:rsid w:val="00ED408C"/>
    <w:rsid w:val="00ED4956"/>
    <w:rsid w:val="00ED5185"/>
    <w:rsid w:val="00ED5B57"/>
    <w:rsid w:val="00ED7535"/>
    <w:rsid w:val="00ED79AC"/>
    <w:rsid w:val="00EE0020"/>
    <w:rsid w:val="00EE04CE"/>
    <w:rsid w:val="00EE0A4C"/>
    <w:rsid w:val="00EE14C8"/>
    <w:rsid w:val="00EE2B55"/>
    <w:rsid w:val="00EE31D8"/>
    <w:rsid w:val="00EE4FF1"/>
    <w:rsid w:val="00EE5051"/>
    <w:rsid w:val="00EE54C0"/>
    <w:rsid w:val="00EE6478"/>
    <w:rsid w:val="00EE69B0"/>
    <w:rsid w:val="00EE7731"/>
    <w:rsid w:val="00EE7B05"/>
    <w:rsid w:val="00EE7CD0"/>
    <w:rsid w:val="00EF2380"/>
    <w:rsid w:val="00EF3DB2"/>
    <w:rsid w:val="00EF3F4A"/>
    <w:rsid w:val="00EF429A"/>
    <w:rsid w:val="00EF4684"/>
    <w:rsid w:val="00EF495B"/>
    <w:rsid w:val="00EF4C7E"/>
    <w:rsid w:val="00EF52BB"/>
    <w:rsid w:val="00EF55D9"/>
    <w:rsid w:val="00EF5ECA"/>
    <w:rsid w:val="00EF610B"/>
    <w:rsid w:val="00EF6A20"/>
    <w:rsid w:val="00EF6F70"/>
    <w:rsid w:val="00EF7406"/>
    <w:rsid w:val="00F002AF"/>
    <w:rsid w:val="00F00686"/>
    <w:rsid w:val="00F00981"/>
    <w:rsid w:val="00F00BC4"/>
    <w:rsid w:val="00F01015"/>
    <w:rsid w:val="00F01429"/>
    <w:rsid w:val="00F016FA"/>
    <w:rsid w:val="00F01D76"/>
    <w:rsid w:val="00F02952"/>
    <w:rsid w:val="00F03B53"/>
    <w:rsid w:val="00F03E05"/>
    <w:rsid w:val="00F045C9"/>
    <w:rsid w:val="00F04784"/>
    <w:rsid w:val="00F06268"/>
    <w:rsid w:val="00F06E2D"/>
    <w:rsid w:val="00F0778F"/>
    <w:rsid w:val="00F07D94"/>
    <w:rsid w:val="00F101F3"/>
    <w:rsid w:val="00F102C7"/>
    <w:rsid w:val="00F109CA"/>
    <w:rsid w:val="00F11287"/>
    <w:rsid w:val="00F11ABB"/>
    <w:rsid w:val="00F120D2"/>
    <w:rsid w:val="00F12AE2"/>
    <w:rsid w:val="00F12E98"/>
    <w:rsid w:val="00F1329E"/>
    <w:rsid w:val="00F1380B"/>
    <w:rsid w:val="00F138E0"/>
    <w:rsid w:val="00F1486A"/>
    <w:rsid w:val="00F14963"/>
    <w:rsid w:val="00F14E04"/>
    <w:rsid w:val="00F15720"/>
    <w:rsid w:val="00F159A4"/>
    <w:rsid w:val="00F15DB5"/>
    <w:rsid w:val="00F1678D"/>
    <w:rsid w:val="00F16F99"/>
    <w:rsid w:val="00F17039"/>
    <w:rsid w:val="00F170DA"/>
    <w:rsid w:val="00F17351"/>
    <w:rsid w:val="00F177C7"/>
    <w:rsid w:val="00F17D3C"/>
    <w:rsid w:val="00F20302"/>
    <w:rsid w:val="00F2082C"/>
    <w:rsid w:val="00F225B6"/>
    <w:rsid w:val="00F22BF7"/>
    <w:rsid w:val="00F230DF"/>
    <w:rsid w:val="00F23438"/>
    <w:rsid w:val="00F23857"/>
    <w:rsid w:val="00F239CC"/>
    <w:rsid w:val="00F239D9"/>
    <w:rsid w:val="00F23FE1"/>
    <w:rsid w:val="00F24166"/>
    <w:rsid w:val="00F24A03"/>
    <w:rsid w:val="00F258B4"/>
    <w:rsid w:val="00F25A4B"/>
    <w:rsid w:val="00F26E21"/>
    <w:rsid w:val="00F271CF"/>
    <w:rsid w:val="00F3093D"/>
    <w:rsid w:val="00F30D5E"/>
    <w:rsid w:val="00F30DF5"/>
    <w:rsid w:val="00F31256"/>
    <w:rsid w:val="00F32022"/>
    <w:rsid w:val="00F32E0C"/>
    <w:rsid w:val="00F339C0"/>
    <w:rsid w:val="00F33ABF"/>
    <w:rsid w:val="00F35DEE"/>
    <w:rsid w:val="00F3668D"/>
    <w:rsid w:val="00F36A91"/>
    <w:rsid w:val="00F372FE"/>
    <w:rsid w:val="00F378B6"/>
    <w:rsid w:val="00F4117C"/>
    <w:rsid w:val="00F423C8"/>
    <w:rsid w:val="00F4314B"/>
    <w:rsid w:val="00F43221"/>
    <w:rsid w:val="00F43CE2"/>
    <w:rsid w:val="00F43FAB"/>
    <w:rsid w:val="00F460BA"/>
    <w:rsid w:val="00F464AB"/>
    <w:rsid w:val="00F46654"/>
    <w:rsid w:val="00F46DD9"/>
    <w:rsid w:val="00F46F06"/>
    <w:rsid w:val="00F47200"/>
    <w:rsid w:val="00F4729E"/>
    <w:rsid w:val="00F47EFC"/>
    <w:rsid w:val="00F47F8B"/>
    <w:rsid w:val="00F50983"/>
    <w:rsid w:val="00F50F57"/>
    <w:rsid w:val="00F51FA4"/>
    <w:rsid w:val="00F520DB"/>
    <w:rsid w:val="00F52131"/>
    <w:rsid w:val="00F52857"/>
    <w:rsid w:val="00F52B67"/>
    <w:rsid w:val="00F52C2A"/>
    <w:rsid w:val="00F54130"/>
    <w:rsid w:val="00F5631D"/>
    <w:rsid w:val="00F573E9"/>
    <w:rsid w:val="00F6030D"/>
    <w:rsid w:val="00F60E50"/>
    <w:rsid w:val="00F60FA1"/>
    <w:rsid w:val="00F6115D"/>
    <w:rsid w:val="00F61631"/>
    <w:rsid w:val="00F61B9C"/>
    <w:rsid w:val="00F65B18"/>
    <w:rsid w:val="00F65CA6"/>
    <w:rsid w:val="00F67008"/>
    <w:rsid w:val="00F67DFF"/>
    <w:rsid w:val="00F71268"/>
    <w:rsid w:val="00F7258A"/>
    <w:rsid w:val="00F73082"/>
    <w:rsid w:val="00F7325F"/>
    <w:rsid w:val="00F7378A"/>
    <w:rsid w:val="00F76648"/>
    <w:rsid w:val="00F7690F"/>
    <w:rsid w:val="00F7749D"/>
    <w:rsid w:val="00F77BA5"/>
    <w:rsid w:val="00F807A1"/>
    <w:rsid w:val="00F80C01"/>
    <w:rsid w:val="00F819E5"/>
    <w:rsid w:val="00F81BCF"/>
    <w:rsid w:val="00F824AF"/>
    <w:rsid w:val="00F8285B"/>
    <w:rsid w:val="00F82DA0"/>
    <w:rsid w:val="00F85A5D"/>
    <w:rsid w:val="00F85AAB"/>
    <w:rsid w:val="00F85AC7"/>
    <w:rsid w:val="00F8620A"/>
    <w:rsid w:val="00F86D72"/>
    <w:rsid w:val="00F86E3C"/>
    <w:rsid w:val="00F875D5"/>
    <w:rsid w:val="00F8778B"/>
    <w:rsid w:val="00F878D8"/>
    <w:rsid w:val="00F87DAC"/>
    <w:rsid w:val="00F90D21"/>
    <w:rsid w:val="00F91114"/>
    <w:rsid w:val="00F91428"/>
    <w:rsid w:val="00F91A94"/>
    <w:rsid w:val="00F91D8F"/>
    <w:rsid w:val="00F93475"/>
    <w:rsid w:val="00F935F2"/>
    <w:rsid w:val="00F93BB5"/>
    <w:rsid w:val="00F93F82"/>
    <w:rsid w:val="00F94C72"/>
    <w:rsid w:val="00F954B1"/>
    <w:rsid w:val="00F963DE"/>
    <w:rsid w:val="00F9647F"/>
    <w:rsid w:val="00F96F2D"/>
    <w:rsid w:val="00F97808"/>
    <w:rsid w:val="00FA015D"/>
    <w:rsid w:val="00FA09DE"/>
    <w:rsid w:val="00FA1EFF"/>
    <w:rsid w:val="00FA239E"/>
    <w:rsid w:val="00FA3281"/>
    <w:rsid w:val="00FA3889"/>
    <w:rsid w:val="00FA565A"/>
    <w:rsid w:val="00FA5A73"/>
    <w:rsid w:val="00FA5F8A"/>
    <w:rsid w:val="00FA61E2"/>
    <w:rsid w:val="00FA639A"/>
    <w:rsid w:val="00FA65FE"/>
    <w:rsid w:val="00FA68B9"/>
    <w:rsid w:val="00FA6CF6"/>
    <w:rsid w:val="00FA7C53"/>
    <w:rsid w:val="00FB0339"/>
    <w:rsid w:val="00FB1042"/>
    <w:rsid w:val="00FB1610"/>
    <w:rsid w:val="00FB17FD"/>
    <w:rsid w:val="00FB1924"/>
    <w:rsid w:val="00FB1AFF"/>
    <w:rsid w:val="00FB1B8A"/>
    <w:rsid w:val="00FB2074"/>
    <w:rsid w:val="00FB2385"/>
    <w:rsid w:val="00FB25ED"/>
    <w:rsid w:val="00FB374F"/>
    <w:rsid w:val="00FB3B1F"/>
    <w:rsid w:val="00FB470F"/>
    <w:rsid w:val="00FB5567"/>
    <w:rsid w:val="00FB5A8A"/>
    <w:rsid w:val="00FB692C"/>
    <w:rsid w:val="00FB7CFE"/>
    <w:rsid w:val="00FB7D37"/>
    <w:rsid w:val="00FC0E48"/>
    <w:rsid w:val="00FC101A"/>
    <w:rsid w:val="00FC10BE"/>
    <w:rsid w:val="00FC1868"/>
    <w:rsid w:val="00FC18EA"/>
    <w:rsid w:val="00FC1C82"/>
    <w:rsid w:val="00FC1CE7"/>
    <w:rsid w:val="00FC2337"/>
    <w:rsid w:val="00FC2E8E"/>
    <w:rsid w:val="00FC2F35"/>
    <w:rsid w:val="00FC3863"/>
    <w:rsid w:val="00FC41D8"/>
    <w:rsid w:val="00FC4E52"/>
    <w:rsid w:val="00FC50F5"/>
    <w:rsid w:val="00FC6336"/>
    <w:rsid w:val="00FC71DE"/>
    <w:rsid w:val="00FC7772"/>
    <w:rsid w:val="00FC7BA3"/>
    <w:rsid w:val="00FD0116"/>
    <w:rsid w:val="00FD09D8"/>
    <w:rsid w:val="00FD1C75"/>
    <w:rsid w:val="00FD27BB"/>
    <w:rsid w:val="00FD2ABD"/>
    <w:rsid w:val="00FD2DF4"/>
    <w:rsid w:val="00FD2F2F"/>
    <w:rsid w:val="00FD38AF"/>
    <w:rsid w:val="00FD3D0F"/>
    <w:rsid w:val="00FD5AA4"/>
    <w:rsid w:val="00FD6B3F"/>
    <w:rsid w:val="00FD7771"/>
    <w:rsid w:val="00FD7A9D"/>
    <w:rsid w:val="00FE1351"/>
    <w:rsid w:val="00FE23FC"/>
    <w:rsid w:val="00FE2EFA"/>
    <w:rsid w:val="00FE34ED"/>
    <w:rsid w:val="00FE3566"/>
    <w:rsid w:val="00FE3E55"/>
    <w:rsid w:val="00FE5094"/>
    <w:rsid w:val="00FE656E"/>
    <w:rsid w:val="00FE6B61"/>
    <w:rsid w:val="00FE6E64"/>
    <w:rsid w:val="00FE75D4"/>
    <w:rsid w:val="00FE7903"/>
    <w:rsid w:val="00FE7CD0"/>
    <w:rsid w:val="00FF0FD7"/>
    <w:rsid w:val="00FF1E67"/>
    <w:rsid w:val="00FF2064"/>
    <w:rsid w:val="00FF2885"/>
    <w:rsid w:val="00FF410E"/>
    <w:rsid w:val="00FF42B6"/>
    <w:rsid w:val="00FF441E"/>
    <w:rsid w:val="00FF4697"/>
    <w:rsid w:val="00FF497F"/>
    <w:rsid w:val="00FF50B1"/>
    <w:rsid w:val="00FF669B"/>
    <w:rsid w:val="00FF6A3A"/>
    <w:rsid w:val="00FF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16920F"/>
  <w15:docId w15:val="{3CDD4963-FAA2-4F1D-A23F-51092C91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30"/>
    <w:pPr>
      <w:spacing w:after="120"/>
      <w:jc w:val="both"/>
    </w:pPr>
    <w:rPr>
      <w:rFonts w:ascii="Arial" w:hAnsi="Arial"/>
      <w:sz w:val="18"/>
      <w:lang w:val="nl-NL" w:eastAsia="en-US"/>
    </w:rPr>
  </w:style>
  <w:style w:type="paragraph" w:styleId="Heading1">
    <w:name w:val="heading 1"/>
    <w:basedOn w:val="HeadingBase"/>
    <w:next w:val="BodyText"/>
    <w:autoRedefine/>
    <w:qFormat/>
    <w:rsid w:val="003E56EE"/>
    <w:pPr>
      <w:numPr>
        <w:numId w:val="2"/>
      </w:numPr>
      <w:pBdr>
        <w:top w:val="single" w:sz="4" w:space="1" w:color="auto"/>
        <w:left w:val="single" w:sz="4" w:space="4" w:color="auto"/>
        <w:bottom w:val="single" w:sz="4" w:space="1" w:color="auto"/>
        <w:right w:val="single" w:sz="4" w:space="4" w:color="auto"/>
      </w:pBdr>
      <w:shd w:val="solid" w:color="auto" w:fill="auto"/>
      <w:spacing w:before="0" w:after="0" w:line="280" w:lineRule="atLeast"/>
      <w:jc w:val="left"/>
      <w:outlineLvl w:val="0"/>
    </w:pPr>
    <w:rPr>
      <w:rFonts w:cs="Arial"/>
      <w:b/>
      <w:spacing w:val="-10"/>
      <w:position w:val="6"/>
      <w:sz w:val="20"/>
      <w:lang w:val="nl-BE"/>
    </w:rPr>
  </w:style>
  <w:style w:type="paragraph" w:styleId="Heading2">
    <w:name w:val="heading 2"/>
    <w:basedOn w:val="HeadingBase"/>
    <w:next w:val="BodyText"/>
    <w:qFormat/>
    <w:rsid w:val="00884730"/>
    <w:pPr>
      <w:numPr>
        <w:ilvl w:val="1"/>
        <w:numId w:val="2"/>
      </w:numPr>
      <w:outlineLvl w:val="1"/>
    </w:pPr>
    <w:rPr>
      <w:b/>
    </w:rPr>
  </w:style>
  <w:style w:type="paragraph" w:styleId="Heading3">
    <w:name w:val="heading 3"/>
    <w:basedOn w:val="HeadingBase"/>
    <w:next w:val="BodyText"/>
    <w:qFormat/>
    <w:rsid w:val="00E30930"/>
    <w:pPr>
      <w:numPr>
        <w:ilvl w:val="2"/>
        <w:numId w:val="2"/>
      </w:numPr>
      <w:ind w:right="284"/>
      <w:outlineLvl w:val="2"/>
    </w:pPr>
    <w:rPr>
      <w:i/>
    </w:rPr>
  </w:style>
  <w:style w:type="paragraph" w:styleId="Heading4">
    <w:name w:val="heading 4"/>
    <w:basedOn w:val="HeadingBase"/>
    <w:next w:val="BodyText"/>
    <w:qFormat/>
    <w:rsid w:val="00884730"/>
    <w:pPr>
      <w:numPr>
        <w:ilvl w:val="3"/>
        <w:numId w:val="2"/>
      </w:numPr>
      <w:outlineLvl w:val="3"/>
    </w:pPr>
    <w:rPr>
      <w:b/>
      <w:sz w:val="18"/>
    </w:rPr>
  </w:style>
  <w:style w:type="paragraph" w:styleId="Heading5">
    <w:name w:val="heading 5"/>
    <w:basedOn w:val="HeadingBase"/>
    <w:next w:val="BodyText"/>
    <w:qFormat/>
    <w:rsid w:val="00884730"/>
    <w:pPr>
      <w:numPr>
        <w:ilvl w:val="4"/>
        <w:numId w:val="2"/>
      </w:numPr>
      <w:spacing w:before="220" w:after="220"/>
      <w:outlineLvl w:val="4"/>
    </w:pPr>
    <w:rPr>
      <w:rFonts w:ascii="Times New Roman" w:hAnsi="Times New Roman"/>
      <w:i/>
      <w:sz w:val="20"/>
    </w:rPr>
  </w:style>
  <w:style w:type="paragraph" w:styleId="Heading6">
    <w:name w:val="heading 6"/>
    <w:basedOn w:val="HeadingBase"/>
    <w:next w:val="BodyText"/>
    <w:qFormat/>
    <w:rsid w:val="00884730"/>
    <w:pPr>
      <w:numPr>
        <w:ilvl w:val="5"/>
        <w:numId w:val="2"/>
      </w:numPr>
      <w:outlineLvl w:val="5"/>
    </w:pPr>
    <w:rPr>
      <w:rFonts w:ascii="Times New Roman" w:hAnsi="Times New Roman"/>
      <w:i/>
      <w:sz w:val="20"/>
    </w:rPr>
  </w:style>
  <w:style w:type="paragraph" w:styleId="Heading7">
    <w:name w:val="heading 7"/>
    <w:basedOn w:val="HeadingBase"/>
    <w:next w:val="BodyText"/>
    <w:qFormat/>
    <w:rsid w:val="00884730"/>
    <w:pPr>
      <w:numPr>
        <w:ilvl w:val="6"/>
        <w:numId w:val="2"/>
      </w:numPr>
      <w:outlineLvl w:val="6"/>
    </w:pPr>
    <w:rPr>
      <w:rFonts w:ascii="Times New Roman" w:hAnsi="Times New Roman"/>
      <w:sz w:val="20"/>
    </w:rPr>
  </w:style>
  <w:style w:type="paragraph" w:styleId="Heading8">
    <w:name w:val="heading 8"/>
    <w:basedOn w:val="HeadingBase"/>
    <w:next w:val="BodyText"/>
    <w:qFormat/>
    <w:rsid w:val="00884730"/>
    <w:pPr>
      <w:numPr>
        <w:ilvl w:val="7"/>
        <w:numId w:val="2"/>
      </w:numPr>
      <w:outlineLvl w:val="7"/>
    </w:pPr>
    <w:rPr>
      <w:i/>
      <w:sz w:val="18"/>
    </w:rPr>
  </w:style>
  <w:style w:type="paragraph" w:styleId="Heading9">
    <w:name w:val="heading 9"/>
    <w:basedOn w:val="HeadingBase"/>
    <w:next w:val="BodyText"/>
    <w:qFormat/>
    <w:rsid w:val="00884730"/>
    <w:pPr>
      <w:numPr>
        <w:ilvl w:val="8"/>
        <w:numId w:val="2"/>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884730"/>
    <w:pPr>
      <w:keepNext/>
      <w:keepLines/>
      <w:spacing w:before="140" w:line="220" w:lineRule="atLeast"/>
    </w:pPr>
    <w:rPr>
      <w:spacing w:val="-4"/>
      <w:kern w:val="28"/>
      <w:sz w:val="22"/>
    </w:rPr>
  </w:style>
  <w:style w:type="paragraph" w:styleId="BodyText">
    <w:name w:val="Body Text"/>
    <w:basedOn w:val="Normal"/>
    <w:link w:val="BodyTextChar"/>
    <w:rsid w:val="00884730"/>
    <w:pPr>
      <w:spacing w:line="220" w:lineRule="atLeast"/>
    </w:pPr>
  </w:style>
  <w:style w:type="paragraph" w:customStyle="1" w:styleId="FootnoteBase">
    <w:name w:val="Footnote Base"/>
    <w:basedOn w:val="Normal"/>
    <w:link w:val="FootnoteBaseChar"/>
    <w:rsid w:val="00884730"/>
    <w:pPr>
      <w:keepLines/>
      <w:spacing w:line="220" w:lineRule="atLeast"/>
    </w:pPr>
  </w:style>
  <w:style w:type="paragraph" w:customStyle="1" w:styleId="BlockQuotation">
    <w:name w:val="Block Quotation"/>
    <w:basedOn w:val="BodyText"/>
    <w:rsid w:val="00884730"/>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884730"/>
    <w:pPr>
      <w:keepNext/>
    </w:pPr>
  </w:style>
  <w:style w:type="paragraph" w:styleId="Caption">
    <w:name w:val="caption"/>
    <w:basedOn w:val="Picture"/>
    <w:next w:val="BodyText"/>
    <w:qFormat/>
    <w:rsid w:val="00884730"/>
    <w:pPr>
      <w:spacing w:before="60" w:after="220" w:line="220" w:lineRule="atLeast"/>
      <w:ind w:left="1800"/>
    </w:pPr>
    <w:rPr>
      <w:i/>
    </w:rPr>
  </w:style>
  <w:style w:type="paragraph" w:customStyle="1" w:styleId="Picture">
    <w:name w:val="Picture"/>
    <w:basedOn w:val="Normal"/>
    <w:next w:val="Caption"/>
    <w:rsid w:val="00884730"/>
    <w:pPr>
      <w:keepNext/>
    </w:pPr>
  </w:style>
  <w:style w:type="paragraph" w:customStyle="1" w:styleId="DocumentLabel">
    <w:name w:val="Document Label"/>
    <w:basedOn w:val="HeadingBase"/>
    <w:next w:val="BodyText"/>
    <w:rsid w:val="00884730"/>
    <w:pPr>
      <w:spacing w:before="160"/>
    </w:pPr>
    <w:rPr>
      <w:rFonts w:ascii="Times New Roman" w:hAnsi="Times New Roman"/>
      <w:spacing w:val="-30"/>
      <w:sz w:val="60"/>
    </w:rPr>
  </w:style>
  <w:style w:type="character" w:styleId="EndnoteReference">
    <w:name w:val="endnote reference"/>
    <w:basedOn w:val="DefaultParagraphFont"/>
    <w:semiHidden/>
    <w:rsid w:val="00884730"/>
    <w:rPr>
      <w:b/>
      <w:vertAlign w:val="superscript"/>
    </w:rPr>
  </w:style>
  <w:style w:type="paragraph" w:styleId="EndnoteText">
    <w:name w:val="endnote text"/>
    <w:basedOn w:val="FootnoteBase"/>
    <w:semiHidden/>
    <w:rsid w:val="00884730"/>
  </w:style>
  <w:style w:type="paragraph" w:styleId="Footer">
    <w:name w:val="footer"/>
    <w:basedOn w:val="HeaderBase"/>
    <w:rsid w:val="00884730"/>
    <w:pPr>
      <w:ind w:left="0"/>
    </w:pPr>
  </w:style>
  <w:style w:type="paragraph" w:customStyle="1" w:styleId="HeaderBase">
    <w:name w:val="Header Base"/>
    <w:basedOn w:val="Normal"/>
    <w:rsid w:val="00884730"/>
    <w:pPr>
      <w:keepLines/>
      <w:tabs>
        <w:tab w:val="center" w:pos="4320"/>
        <w:tab w:val="right" w:pos="8640"/>
      </w:tabs>
      <w:ind w:left="-284"/>
    </w:pPr>
    <w:rPr>
      <w:spacing w:val="-4"/>
    </w:rPr>
  </w:style>
  <w:style w:type="character" w:styleId="FootnoteReference">
    <w:name w:val="footnote reference"/>
    <w:basedOn w:val="DefaultParagraphFont"/>
    <w:uiPriority w:val="99"/>
    <w:rsid w:val="00884730"/>
    <w:rPr>
      <w:vertAlign w:val="superscript"/>
    </w:rPr>
  </w:style>
  <w:style w:type="paragraph" w:styleId="FootnoteText">
    <w:name w:val="footnote text"/>
    <w:basedOn w:val="FootnoteBase"/>
    <w:link w:val="FootnoteTextChar"/>
    <w:uiPriority w:val="99"/>
    <w:rsid w:val="00884730"/>
    <w:rPr>
      <w:sz w:val="14"/>
    </w:rPr>
  </w:style>
  <w:style w:type="paragraph" w:styleId="Header">
    <w:name w:val="header"/>
    <w:basedOn w:val="HeaderBase"/>
    <w:rsid w:val="00884730"/>
    <w:pPr>
      <w:ind w:left="0"/>
    </w:pPr>
  </w:style>
  <w:style w:type="paragraph" w:styleId="Index1">
    <w:name w:val="index 1"/>
    <w:basedOn w:val="IndexBase"/>
    <w:semiHidden/>
    <w:rsid w:val="00884730"/>
    <w:pPr>
      <w:tabs>
        <w:tab w:val="right" w:pos="4080"/>
      </w:tabs>
      <w:ind w:hanging="360"/>
    </w:pPr>
  </w:style>
  <w:style w:type="paragraph" w:customStyle="1" w:styleId="IndexBase">
    <w:name w:val="Index Base"/>
    <w:basedOn w:val="Normal"/>
    <w:rsid w:val="00884730"/>
    <w:pPr>
      <w:spacing w:line="220" w:lineRule="atLeast"/>
      <w:ind w:left="360"/>
    </w:pPr>
  </w:style>
  <w:style w:type="paragraph" w:styleId="Index2">
    <w:name w:val="index 2"/>
    <w:basedOn w:val="IndexBase"/>
    <w:semiHidden/>
    <w:rsid w:val="00884730"/>
    <w:pPr>
      <w:tabs>
        <w:tab w:val="right" w:pos="4080"/>
      </w:tabs>
      <w:ind w:left="720" w:hanging="360"/>
    </w:pPr>
  </w:style>
  <w:style w:type="paragraph" w:styleId="Index3">
    <w:name w:val="index 3"/>
    <w:basedOn w:val="IndexBase"/>
    <w:semiHidden/>
    <w:rsid w:val="00884730"/>
    <w:pPr>
      <w:tabs>
        <w:tab w:val="right" w:pos="4080"/>
      </w:tabs>
      <w:ind w:left="720" w:hanging="360"/>
    </w:pPr>
  </w:style>
  <w:style w:type="paragraph" w:styleId="Index4">
    <w:name w:val="index 4"/>
    <w:basedOn w:val="IndexBase"/>
    <w:semiHidden/>
    <w:rsid w:val="00884730"/>
    <w:pPr>
      <w:tabs>
        <w:tab w:val="right" w:pos="4080"/>
      </w:tabs>
      <w:ind w:left="720" w:hanging="360"/>
    </w:pPr>
  </w:style>
  <w:style w:type="paragraph" w:styleId="Index5">
    <w:name w:val="index 5"/>
    <w:basedOn w:val="IndexBase"/>
    <w:semiHidden/>
    <w:rsid w:val="00884730"/>
    <w:pPr>
      <w:tabs>
        <w:tab w:val="right" w:pos="4080"/>
      </w:tabs>
      <w:ind w:left="720" w:hanging="360"/>
    </w:pPr>
  </w:style>
  <w:style w:type="paragraph" w:styleId="IndexHeading">
    <w:name w:val="index heading"/>
    <w:basedOn w:val="HeadingBase"/>
    <w:next w:val="Index1"/>
    <w:semiHidden/>
    <w:rsid w:val="00884730"/>
    <w:pPr>
      <w:keepLines w:val="0"/>
      <w:spacing w:before="440"/>
    </w:pPr>
    <w:rPr>
      <w:b/>
      <w:caps/>
      <w:spacing w:val="0"/>
      <w:kern w:val="0"/>
      <w:sz w:val="24"/>
    </w:rPr>
  </w:style>
  <w:style w:type="paragraph" w:customStyle="1" w:styleId="SectionHeading">
    <w:name w:val="Section Heading"/>
    <w:basedOn w:val="Heading1"/>
    <w:rsid w:val="00884730"/>
  </w:style>
  <w:style w:type="character" w:customStyle="1" w:styleId="Lead-inEmphasis">
    <w:name w:val="Lead-in Emphasis"/>
    <w:rsid w:val="00884730"/>
    <w:rPr>
      <w:rFonts w:ascii="Arial" w:hAnsi="Arial"/>
      <w:b/>
      <w:spacing w:val="-4"/>
    </w:rPr>
  </w:style>
  <w:style w:type="character" w:styleId="LineNumber">
    <w:name w:val="line number"/>
    <w:basedOn w:val="DefaultParagraphFont"/>
    <w:rsid w:val="00884730"/>
    <w:rPr>
      <w:sz w:val="18"/>
    </w:rPr>
  </w:style>
  <w:style w:type="paragraph" w:styleId="List">
    <w:name w:val="List"/>
    <w:basedOn w:val="BodyText"/>
    <w:rsid w:val="00884730"/>
    <w:pPr>
      <w:ind w:left="1440" w:hanging="360"/>
    </w:pPr>
  </w:style>
  <w:style w:type="paragraph" w:styleId="ListBullet">
    <w:name w:val="List Bullet"/>
    <w:basedOn w:val="List"/>
    <w:rsid w:val="00884730"/>
    <w:pPr>
      <w:numPr>
        <w:numId w:val="1"/>
      </w:numPr>
      <w:ind w:right="720"/>
    </w:pPr>
  </w:style>
  <w:style w:type="paragraph" w:styleId="ListNumber">
    <w:name w:val="List Number"/>
    <w:basedOn w:val="List"/>
    <w:rsid w:val="00884730"/>
    <w:pPr>
      <w:ind w:left="1800" w:right="720"/>
    </w:pPr>
  </w:style>
  <w:style w:type="paragraph" w:styleId="MacroText">
    <w:name w:val="macro"/>
    <w:basedOn w:val="Normal"/>
    <w:semiHidden/>
    <w:rsid w:val="00884730"/>
    <w:rPr>
      <w:rFonts w:ascii="Courier New" w:hAnsi="Courier New"/>
    </w:rPr>
  </w:style>
  <w:style w:type="character" w:styleId="PageNumber">
    <w:name w:val="page number"/>
    <w:basedOn w:val="DefaultParagraphFont"/>
    <w:rsid w:val="00884730"/>
    <w:rPr>
      <w:rFonts w:ascii="Arial" w:hAnsi="Arial"/>
      <w:b/>
      <w:sz w:val="18"/>
    </w:rPr>
  </w:style>
  <w:style w:type="paragraph" w:customStyle="1" w:styleId="SubtitleCover">
    <w:name w:val="Subtitle Cover"/>
    <w:basedOn w:val="TitleCover"/>
    <w:next w:val="BodyText"/>
    <w:rsid w:val="00884730"/>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884730"/>
    <w:pPr>
      <w:spacing w:before="1800" w:line="240" w:lineRule="atLeast"/>
    </w:pPr>
    <w:rPr>
      <w:b/>
      <w:spacing w:val="-48"/>
      <w:sz w:val="72"/>
    </w:rPr>
  </w:style>
  <w:style w:type="character" w:customStyle="1" w:styleId="Superscript">
    <w:name w:val="Superscript"/>
    <w:rsid w:val="00884730"/>
    <w:rPr>
      <w:b/>
      <w:vertAlign w:val="superscript"/>
    </w:rPr>
  </w:style>
  <w:style w:type="paragraph" w:customStyle="1" w:styleId="TOCBase">
    <w:name w:val="TOC Base"/>
    <w:basedOn w:val="Normal"/>
    <w:rsid w:val="00884730"/>
    <w:pPr>
      <w:tabs>
        <w:tab w:val="right" w:leader="dot" w:pos="6480"/>
      </w:tabs>
      <w:spacing w:after="220" w:line="220" w:lineRule="atLeast"/>
    </w:pPr>
  </w:style>
  <w:style w:type="paragraph" w:styleId="TableofFigures">
    <w:name w:val="table of figures"/>
    <w:basedOn w:val="TOCBase"/>
    <w:semiHidden/>
    <w:rsid w:val="00884730"/>
    <w:pPr>
      <w:ind w:left="1440" w:hanging="360"/>
    </w:pPr>
  </w:style>
  <w:style w:type="paragraph" w:styleId="TOC1">
    <w:name w:val="toc 1"/>
    <w:basedOn w:val="TOCBase"/>
    <w:uiPriority w:val="39"/>
    <w:rsid w:val="00884730"/>
    <w:pPr>
      <w:tabs>
        <w:tab w:val="clear" w:pos="6480"/>
      </w:tabs>
      <w:spacing w:before="120" w:after="120" w:line="240" w:lineRule="auto"/>
      <w:jc w:val="left"/>
    </w:pPr>
    <w:rPr>
      <w:b/>
      <w:sz w:val="22"/>
    </w:rPr>
  </w:style>
  <w:style w:type="paragraph" w:styleId="TOC2">
    <w:name w:val="toc 2"/>
    <w:basedOn w:val="TOCBase"/>
    <w:uiPriority w:val="39"/>
    <w:rsid w:val="00884730"/>
    <w:pPr>
      <w:tabs>
        <w:tab w:val="clear" w:pos="6480"/>
      </w:tabs>
      <w:spacing w:after="0" w:line="240" w:lineRule="auto"/>
      <w:ind w:left="180"/>
      <w:jc w:val="left"/>
    </w:pPr>
    <w:rPr>
      <w:sz w:val="20"/>
    </w:rPr>
  </w:style>
  <w:style w:type="paragraph" w:styleId="TOC3">
    <w:name w:val="toc 3"/>
    <w:basedOn w:val="TOCBase"/>
    <w:semiHidden/>
    <w:rsid w:val="00884730"/>
    <w:pPr>
      <w:tabs>
        <w:tab w:val="clear" w:pos="6480"/>
      </w:tabs>
      <w:spacing w:after="0" w:line="240" w:lineRule="auto"/>
      <w:ind w:left="360"/>
      <w:jc w:val="left"/>
    </w:pPr>
  </w:style>
  <w:style w:type="paragraph" w:styleId="TOC4">
    <w:name w:val="toc 4"/>
    <w:basedOn w:val="TOCBase"/>
    <w:semiHidden/>
    <w:rsid w:val="00884730"/>
    <w:pPr>
      <w:tabs>
        <w:tab w:val="clear" w:pos="6480"/>
      </w:tabs>
      <w:spacing w:after="0" w:line="240" w:lineRule="auto"/>
      <w:ind w:left="540"/>
      <w:jc w:val="left"/>
    </w:pPr>
    <w:rPr>
      <w:sz w:val="16"/>
    </w:rPr>
  </w:style>
  <w:style w:type="paragraph" w:styleId="TOC5">
    <w:name w:val="toc 5"/>
    <w:basedOn w:val="TOCBase"/>
    <w:semiHidden/>
    <w:rsid w:val="00884730"/>
    <w:pPr>
      <w:tabs>
        <w:tab w:val="clear" w:pos="6480"/>
      </w:tabs>
      <w:spacing w:after="0" w:line="240" w:lineRule="auto"/>
      <w:ind w:left="720"/>
      <w:jc w:val="left"/>
    </w:pPr>
    <w:rPr>
      <w:rFonts w:ascii="Times New Roman" w:hAnsi="Times New Roman"/>
    </w:rPr>
  </w:style>
  <w:style w:type="paragraph" w:customStyle="1" w:styleId="SectionLabel">
    <w:name w:val="Section Label"/>
    <w:basedOn w:val="HeadingBase"/>
    <w:next w:val="BodyText"/>
    <w:rsid w:val="00884730"/>
    <w:pPr>
      <w:spacing w:before="400" w:after="440"/>
    </w:pPr>
    <w:rPr>
      <w:rFonts w:ascii="Times New Roman" w:hAnsi="Times New Roman"/>
      <w:spacing w:val="-30"/>
      <w:sz w:val="60"/>
    </w:rPr>
  </w:style>
  <w:style w:type="paragraph" w:customStyle="1" w:styleId="FooterFirst">
    <w:name w:val="Footer First"/>
    <w:basedOn w:val="Footer"/>
    <w:rsid w:val="00884730"/>
    <w:pPr>
      <w:pBdr>
        <w:bottom w:val="single" w:sz="6" w:space="1" w:color="auto"/>
      </w:pBdr>
      <w:spacing w:before="600"/>
    </w:pPr>
    <w:rPr>
      <w:b/>
    </w:rPr>
  </w:style>
  <w:style w:type="paragraph" w:customStyle="1" w:styleId="FooterEven">
    <w:name w:val="Footer Even"/>
    <w:basedOn w:val="Footer"/>
    <w:rsid w:val="00884730"/>
    <w:pPr>
      <w:pBdr>
        <w:bottom w:val="single" w:sz="6" w:space="1" w:color="auto"/>
      </w:pBdr>
      <w:spacing w:before="600"/>
    </w:pPr>
    <w:rPr>
      <w:b/>
    </w:rPr>
  </w:style>
  <w:style w:type="paragraph" w:customStyle="1" w:styleId="FooterOdd">
    <w:name w:val="Footer Odd"/>
    <w:basedOn w:val="Footer"/>
    <w:rsid w:val="00884730"/>
    <w:pPr>
      <w:pBdr>
        <w:bottom w:val="single" w:sz="6" w:space="1" w:color="auto"/>
      </w:pBdr>
      <w:spacing w:before="600"/>
    </w:pPr>
    <w:rPr>
      <w:b/>
    </w:rPr>
  </w:style>
  <w:style w:type="paragraph" w:customStyle="1" w:styleId="HeaderFirst">
    <w:name w:val="Header First"/>
    <w:basedOn w:val="Header"/>
    <w:rsid w:val="00884730"/>
  </w:style>
  <w:style w:type="paragraph" w:customStyle="1" w:styleId="HeaderEven">
    <w:name w:val="Header Even"/>
    <w:basedOn w:val="Header"/>
    <w:rsid w:val="00884730"/>
  </w:style>
  <w:style w:type="paragraph" w:customStyle="1" w:styleId="HeaderOdd">
    <w:name w:val="Header Odd"/>
    <w:basedOn w:val="Header"/>
    <w:rsid w:val="00884730"/>
  </w:style>
  <w:style w:type="paragraph" w:customStyle="1" w:styleId="ChapterLabel">
    <w:name w:val="Chapter Label"/>
    <w:basedOn w:val="HeadingBase"/>
    <w:next w:val="ChapterTitle"/>
    <w:rsid w:val="00884730"/>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884730"/>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rsid w:val="00884730"/>
    <w:pPr>
      <w:spacing w:before="0" w:line="400" w:lineRule="atLeast"/>
    </w:pPr>
    <w:rPr>
      <w:i/>
      <w:spacing w:val="-14"/>
      <w:sz w:val="34"/>
    </w:rPr>
  </w:style>
  <w:style w:type="paragraph" w:styleId="BodyTextIndent">
    <w:name w:val="Body Text Indent"/>
    <w:basedOn w:val="BodyText"/>
    <w:rsid w:val="00884730"/>
    <w:pPr>
      <w:ind w:left="1440"/>
    </w:pPr>
  </w:style>
  <w:style w:type="paragraph" w:styleId="Subtitle">
    <w:name w:val="Subtitle"/>
    <w:basedOn w:val="Title"/>
    <w:next w:val="BodyText"/>
    <w:qFormat/>
    <w:rsid w:val="00884730"/>
    <w:pPr>
      <w:spacing w:before="0" w:after="160" w:line="400" w:lineRule="atLeast"/>
    </w:pPr>
    <w:rPr>
      <w:i/>
      <w:spacing w:val="-14"/>
      <w:sz w:val="34"/>
    </w:rPr>
  </w:style>
  <w:style w:type="paragraph" w:styleId="Title">
    <w:name w:val="Title"/>
    <w:basedOn w:val="HeadingBase"/>
    <w:next w:val="Subtitle"/>
    <w:qFormat/>
    <w:rsid w:val="00884730"/>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884730"/>
    <w:pPr>
      <w:ind w:left="3240"/>
    </w:pPr>
  </w:style>
  <w:style w:type="paragraph" w:styleId="ListNumber4">
    <w:name w:val="List Number 4"/>
    <w:basedOn w:val="ListNumber"/>
    <w:rsid w:val="00884730"/>
    <w:pPr>
      <w:ind w:left="2880"/>
    </w:pPr>
  </w:style>
  <w:style w:type="paragraph" w:styleId="ListNumber3">
    <w:name w:val="List Number 3"/>
    <w:basedOn w:val="ListNumber"/>
    <w:rsid w:val="00884730"/>
    <w:pPr>
      <w:ind w:left="2520"/>
    </w:pPr>
  </w:style>
  <w:style w:type="paragraph" w:styleId="ListBullet5">
    <w:name w:val="List Bullet 5"/>
    <w:basedOn w:val="ListBullet"/>
    <w:rsid w:val="00884730"/>
    <w:pPr>
      <w:ind w:left="3240"/>
    </w:pPr>
  </w:style>
  <w:style w:type="paragraph" w:styleId="ListBullet4">
    <w:name w:val="List Bullet 4"/>
    <w:basedOn w:val="ListBullet"/>
    <w:rsid w:val="00884730"/>
    <w:pPr>
      <w:ind w:left="2880"/>
    </w:pPr>
  </w:style>
  <w:style w:type="paragraph" w:styleId="ListBullet3">
    <w:name w:val="List Bullet 3"/>
    <w:basedOn w:val="ListBullet"/>
    <w:rsid w:val="00884730"/>
    <w:pPr>
      <w:ind w:left="2520"/>
    </w:pPr>
  </w:style>
  <w:style w:type="paragraph" w:styleId="ListBullet2">
    <w:name w:val="List Bullet 2"/>
    <w:basedOn w:val="ListBullet"/>
    <w:rsid w:val="00884730"/>
    <w:pPr>
      <w:ind w:left="2160"/>
    </w:pPr>
  </w:style>
  <w:style w:type="paragraph" w:styleId="List5">
    <w:name w:val="List 5"/>
    <w:basedOn w:val="List"/>
    <w:rsid w:val="00884730"/>
    <w:pPr>
      <w:ind w:left="2880"/>
    </w:pPr>
  </w:style>
  <w:style w:type="paragraph" w:styleId="List4">
    <w:name w:val="List 4"/>
    <w:basedOn w:val="List"/>
    <w:rsid w:val="00884730"/>
    <w:pPr>
      <w:ind w:left="2520"/>
    </w:pPr>
  </w:style>
  <w:style w:type="paragraph" w:styleId="List3">
    <w:name w:val="List 3"/>
    <w:basedOn w:val="List"/>
    <w:rsid w:val="00884730"/>
    <w:pPr>
      <w:ind w:left="2160"/>
    </w:pPr>
  </w:style>
  <w:style w:type="paragraph" w:styleId="List2">
    <w:name w:val="List 2"/>
    <w:basedOn w:val="List"/>
    <w:rsid w:val="00884730"/>
    <w:pPr>
      <w:ind w:left="1800"/>
    </w:pPr>
  </w:style>
  <w:style w:type="character" w:styleId="Emphasis">
    <w:name w:val="Emphasis"/>
    <w:basedOn w:val="DefaultParagraphFont"/>
    <w:qFormat/>
    <w:rsid w:val="00884730"/>
    <w:rPr>
      <w:rFonts w:ascii="Arial" w:hAnsi="Arial"/>
      <w:b/>
      <w:spacing w:val="-4"/>
    </w:rPr>
  </w:style>
  <w:style w:type="character" w:styleId="CommentReference">
    <w:name w:val="annotation reference"/>
    <w:basedOn w:val="DefaultParagraphFont"/>
    <w:semiHidden/>
    <w:rsid w:val="00884730"/>
    <w:rPr>
      <w:sz w:val="16"/>
    </w:rPr>
  </w:style>
  <w:style w:type="paragraph" w:styleId="CommentText">
    <w:name w:val="annotation text"/>
    <w:basedOn w:val="FootnoteBase"/>
    <w:link w:val="CommentTextChar"/>
    <w:semiHidden/>
    <w:rsid w:val="00884730"/>
  </w:style>
  <w:style w:type="paragraph" w:styleId="ListNumber2">
    <w:name w:val="List Number 2"/>
    <w:basedOn w:val="ListNumber"/>
    <w:rsid w:val="00884730"/>
    <w:pPr>
      <w:ind w:left="2160"/>
    </w:pPr>
  </w:style>
  <w:style w:type="paragraph" w:styleId="ListContinue">
    <w:name w:val="List Continue"/>
    <w:basedOn w:val="List"/>
    <w:rsid w:val="00884730"/>
    <w:pPr>
      <w:ind w:left="1800" w:firstLine="0"/>
    </w:pPr>
  </w:style>
  <w:style w:type="paragraph" w:styleId="ListContinue2">
    <w:name w:val="List Continue 2"/>
    <w:basedOn w:val="ListContinue"/>
    <w:rsid w:val="00884730"/>
    <w:pPr>
      <w:ind w:left="2160"/>
    </w:pPr>
  </w:style>
  <w:style w:type="paragraph" w:styleId="ListContinue3">
    <w:name w:val="List Continue 3"/>
    <w:basedOn w:val="ListContinue"/>
    <w:rsid w:val="00884730"/>
    <w:pPr>
      <w:ind w:left="2520"/>
    </w:pPr>
  </w:style>
  <w:style w:type="paragraph" w:styleId="ListContinue4">
    <w:name w:val="List Continue 4"/>
    <w:basedOn w:val="ListContinue"/>
    <w:rsid w:val="00884730"/>
    <w:pPr>
      <w:ind w:left="2880"/>
    </w:pPr>
  </w:style>
  <w:style w:type="paragraph" w:styleId="ListContinue5">
    <w:name w:val="List Continue 5"/>
    <w:basedOn w:val="ListContinue"/>
    <w:rsid w:val="00884730"/>
    <w:pPr>
      <w:ind w:left="3240"/>
    </w:pPr>
  </w:style>
  <w:style w:type="paragraph" w:styleId="NormalIndent">
    <w:name w:val="Normal Indent"/>
    <w:basedOn w:val="Normal"/>
    <w:rsid w:val="00884730"/>
    <w:pPr>
      <w:ind w:left="1440"/>
    </w:pPr>
  </w:style>
  <w:style w:type="paragraph" w:customStyle="1" w:styleId="ReturnAddress">
    <w:name w:val="Return Address"/>
    <w:basedOn w:val="Normal"/>
    <w:rsid w:val="00884730"/>
    <w:pPr>
      <w:keepLines/>
      <w:framePr w:w="2160" w:h="1200" w:wrap="notBeside" w:vAnchor="page" w:hAnchor="page" w:x="9241" w:y="673" w:anchorLock="1"/>
      <w:spacing w:line="220" w:lineRule="atLeast"/>
    </w:pPr>
    <w:rPr>
      <w:sz w:val="16"/>
    </w:rPr>
  </w:style>
  <w:style w:type="character" w:customStyle="1" w:styleId="Slogan">
    <w:name w:val="Slogan"/>
    <w:basedOn w:val="DefaultParagraphFont"/>
    <w:rsid w:val="00884730"/>
    <w:rPr>
      <w:rFonts w:cs="Times New Roman"/>
      <w:i/>
      <w:spacing w:val="-6"/>
      <w:sz w:val="24"/>
    </w:rPr>
  </w:style>
  <w:style w:type="paragraph" w:customStyle="1" w:styleId="CompanyName">
    <w:name w:val="Company Name"/>
    <w:basedOn w:val="DocumentLabel"/>
    <w:rsid w:val="00884730"/>
    <w:pPr>
      <w:spacing w:before="0"/>
    </w:pPr>
  </w:style>
  <w:style w:type="paragraph" w:customStyle="1" w:styleId="PartLabel">
    <w:name w:val="Part Label"/>
    <w:basedOn w:val="HeadingBase"/>
    <w:next w:val="Normal"/>
    <w:rsid w:val="00884730"/>
    <w:pPr>
      <w:spacing w:before="400" w:after="440"/>
    </w:pPr>
    <w:rPr>
      <w:rFonts w:ascii="Times New Roman" w:hAnsi="Times New Roman"/>
      <w:spacing w:val="-30"/>
      <w:sz w:val="60"/>
    </w:rPr>
  </w:style>
  <w:style w:type="paragraph" w:customStyle="1" w:styleId="PartSubtitle">
    <w:name w:val="Part Subtitle"/>
    <w:basedOn w:val="Normal"/>
    <w:next w:val="BodyText"/>
    <w:rsid w:val="00884730"/>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884730"/>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884730"/>
    <w:pPr>
      <w:tabs>
        <w:tab w:val="right" w:leader="dot" w:pos="7560"/>
      </w:tabs>
      <w:ind w:left="1440" w:hanging="360"/>
    </w:pPr>
  </w:style>
  <w:style w:type="paragraph" w:styleId="TOAHeading">
    <w:name w:val="toa heading"/>
    <w:basedOn w:val="Normal"/>
    <w:next w:val="TableofAuthorities"/>
    <w:semiHidden/>
    <w:rsid w:val="00884730"/>
    <w:pPr>
      <w:keepNext/>
      <w:spacing w:before="240" w:line="360" w:lineRule="exact"/>
    </w:pPr>
    <w:rPr>
      <w:b/>
      <w:kern w:val="28"/>
      <w:sz w:val="28"/>
    </w:rPr>
  </w:style>
  <w:style w:type="paragraph" w:styleId="MessageHeader">
    <w:name w:val="Message Header"/>
    <w:basedOn w:val="BodyText"/>
    <w:rsid w:val="00884730"/>
    <w:pPr>
      <w:keepLines/>
      <w:tabs>
        <w:tab w:val="left" w:pos="3600"/>
        <w:tab w:val="left" w:pos="4680"/>
      </w:tabs>
      <w:spacing w:line="280" w:lineRule="exact"/>
      <w:ind w:right="2160" w:hanging="1080"/>
    </w:pPr>
    <w:rPr>
      <w:sz w:val="22"/>
    </w:rPr>
  </w:style>
  <w:style w:type="paragraph" w:styleId="TOC6">
    <w:name w:val="toc 6"/>
    <w:basedOn w:val="Normal"/>
    <w:next w:val="Normal"/>
    <w:autoRedefine/>
    <w:semiHidden/>
    <w:rsid w:val="00884730"/>
    <w:pPr>
      <w:spacing w:after="0"/>
      <w:ind w:left="900"/>
      <w:jc w:val="left"/>
    </w:pPr>
    <w:rPr>
      <w:rFonts w:ascii="Times New Roman" w:hAnsi="Times New Roman"/>
    </w:rPr>
  </w:style>
  <w:style w:type="paragraph" w:styleId="TOC7">
    <w:name w:val="toc 7"/>
    <w:basedOn w:val="Normal"/>
    <w:next w:val="Normal"/>
    <w:autoRedefine/>
    <w:semiHidden/>
    <w:rsid w:val="00884730"/>
    <w:pPr>
      <w:spacing w:after="0"/>
      <w:ind w:left="1080"/>
      <w:jc w:val="left"/>
    </w:pPr>
    <w:rPr>
      <w:rFonts w:ascii="Times New Roman" w:hAnsi="Times New Roman"/>
    </w:rPr>
  </w:style>
  <w:style w:type="paragraph" w:styleId="TOC8">
    <w:name w:val="toc 8"/>
    <w:basedOn w:val="Normal"/>
    <w:next w:val="Normal"/>
    <w:autoRedefine/>
    <w:semiHidden/>
    <w:rsid w:val="00884730"/>
    <w:pPr>
      <w:spacing w:after="0"/>
      <w:ind w:left="1260"/>
      <w:jc w:val="left"/>
    </w:pPr>
    <w:rPr>
      <w:rFonts w:ascii="Times New Roman" w:hAnsi="Times New Roman"/>
    </w:rPr>
  </w:style>
  <w:style w:type="paragraph" w:styleId="TOC9">
    <w:name w:val="toc 9"/>
    <w:basedOn w:val="Normal"/>
    <w:next w:val="Normal"/>
    <w:autoRedefine/>
    <w:semiHidden/>
    <w:rsid w:val="00884730"/>
    <w:pPr>
      <w:spacing w:after="0"/>
      <w:ind w:left="1440"/>
      <w:jc w:val="left"/>
    </w:pPr>
    <w:rPr>
      <w:rFonts w:ascii="Times New Roman" w:hAnsi="Times New Roman"/>
    </w:rPr>
  </w:style>
  <w:style w:type="paragraph" w:styleId="BodyTextIndent2">
    <w:name w:val="Body Text Indent 2"/>
    <w:basedOn w:val="Normal"/>
    <w:rsid w:val="00884730"/>
    <w:pPr>
      <w:ind w:left="1797" w:hanging="357"/>
    </w:pPr>
  </w:style>
  <w:style w:type="paragraph" w:styleId="BodyTextIndent3">
    <w:name w:val="Body Text Indent 3"/>
    <w:basedOn w:val="Normal"/>
    <w:rsid w:val="00884730"/>
    <w:pPr>
      <w:spacing w:before="80"/>
      <w:ind w:left="1797"/>
    </w:pPr>
  </w:style>
  <w:style w:type="paragraph" w:styleId="BodyText2">
    <w:name w:val="Body Text 2"/>
    <w:basedOn w:val="Normal"/>
    <w:rsid w:val="00884730"/>
    <w:pPr>
      <w:jc w:val="left"/>
    </w:pPr>
    <w:rPr>
      <w:color w:val="000000"/>
    </w:rPr>
  </w:style>
  <w:style w:type="paragraph" w:customStyle="1" w:styleId="TekstmetBulletInsprong">
    <w:name w:val="Tekst met Bullet &amp; Insprong"/>
    <w:basedOn w:val="Normal"/>
    <w:rsid w:val="00884730"/>
    <w:pPr>
      <w:tabs>
        <w:tab w:val="left" w:pos="1440"/>
      </w:tabs>
      <w:ind w:left="827" w:hanging="283"/>
      <w:jc w:val="left"/>
    </w:pPr>
    <w:rPr>
      <w:sz w:val="24"/>
      <w:lang w:eastAsia="nl-NL"/>
    </w:rPr>
  </w:style>
  <w:style w:type="paragraph" w:customStyle="1" w:styleId="Standaardtekst">
    <w:name w:val="Standaardtekst"/>
    <w:basedOn w:val="Normal"/>
    <w:rsid w:val="00884730"/>
    <w:pPr>
      <w:spacing w:after="0"/>
      <w:jc w:val="left"/>
    </w:pPr>
    <w:rPr>
      <w:rFonts w:ascii="Times New Roman" w:hAnsi="Times New Roman"/>
      <w:sz w:val="24"/>
      <w:lang w:eastAsia="nl-NL"/>
    </w:rPr>
  </w:style>
  <w:style w:type="paragraph" w:customStyle="1" w:styleId="Voetnoot">
    <w:name w:val="Voetnoot"/>
    <w:basedOn w:val="Normal"/>
    <w:rsid w:val="00884730"/>
    <w:pPr>
      <w:spacing w:after="0" w:line="240" w:lineRule="exact"/>
      <w:ind w:left="453" w:hanging="453"/>
      <w:jc w:val="left"/>
    </w:pPr>
    <w:rPr>
      <w:sz w:val="16"/>
      <w:lang w:eastAsia="nl-NL"/>
    </w:rPr>
  </w:style>
  <w:style w:type="paragraph" w:customStyle="1" w:styleId="Normaal">
    <w:name w:val="Normaal"/>
    <w:basedOn w:val="Normal"/>
    <w:rsid w:val="00884730"/>
    <w:pPr>
      <w:spacing w:after="0"/>
      <w:jc w:val="left"/>
    </w:pPr>
    <w:rPr>
      <w:rFonts w:ascii="Times New Roman" w:hAnsi="Times New Roman"/>
      <w:sz w:val="20"/>
      <w:lang w:eastAsia="nl-NL"/>
    </w:rPr>
  </w:style>
  <w:style w:type="paragraph" w:customStyle="1" w:styleId="Opsommingmetinsprong">
    <w:name w:val="Opsomming met insprong"/>
    <w:basedOn w:val="Normaal"/>
    <w:rsid w:val="00884730"/>
    <w:pPr>
      <w:tabs>
        <w:tab w:val="left" w:pos="725"/>
        <w:tab w:val="left" w:pos="1445"/>
        <w:tab w:val="left" w:pos="2885"/>
        <w:tab w:val="left" w:pos="4325"/>
        <w:tab w:val="left" w:pos="4548"/>
        <w:tab w:val="left" w:pos="5765"/>
      </w:tabs>
      <w:spacing w:line="240" w:lineRule="exact"/>
      <w:ind w:left="510" w:hanging="283"/>
    </w:pPr>
    <w:rPr>
      <w:rFonts w:ascii="Arial" w:hAnsi="Arial"/>
      <w:sz w:val="18"/>
    </w:rPr>
  </w:style>
  <w:style w:type="paragraph" w:styleId="BodyText3">
    <w:name w:val="Body Text 3"/>
    <w:basedOn w:val="Normal"/>
    <w:rsid w:val="00884730"/>
    <w:pPr>
      <w:jc w:val="left"/>
    </w:pPr>
    <w:rPr>
      <w:b/>
    </w:rPr>
  </w:style>
  <w:style w:type="character" w:styleId="Hyperlink">
    <w:name w:val="Hyperlink"/>
    <w:basedOn w:val="DefaultParagraphFont"/>
    <w:uiPriority w:val="99"/>
    <w:rsid w:val="00884730"/>
    <w:rPr>
      <w:rFonts w:cs="Times New Roman"/>
      <w:color w:val="0000FF"/>
      <w:u w:val="single"/>
    </w:rPr>
  </w:style>
  <w:style w:type="paragraph" w:customStyle="1" w:styleId="h">
    <w:name w:val="h"/>
    <w:basedOn w:val="Normal"/>
    <w:rsid w:val="00884730"/>
  </w:style>
  <w:style w:type="character" w:styleId="FollowedHyperlink">
    <w:name w:val="FollowedHyperlink"/>
    <w:basedOn w:val="DefaultParagraphFont"/>
    <w:rsid w:val="00884730"/>
    <w:rPr>
      <w:rFonts w:cs="Times New Roman"/>
      <w:color w:val="800080"/>
      <w:u w:val="single"/>
    </w:rPr>
  </w:style>
  <w:style w:type="paragraph" w:customStyle="1" w:styleId="Inhopgbasis">
    <w:name w:val="Inhopg.basis"/>
    <w:basedOn w:val="Normal"/>
    <w:rsid w:val="00884730"/>
    <w:pPr>
      <w:tabs>
        <w:tab w:val="right" w:leader="dot" w:pos="6480"/>
      </w:tabs>
      <w:spacing w:after="240" w:line="240" w:lineRule="atLeast"/>
    </w:pPr>
    <w:rPr>
      <w:spacing w:val="-5"/>
      <w:sz w:val="20"/>
    </w:rPr>
  </w:style>
  <w:style w:type="paragraph" w:styleId="Salutation">
    <w:name w:val="Salutation"/>
    <w:basedOn w:val="Normal"/>
    <w:next w:val="Normal"/>
    <w:rsid w:val="00884730"/>
    <w:pPr>
      <w:spacing w:after="240"/>
    </w:pPr>
    <w:rPr>
      <w:spacing w:val="-5"/>
      <w:sz w:val="20"/>
    </w:rPr>
  </w:style>
  <w:style w:type="paragraph" w:styleId="z-BottomofForm">
    <w:name w:val="HTML Bottom of Form"/>
    <w:basedOn w:val="Normal"/>
    <w:next w:val="Normal"/>
    <w:hidden/>
    <w:rsid w:val="00884730"/>
    <w:pPr>
      <w:pBdr>
        <w:top w:val="single" w:sz="6" w:space="1" w:color="auto"/>
      </w:pBdr>
      <w:spacing w:after="0"/>
      <w:jc w:val="center"/>
    </w:pPr>
    <w:rPr>
      <w:vanish/>
      <w:sz w:val="16"/>
      <w:szCs w:val="16"/>
    </w:rPr>
  </w:style>
  <w:style w:type="paragraph" w:styleId="z-TopofForm">
    <w:name w:val="HTML Top of Form"/>
    <w:basedOn w:val="Normal"/>
    <w:next w:val="Normal"/>
    <w:hidden/>
    <w:rsid w:val="00884730"/>
    <w:pPr>
      <w:pBdr>
        <w:bottom w:val="single" w:sz="6" w:space="1" w:color="auto"/>
      </w:pBdr>
      <w:spacing w:after="0"/>
      <w:jc w:val="center"/>
    </w:pPr>
    <w:rPr>
      <w:vanish/>
      <w:sz w:val="16"/>
      <w:szCs w:val="16"/>
    </w:rPr>
  </w:style>
  <w:style w:type="paragraph" w:styleId="BlockText">
    <w:name w:val="Block Text"/>
    <w:basedOn w:val="Normal"/>
    <w:rsid w:val="00884730"/>
    <w:pPr>
      <w:spacing w:after="0"/>
      <w:ind w:left="705" w:right="-285" w:hanging="705"/>
      <w:jc w:val="left"/>
    </w:pPr>
    <w:rPr>
      <w:sz w:val="20"/>
    </w:rPr>
  </w:style>
  <w:style w:type="paragraph" w:customStyle="1" w:styleId="LijstNummerPunt">
    <w:name w:val="LijstNummerPunt"/>
    <w:basedOn w:val="Normal"/>
    <w:rsid w:val="00884730"/>
    <w:pPr>
      <w:spacing w:after="0"/>
      <w:ind w:left="283" w:hanging="283"/>
    </w:pPr>
    <w:rPr>
      <w:sz w:val="22"/>
    </w:rPr>
  </w:style>
  <w:style w:type="paragraph" w:customStyle="1" w:styleId="KBCOpsomming2">
    <w:name w:val="KBC Opsomming2"/>
    <w:basedOn w:val="Normal"/>
    <w:rsid w:val="00884730"/>
    <w:pPr>
      <w:numPr>
        <w:ilvl w:val="1"/>
        <w:numId w:val="3"/>
      </w:numPr>
    </w:pPr>
  </w:style>
  <w:style w:type="paragraph" w:styleId="DocumentMap">
    <w:name w:val="Document Map"/>
    <w:basedOn w:val="Normal"/>
    <w:semiHidden/>
    <w:rsid w:val="00884730"/>
    <w:pPr>
      <w:shd w:val="clear" w:color="auto" w:fill="000080"/>
    </w:pPr>
    <w:rPr>
      <w:rFonts w:ascii="Tahoma" w:hAnsi="Tahoma" w:cs="Tahoma"/>
    </w:rPr>
  </w:style>
  <w:style w:type="table" w:styleId="TableGrid">
    <w:name w:val="Table Grid"/>
    <w:basedOn w:val="TableNormal"/>
    <w:rsid w:val="00B12D71"/>
    <w:pPr>
      <w:spacing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2">
    <w:name w:val="K2"/>
    <w:basedOn w:val="BodyText"/>
    <w:rsid w:val="00D83155"/>
  </w:style>
  <w:style w:type="paragraph" w:customStyle="1" w:styleId="PuntKlein">
    <w:name w:val="PuntKlein"/>
    <w:basedOn w:val="Normal"/>
    <w:rsid w:val="005A4C4D"/>
    <w:pPr>
      <w:spacing w:after="0"/>
      <w:jc w:val="left"/>
    </w:pPr>
    <w:rPr>
      <w:sz w:val="20"/>
    </w:rPr>
  </w:style>
  <w:style w:type="paragraph" w:styleId="BalloonText">
    <w:name w:val="Balloon Text"/>
    <w:basedOn w:val="Normal"/>
    <w:link w:val="BalloonTextChar"/>
    <w:rsid w:val="001C2DE1"/>
    <w:pPr>
      <w:spacing w:after="0"/>
    </w:pPr>
    <w:rPr>
      <w:rFonts w:ascii="Tahoma" w:hAnsi="Tahoma" w:cs="Tahoma"/>
      <w:sz w:val="16"/>
      <w:szCs w:val="16"/>
    </w:rPr>
  </w:style>
  <w:style w:type="character" w:customStyle="1" w:styleId="BalloonTextChar">
    <w:name w:val="Balloon Text Char"/>
    <w:basedOn w:val="DefaultParagraphFont"/>
    <w:link w:val="BalloonText"/>
    <w:locked/>
    <w:rsid w:val="001C2DE1"/>
    <w:rPr>
      <w:rFonts w:ascii="Tahoma" w:hAnsi="Tahoma" w:cs="Tahoma"/>
      <w:sz w:val="16"/>
      <w:szCs w:val="16"/>
      <w:lang w:val="nl-NL" w:eastAsia="en-US"/>
    </w:rPr>
  </w:style>
  <w:style w:type="character" w:customStyle="1" w:styleId="BodyTextChar">
    <w:name w:val="Body Text Char"/>
    <w:basedOn w:val="DefaultParagraphFont"/>
    <w:link w:val="BodyText"/>
    <w:locked/>
    <w:rsid w:val="001C2DE1"/>
    <w:rPr>
      <w:rFonts w:ascii="Arial" w:hAnsi="Arial" w:cs="Times New Roman"/>
      <w:sz w:val="18"/>
      <w:lang w:val="nl-NL" w:eastAsia="en-US"/>
    </w:rPr>
  </w:style>
  <w:style w:type="paragraph" w:styleId="ListParagraph">
    <w:name w:val="List Paragraph"/>
    <w:basedOn w:val="Normal"/>
    <w:uiPriority w:val="34"/>
    <w:qFormat/>
    <w:rsid w:val="001C2DE1"/>
    <w:pPr>
      <w:spacing w:after="200" w:line="276" w:lineRule="auto"/>
      <w:ind w:left="720"/>
      <w:contextualSpacing/>
      <w:jc w:val="left"/>
    </w:pPr>
    <w:rPr>
      <w:rFonts w:ascii="Calibri" w:hAnsi="Calibri"/>
      <w:sz w:val="22"/>
      <w:szCs w:val="22"/>
      <w:lang w:val="nl-BE"/>
    </w:rPr>
  </w:style>
  <w:style w:type="table" w:styleId="MediumGrid3-Accent1">
    <w:name w:val="Medium Grid 3 Accent 1"/>
    <w:basedOn w:val="TableNormal"/>
    <w:uiPriority w:val="69"/>
    <w:rsid w:val="00400438"/>
    <w:rPr>
      <w:rFonts w:ascii="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FootnoteTextChar">
    <w:name w:val="Footnote Text Char"/>
    <w:basedOn w:val="DefaultParagraphFont"/>
    <w:link w:val="FootnoteText"/>
    <w:uiPriority w:val="99"/>
    <w:rsid w:val="008519CD"/>
    <w:rPr>
      <w:rFonts w:ascii="Arial" w:hAnsi="Arial"/>
      <w:sz w:val="14"/>
      <w:lang w:val="nl-NL" w:eastAsia="en-US"/>
    </w:rPr>
  </w:style>
  <w:style w:type="paragraph" w:styleId="CommentSubject">
    <w:name w:val="annotation subject"/>
    <w:basedOn w:val="CommentText"/>
    <w:next w:val="CommentText"/>
    <w:link w:val="CommentSubjectChar"/>
    <w:rsid w:val="00375643"/>
    <w:pPr>
      <w:keepLines w:val="0"/>
      <w:spacing w:line="240" w:lineRule="auto"/>
    </w:pPr>
    <w:rPr>
      <w:b/>
      <w:bCs/>
      <w:sz w:val="20"/>
    </w:rPr>
  </w:style>
  <w:style w:type="character" w:customStyle="1" w:styleId="FootnoteBaseChar">
    <w:name w:val="Footnote Base Char"/>
    <w:basedOn w:val="DefaultParagraphFont"/>
    <w:link w:val="FootnoteBase"/>
    <w:rsid w:val="00375643"/>
    <w:rPr>
      <w:rFonts w:ascii="Arial" w:hAnsi="Arial"/>
      <w:sz w:val="18"/>
      <w:lang w:val="nl-NL" w:eastAsia="en-US"/>
    </w:rPr>
  </w:style>
  <w:style w:type="character" w:customStyle="1" w:styleId="CommentTextChar">
    <w:name w:val="Comment Text Char"/>
    <w:basedOn w:val="FootnoteBaseChar"/>
    <w:link w:val="CommentText"/>
    <w:semiHidden/>
    <w:rsid w:val="00375643"/>
    <w:rPr>
      <w:rFonts w:ascii="Arial" w:hAnsi="Arial"/>
      <w:sz w:val="18"/>
      <w:lang w:val="nl-NL" w:eastAsia="en-US"/>
    </w:rPr>
  </w:style>
  <w:style w:type="character" w:customStyle="1" w:styleId="CommentSubjectChar">
    <w:name w:val="Comment Subject Char"/>
    <w:basedOn w:val="CommentTextChar"/>
    <w:link w:val="CommentSubject"/>
    <w:rsid w:val="00375643"/>
    <w:rPr>
      <w:rFonts w:ascii="Arial" w:hAnsi="Arial"/>
      <w:b/>
      <w:bCs/>
      <w:sz w:val="18"/>
      <w:lang w:val="nl-NL" w:eastAsia="en-US"/>
    </w:rPr>
  </w:style>
  <w:style w:type="character" w:styleId="PlaceholderText">
    <w:name w:val="Placeholder Text"/>
    <w:basedOn w:val="DefaultParagraphFont"/>
    <w:uiPriority w:val="99"/>
    <w:semiHidden/>
    <w:rsid w:val="009E7BD4"/>
    <w:rPr>
      <w:color w:val="808080"/>
    </w:rPr>
  </w:style>
  <w:style w:type="table" w:customStyle="1" w:styleId="TableGrid1">
    <w:name w:val="Table Grid1"/>
    <w:basedOn w:val="TableNormal"/>
    <w:next w:val="TableGrid"/>
    <w:rsid w:val="00D1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F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1670401">
      <w:bodyDiv w:val="1"/>
      <w:marLeft w:val="0"/>
      <w:marRight w:val="0"/>
      <w:marTop w:val="0"/>
      <w:marBottom w:val="0"/>
      <w:divBdr>
        <w:top w:val="none" w:sz="0" w:space="0" w:color="auto"/>
        <w:left w:val="none" w:sz="0" w:space="0" w:color="auto"/>
        <w:bottom w:val="none" w:sz="0" w:space="0" w:color="auto"/>
        <w:right w:val="none" w:sz="0" w:space="0" w:color="auto"/>
      </w:divBdr>
    </w:div>
    <w:div w:id="8417159">
      <w:bodyDiv w:val="1"/>
      <w:marLeft w:val="0"/>
      <w:marRight w:val="0"/>
      <w:marTop w:val="0"/>
      <w:marBottom w:val="0"/>
      <w:divBdr>
        <w:top w:val="none" w:sz="0" w:space="0" w:color="auto"/>
        <w:left w:val="none" w:sz="0" w:space="0" w:color="auto"/>
        <w:bottom w:val="none" w:sz="0" w:space="0" w:color="auto"/>
        <w:right w:val="none" w:sz="0" w:space="0" w:color="auto"/>
      </w:divBdr>
    </w:div>
    <w:div w:id="10686920">
      <w:bodyDiv w:val="1"/>
      <w:marLeft w:val="0"/>
      <w:marRight w:val="0"/>
      <w:marTop w:val="0"/>
      <w:marBottom w:val="0"/>
      <w:divBdr>
        <w:top w:val="none" w:sz="0" w:space="0" w:color="auto"/>
        <w:left w:val="none" w:sz="0" w:space="0" w:color="auto"/>
        <w:bottom w:val="none" w:sz="0" w:space="0" w:color="auto"/>
        <w:right w:val="none" w:sz="0" w:space="0" w:color="auto"/>
      </w:divBdr>
    </w:div>
    <w:div w:id="105081487">
      <w:bodyDiv w:val="1"/>
      <w:marLeft w:val="0"/>
      <w:marRight w:val="0"/>
      <w:marTop w:val="0"/>
      <w:marBottom w:val="0"/>
      <w:divBdr>
        <w:top w:val="none" w:sz="0" w:space="0" w:color="auto"/>
        <w:left w:val="none" w:sz="0" w:space="0" w:color="auto"/>
        <w:bottom w:val="none" w:sz="0" w:space="0" w:color="auto"/>
        <w:right w:val="none" w:sz="0" w:space="0" w:color="auto"/>
      </w:divBdr>
    </w:div>
    <w:div w:id="106896319">
      <w:bodyDiv w:val="1"/>
      <w:marLeft w:val="0"/>
      <w:marRight w:val="0"/>
      <w:marTop w:val="0"/>
      <w:marBottom w:val="0"/>
      <w:divBdr>
        <w:top w:val="none" w:sz="0" w:space="0" w:color="auto"/>
        <w:left w:val="none" w:sz="0" w:space="0" w:color="auto"/>
        <w:bottom w:val="none" w:sz="0" w:space="0" w:color="auto"/>
        <w:right w:val="none" w:sz="0" w:space="0" w:color="auto"/>
      </w:divBdr>
    </w:div>
    <w:div w:id="170343088">
      <w:bodyDiv w:val="1"/>
      <w:marLeft w:val="0"/>
      <w:marRight w:val="0"/>
      <w:marTop w:val="0"/>
      <w:marBottom w:val="0"/>
      <w:divBdr>
        <w:top w:val="none" w:sz="0" w:space="0" w:color="auto"/>
        <w:left w:val="none" w:sz="0" w:space="0" w:color="auto"/>
        <w:bottom w:val="none" w:sz="0" w:space="0" w:color="auto"/>
        <w:right w:val="none" w:sz="0" w:space="0" w:color="auto"/>
      </w:divBdr>
    </w:div>
    <w:div w:id="171847276">
      <w:bodyDiv w:val="1"/>
      <w:marLeft w:val="0"/>
      <w:marRight w:val="0"/>
      <w:marTop w:val="0"/>
      <w:marBottom w:val="0"/>
      <w:divBdr>
        <w:top w:val="none" w:sz="0" w:space="0" w:color="auto"/>
        <w:left w:val="none" w:sz="0" w:space="0" w:color="auto"/>
        <w:bottom w:val="none" w:sz="0" w:space="0" w:color="auto"/>
        <w:right w:val="none" w:sz="0" w:space="0" w:color="auto"/>
      </w:divBdr>
      <w:divsChild>
        <w:div w:id="1647780717">
          <w:marLeft w:val="547"/>
          <w:marRight w:val="0"/>
          <w:marTop w:val="0"/>
          <w:marBottom w:val="0"/>
          <w:divBdr>
            <w:top w:val="none" w:sz="0" w:space="0" w:color="auto"/>
            <w:left w:val="none" w:sz="0" w:space="0" w:color="auto"/>
            <w:bottom w:val="none" w:sz="0" w:space="0" w:color="auto"/>
            <w:right w:val="none" w:sz="0" w:space="0" w:color="auto"/>
          </w:divBdr>
        </w:div>
        <w:div w:id="607858230">
          <w:marLeft w:val="1440"/>
          <w:marRight w:val="0"/>
          <w:marTop w:val="0"/>
          <w:marBottom w:val="0"/>
          <w:divBdr>
            <w:top w:val="none" w:sz="0" w:space="0" w:color="auto"/>
            <w:left w:val="none" w:sz="0" w:space="0" w:color="auto"/>
            <w:bottom w:val="none" w:sz="0" w:space="0" w:color="auto"/>
            <w:right w:val="none" w:sz="0" w:space="0" w:color="auto"/>
          </w:divBdr>
        </w:div>
        <w:div w:id="1641106793">
          <w:marLeft w:val="1440"/>
          <w:marRight w:val="0"/>
          <w:marTop w:val="0"/>
          <w:marBottom w:val="0"/>
          <w:divBdr>
            <w:top w:val="none" w:sz="0" w:space="0" w:color="auto"/>
            <w:left w:val="none" w:sz="0" w:space="0" w:color="auto"/>
            <w:bottom w:val="none" w:sz="0" w:space="0" w:color="auto"/>
            <w:right w:val="none" w:sz="0" w:space="0" w:color="auto"/>
          </w:divBdr>
        </w:div>
        <w:div w:id="1290360502">
          <w:marLeft w:val="547"/>
          <w:marRight w:val="0"/>
          <w:marTop w:val="0"/>
          <w:marBottom w:val="0"/>
          <w:divBdr>
            <w:top w:val="none" w:sz="0" w:space="0" w:color="auto"/>
            <w:left w:val="none" w:sz="0" w:space="0" w:color="auto"/>
            <w:bottom w:val="none" w:sz="0" w:space="0" w:color="auto"/>
            <w:right w:val="none" w:sz="0" w:space="0" w:color="auto"/>
          </w:divBdr>
        </w:div>
        <w:div w:id="548424049">
          <w:marLeft w:val="1440"/>
          <w:marRight w:val="0"/>
          <w:marTop w:val="0"/>
          <w:marBottom w:val="0"/>
          <w:divBdr>
            <w:top w:val="none" w:sz="0" w:space="0" w:color="auto"/>
            <w:left w:val="none" w:sz="0" w:space="0" w:color="auto"/>
            <w:bottom w:val="none" w:sz="0" w:space="0" w:color="auto"/>
            <w:right w:val="none" w:sz="0" w:space="0" w:color="auto"/>
          </w:divBdr>
        </w:div>
        <w:div w:id="324627447">
          <w:marLeft w:val="1440"/>
          <w:marRight w:val="0"/>
          <w:marTop w:val="0"/>
          <w:marBottom w:val="0"/>
          <w:divBdr>
            <w:top w:val="none" w:sz="0" w:space="0" w:color="auto"/>
            <w:left w:val="none" w:sz="0" w:space="0" w:color="auto"/>
            <w:bottom w:val="none" w:sz="0" w:space="0" w:color="auto"/>
            <w:right w:val="none" w:sz="0" w:space="0" w:color="auto"/>
          </w:divBdr>
        </w:div>
      </w:divsChild>
    </w:div>
    <w:div w:id="175965032">
      <w:bodyDiv w:val="1"/>
      <w:marLeft w:val="0"/>
      <w:marRight w:val="0"/>
      <w:marTop w:val="0"/>
      <w:marBottom w:val="0"/>
      <w:divBdr>
        <w:top w:val="none" w:sz="0" w:space="0" w:color="auto"/>
        <w:left w:val="none" w:sz="0" w:space="0" w:color="auto"/>
        <w:bottom w:val="none" w:sz="0" w:space="0" w:color="auto"/>
        <w:right w:val="none" w:sz="0" w:space="0" w:color="auto"/>
      </w:divBdr>
    </w:div>
    <w:div w:id="187455449">
      <w:bodyDiv w:val="1"/>
      <w:marLeft w:val="0"/>
      <w:marRight w:val="0"/>
      <w:marTop w:val="0"/>
      <w:marBottom w:val="0"/>
      <w:divBdr>
        <w:top w:val="none" w:sz="0" w:space="0" w:color="auto"/>
        <w:left w:val="none" w:sz="0" w:space="0" w:color="auto"/>
        <w:bottom w:val="none" w:sz="0" w:space="0" w:color="auto"/>
        <w:right w:val="none" w:sz="0" w:space="0" w:color="auto"/>
      </w:divBdr>
    </w:div>
    <w:div w:id="189731751">
      <w:bodyDiv w:val="1"/>
      <w:marLeft w:val="0"/>
      <w:marRight w:val="0"/>
      <w:marTop w:val="0"/>
      <w:marBottom w:val="0"/>
      <w:divBdr>
        <w:top w:val="none" w:sz="0" w:space="0" w:color="auto"/>
        <w:left w:val="none" w:sz="0" w:space="0" w:color="auto"/>
        <w:bottom w:val="none" w:sz="0" w:space="0" w:color="auto"/>
        <w:right w:val="none" w:sz="0" w:space="0" w:color="auto"/>
      </w:divBdr>
    </w:div>
    <w:div w:id="212279027">
      <w:bodyDiv w:val="1"/>
      <w:marLeft w:val="0"/>
      <w:marRight w:val="0"/>
      <w:marTop w:val="0"/>
      <w:marBottom w:val="0"/>
      <w:divBdr>
        <w:top w:val="none" w:sz="0" w:space="0" w:color="auto"/>
        <w:left w:val="none" w:sz="0" w:space="0" w:color="auto"/>
        <w:bottom w:val="none" w:sz="0" w:space="0" w:color="auto"/>
        <w:right w:val="none" w:sz="0" w:space="0" w:color="auto"/>
      </w:divBdr>
    </w:div>
    <w:div w:id="226453685">
      <w:bodyDiv w:val="1"/>
      <w:marLeft w:val="0"/>
      <w:marRight w:val="0"/>
      <w:marTop w:val="0"/>
      <w:marBottom w:val="0"/>
      <w:divBdr>
        <w:top w:val="none" w:sz="0" w:space="0" w:color="auto"/>
        <w:left w:val="none" w:sz="0" w:space="0" w:color="auto"/>
        <w:bottom w:val="none" w:sz="0" w:space="0" w:color="auto"/>
        <w:right w:val="none" w:sz="0" w:space="0" w:color="auto"/>
      </w:divBdr>
    </w:div>
    <w:div w:id="233972867">
      <w:bodyDiv w:val="1"/>
      <w:marLeft w:val="0"/>
      <w:marRight w:val="0"/>
      <w:marTop w:val="0"/>
      <w:marBottom w:val="0"/>
      <w:divBdr>
        <w:top w:val="none" w:sz="0" w:space="0" w:color="auto"/>
        <w:left w:val="none" w:sz="0" w:space="0" w:color="auto"/>
        <w:bottom w:val="none" w:sz="0" w:space="0" w:color="auto"/>
        <w:right w:val="none" w:sz="0" w:space="0" w:color="auto"/>
      </w:divBdr>
    </w:div>
    <w:div w:id="251547824">
      <w:bodyDiv w:val="1"/>
      <w:marLeft w:val="0"/>
      <w:marRight w:val="0"/>
      <w:marTop w:val="0"/>
      <w:marBottom w:val="0"/>
      <w:divBdr>
        <w:top w:val="none" w:sz="0" w:space="0" w:color="auto"/>
        <w:left w:val="none" w:sz="0" w:space="0" w:color="auto"/>
        <w:bottom w:val="none" w:sz="0" w:space="0" w:color="auto"/>
        <w:right w:val="none" w:sz="0" w:space="0" w:color="auto"/>
      </w:divBdr>
    </w:div>
    <w:div w:id="267858805">
      <w:bodyDiv w:val="1"/>
      <w:marLeft w:val="0"/>
      <w:marRight w:val="0"/>
      <w:marTop w:val="0"/>
      <w:marBottom w:val="0"/>
      <w:divBdr>
        <w:top w:val="none" w:sz="0" w:space="0" w:color="auto"/>
        <w:left w:val="none" w:sz="0" w:space="0" w:color="auto"/>
        <w:bottom w:val="none" w:sz="0" w:space="0" w:color="auto"/>
        <w:right w:val="none" w:sz="0" w:space="0" w:color="auto"/>
      </w:divBdr>
    </w:div>
    <w:div w:id="275528323">
      <w:bodyDiv w:val="1"/>
      <w:marLeft w:val="0"/>
      <w:marRight w:val="0"/>
      <w:marTop w:val="0"/>
      <w:marBottom w:val="0"/>
      <w:divBdr>
        <w:top w:val="none" w:sz="0" w:space="0" w:color="auto"/>
        <w:left w:val="none" w:sz="0" w:space="0" w:color="auto"/>
        <w:bottom w:val="none" w:sz="0" w:space="0" w:color="auto"/>
        <w:right w:val="none" w:sz="0" w:space="0" w:color="auto"/>
      </w:divBdr>
    </w:div>
    <w:div w:id="324087509">
      <w:bodyDiv w:val="1"/>
      <w:marLeft w:val="0"/>
      <w:marRight w:val="0"/>
      <w:marTop w:val="0"/>
      <w:marBottom w:val="0"/>
      <w:divBdr>
        <w:top w:val="none" w:sz="0" w:space="0" w:color="auto"/>
        <w:left w:val="none" w:sz="0" w:space="0" w:color="auto"/>
        <w:bottom w:val="none" w:sz="0" w:space="0" w:color="auto"/>
        <w:right w:val="none" w:sz="0" w:space="0" w:color="auto"/>
      </w:divBdr>
    </w:div>
    <w:div w:id="324624811">
      <w:bodyDiv w:val="1"/>
      <w:marLeft w:val="0"/>
      <w:marRight w:val="0"/>
      <w:marTop w:val="0"/>
      <w:marBottom w:val="0"/>
      <w:divBdr>
        <w:top w:val="none" w:sz="0" w:space="0" w:color="auto"/>
        <w:left w:val="none" w:sz="0" w:space="0" w:color="auto"/>
        <w:bottom w:val="none" w:sz="0" w:space="0" w:color="auto"/>
        <w:right w:val="none" w:sz="0" w:space="0" w:color="auto"/>
      </w:divBdr>
    </w:div>
    <w:div w:id="338241202">
      <w:bodyDiv w:val="1"/>
      <w:marLeft w:val="0"/>
      <w:marRight w:val="0"/>
      <w:marTop w:val="0"/>
      <w:marBottom w:val="0"/>
      <w:divBdr>
        <w:top w:val="none" w:sz="0" w:space="0" w:color="auto"/>
        <w:left w:val="none" w:sz="0" w:space="0" w:color="auto"/>
        <w:bottom w:val="none" w:sz="0" w:space="0" w:color="auto"/>
        <w:right w:val="none" w:sz="0" w:space="0" w:color="auto"/>
      </w:divBdr>
    </w:div>
    <w:div w:id="342516966">
      <w:bodyDiv w:val="1"/>
      <w:marLeft w:val="0"/>
      <w:marRight w:val="0"/>
      <w:marTop w:val="0"/>
      <w:marBottom w:val="0"/>
      <w:divBdr>
        <w:top w:val="none" w:sz="0" w:space="0" w:color="auto"/>
        <w:left w:val="none" w:sz="0" w:space="0" w:color="auto"/>
        <w:bottom w:val="none" w:sz="0" w:space="0" w:color="auto"/>
        <w:right w:val="none" w:sz="0" w:space="0" w:color="auto"/>
      </w:divBdr>
    </w:div>
    <w:div w:id="361175360">
      <w:bodyDiv w:val="1"/>
      <w:marLeft w:val="0"/>
      <w:marRight w:val="0"/>
      <w:marTop w:val="0"/>
      <w:marBottom w:val="0"/>
      <w:divBdr>
        <w:top w:val="none" w:sz="0" w:space="0" w:color="auto"/>
        <w:left w:val="none" w:sz="0" w:space="0" w:color="auto"/>
        <w:bottom w:val="none" w:sz="0" w:space="0" w:color="auto"/>
        <w:right w:val="none" w:sz="0" w:space="0" w:color="auto"/>
      </w:divBdr>
    </w:div>
    <w:div w:id="362903362">
      <w:bodyDiv w:val="1"/>
      <w:marLeft w:val="0"/>
      <w:marRight w:val="0"/>
      <w:marTop w:val="0"/>
      <w:marBottom w:val="0"/>
      <w:divBdr>
        <w:top w:val="none" w:sz="0" w:space="0" w:color="auto"/>
        <w:left w:val="none" w:sz="0" w:space="0" w:color="auto"/>
        <w:bottom w:val="none" w:sz="0" w:space="0" w:color="auto"/>
        <w:right w:val="none" w:sz="0" w:space="0" w:color="auto"/>
      </w:divBdr>
    </w:div>
    <w:div w:id="367068023">
      <w:bodyDiv w:val="1"/>
      <w:marLeft w:val="0"/>
      <w:marRight w:val="0"/>
      <w:marTop w:val="0"/>
      <w:marBottom w:val="0"/>
      <w:divBdr>
        <w:top w:val="none" w:sz="0" w:space="0" w:color="auto"/>
        <w:left w:val="none" w:sz="0" w:space="0" w:color="auto"/>
        <w:bottom w:val="none" w:sz="0" w:space="0" w:color="auto"/>
        <w:right w:val="none" w:sz="0" w:space="0" w:color="auto"/>
      </w:divBdr>
    </w:div>
    <w:div w:id="367343791">
      <w:bodyDiv w:val="1"/>
      <w:marLeft w:val="0"/>
      <w:marRight w:val="0"/>
      <w:marTop w:val="0"/>
      <w:marBottom w:val="0"/>
      <w:divBdr>
        <w:top w:val="none" w:sz="0" w:space="0" w:color="auto"/>
        <w:left w:val="none" w:sz="0" w:space="0" w:color="auto"/>
        <w:bottom w:val="none" w:sz="0" w:space="0" w:color="auto"/>
        <w:right w:val="none" w:sz="0" w:space="0" w:color="auto"/>
      </w:divBdr>
    </w:div>
    <w:div w:id="374547360">
      <w:bodyDiv w:val="1"/>
      <w:marLeft w:val="0"/>
      <w:marRight w:val="0"/>
      <w:marTop w:val="0"/>
      <w:marBottom w:val="0"/>
      <w:divBdr>
        <w:top w:val="none" w:sz="0" w:space="0" w:color="auto"/>
        <w:left w:val="none" w:sz="0" w:space="0" w:color="auto"/>
        <w:bottom w:val="none" w:sz="0" w:space="0" w:color="auto"/>
        <w:right w:val="none" w:sz="0" w:space="0" w:color="auto"/>
      </w:divBdr>
    </w:div>
    <w:div w:id="375784582">
      <w:bodyDiv w:val="1"/>
      <w:marLeft w:val="0"/>
      <w:marRight w:val="0"/>
      <w:marTop w:val="0"/>
      <w:marBottom w:val="0"/>
      <w:divBdr>
        <w:top w:val="none" w:sz="0" w:space="0" w:color="auto"/>
        <w:left w:val="none" w:sz="0" w:space="0" w:color="auto"/>
        <w:bottom w:val="none" w:sz="0" w:space="0" w:color="auto"/>
        <w:right w:val="none" w:sz="0" w:space="0" w:color="auto"/>
      </w:divBdr>
    </w:div>
    <w:div w:id="377051365">
      <w:bodyDiv w:val="1"/>
      <w:marLeft w:val="0"/>
      <w:marRight w:val="0"/>
      <w:marTop w:val="0"/>
      <w:marBottom w:val="0"/>
      <w:divBdr>
        <w:top w:val="none" w:sz="0" w:space="0" w:color="auto"/>
        <w:left w:val="none" w:sz="0" w:space="0" w:color="auto"/>
        <w:bottom w:val="none" w:sz="0" w:space="0" w:color="auto"/>
        <w:right w:val="none" w:sz="0" w:space="0" w:color="auto"/>
      </w:divBdr>
    </w:div>
    <w:div w:id="428046777">
      <w:bodyDiv w:val="1"/>
      <w:marLeft w:val="0"/>
      <w:marRight w:val="0"/>
      <w:marTop w:val="0"/>
      <w:marBottom w:val="0"/>
      <w:divBdr>
        <w:top w:val="none" w:sz="0" w:space="0" w:color="auto"/>
        <w:left w:val="none" w:sz="0" w:space="0" w:color="auto"/>
        <w:bottom w:val="none" w:sz="0" w:space="0" w:color="auto"/>
        <w:right w:val="none" w:sz="0" w:space="0" w:color="auto"/>
      </w:divBdr>
    </w:div>
    <w:div w:id="454448525">
      <w:bodyDiv w:val="1"/>
      <w:marLeft w:val="0"/>
      <w:marRight w:val="0"/>
      <w:marTop w:val="0"/>
      <w:marBottom w:val="0"/>
      <w:divBdr>
        <w:top w:val="none" w:sz="0" w:space="0" w:color="auto"/>
        <w:left w:val="none" w:sz="0" w:space="0" w:color="auto"/>
        <w:bottom w:val="none" w:sz="0" w:space="0" w:color="auto"/>
        <w:right w:val="none" w:sz="0" w:space="0" w:color="auto"/>
      </w:divBdr>
    </w:div>
    <w:div w:id="458688826">
      <w:bodyDiv w:val="1"/>
      <w:marLeft w:val="0"/>
      <w:marRight w:val="0"/>
      <w:marTop w:val="0"/>
      <w:marBottom w:val="0"/>
      <w:divBdr>
        <w:top w:val="none" w:sz="0" w:space="0" w:color="auto"/>
        <w:left w:val="none" w:sz="0" w:space="0" w:color="auto"/>
        <w:bottom w:val="none" w:sz="0" w:space="0" w:color="auto"/>
        <w:right w:val="none" w:sz="0" w:space="0" w:color="auto"/>
      </w:divBdr>
    </w:div>
    <w:div w:id="469321750">
      <w:bodyDiv w:val="1"/>
      <w:marLeft w:val="0"/>
      <w:marRight w:val="0"/>
      <w:marTop w:val="0"/>
      <w:marBottom w:val="0"/>
      <w:divBdr>
        <w:top w:val="none" w:sz="0" w:space="0" w:color="auto"/>
        <w:left w:val="none" w:sz="0" w:space="0" w:color="auto"/>
        <w:bottom w:val="none" w:sz="0" w:space="0" w:color="auto"/>
        <w:right w:val="none" w:sz="0" w:space="0" w:color="auto"/>
      </w:divBdr>
    </w:div>
    <w:div w:id="478687844">
      <w:bodyDiv w:val="1"/>
      <w:marLeft w:val="0"/>
      <w:marRight w:val="0"/>
      <w:marTop w:val="0"/>
      <w:marBottom w:val="0"/>
      <w:divBdr>
        <w:top w:val="none" w:sz="0" w:space="0" w:color="auto"/>
        <w:left w:val="none" w:sz="0" w:space="0" w:color="auto"/>
        <w:bottom w:val="none" w:sz="0" w:space="0" w:color="auto"/>
        <w:right w:val="none" w:sz="0" w:space="0" w:color="auto"/>
      </w:divBdr>
    </w:div>
    <w:div w:id="479468715">
      <w:bodyDiv w:val="1"/>
      <w:marLeft w:val="0"/>
      <w:marRight w:val="0"/>
      <w:marTop w:val="0"/>
      <w:marBottom w:val="0"/>
      <w:divBdr>
        <w:top w:val="none" w:sz="0" w:space="0" w:color="auto"/>
        <w:left w:val="none" w:sz="0" w:space="0" w:color="auto"/>
        <w:bottom w:val="none" w:sz="0" w:space="0" w:color="auto"/>
        <w:right w:val="none" w:sz="0" w:space="0" w:color="auto"/>
      </w:divBdr>
    </w:div>
    <w:div w:id="498271415">
      <w:bodyDiv w:val="1"/>
      <w:marLeft w:val="0"/>
      <w:marRight w:val="0"/>
      <w:marTop w:val="0"/>
      <w:marBottom w:val="0"/>
      <w:divBdr>
        <w:top w:val="none" w:sz="0" w:space="0" w:color="auto"/>
        <w:left w:val="none" w:sz="0" w:space="0" w:color="auto"/>
        <w:bottom w:val="none" w:sz="0" w:space="0" w:color="auto"/>
        <w:right w:val="none" w:sz="0" w:space="0" w:color="auto"/>
      </w:divBdr>
    </w:div>
    <w:div w:id="542328339">
      <w:bodyDiv w:val="1"/>
      <w:marLeft w:val="0"/>
      <w:marRight w:val="0"/>
      <w:marTop w:val="0"/>
      <w:marBottom w:val="0"/>
      <w:divBdr>
        <w:top w:val="none" w:sz="0" w:space="0" w:color="auto"/>
        <w:left w:val="none" w:sz="0" w:space="0" w:color="auto"/>
        <w:bottom w:val="none" w:sz="0" w:space="0" w:color="auto"/>
        <w:right w:val="none" w:sz="0" w:space="0" w:color="auto"/>
      </w:divBdr>
    </w:div>
    <w:div w:id="554048013">
      <w:bodyDiv w:val="1"/>
      <w:marLeft w:val="0"/>
      <w:marRight w:val="0"/>
      <w:marTop w:val="0"/>
      <w:marBottom w:val="0"/>
      <w:divBdr>
        <w:top w:val="none" w:sz="0" w:space="0" w:color="auto"/>
        <w:left w:val="none" w:sz="0" w:space="0" w:color="auto"/>
        <w:bottom w:val="none" w:sz="0" w:space="0" w:color="auto"/>
        <w:right w:val="none" w:sz="0" w:space="0" w:color="auto"/>
      </w:divBdr>
    </w:div>
    <w:div w:id="579292681">
      <w:bodyDiv w:val="1"/>
      <w:marLeft w:val="0"/>
      <w:marRight w:val="0"/>
      <w:marTop w:val="0"/>
      <w:marBottom w:val="0"/>
      <w:divBdr>
        <w:top w:val="none" w:sz="0" w:space="0" w:color="auto"/>
        <w:left w:val="none" w:sz="0" w:space="0" w:color="auto"/>
        <w:bottom w:val="none" w:sz="0" w:space="0" w:color="auto"/>
        <w:right w:val="none" w:sz="0" w:space="0" w:color="auto"/>
      </w:divBdr>
    </w:div>
    <w:div w:id="614096603">
      <w:bodyDiv w:val="1"/>
      <w:marLeft w:val="0"/>
      <w:marRight w:val="0"/>
      <w:marTop w:val="0"/>
      <w:marBottom w:val="0"/>
      <w:divBdr>
        <w:top w:val="none" w:sz="0" w:space="0" w:color="auto"/>
        <w:left w:val="none" w:sz="0" w:space="0" w:color="auto"/>
        <w:bottom w:val="none" w:sz="0" w:space="0" w:color="auto"/>
        <w:right w:val="none" w:sz="0" w:space="0" w:color="auto"/>
      </w:divBdr>
    </w:div>
    <w:div w:id="645277200">
      <w:bodyDiv w:val="1"/>
      <w:marLeft w:val="0"/>
      <w:marRight w:val="0"/>
      <w:marTop w:val="0"/>
      <w:marBottom w:val="0"/>
      <w:divBdr>
        <w:top w:val="none" w:sz="0" w:space="0" w:color="auto"/>
        <w:left w:val="none" w:sz="0" w:space="0" w:color="auto"/>
        <w:bottom w:val="none" w:sz="0" w:space="0" w:color="auto"/>
        <w:right w:val="none" w:sz="0" w:space="0" w:color="auto"/>
      </w:divBdr>
    </w:div>
    <w:div w:id="661350736">
      <w:bodyDiv w:val="1"/>
      <w:marLeft w:val="0"/>
      <w:marRight w:val="0"/>
      <w:marTop w:val="0"/>
      <w:marBottom w:val="0"/>
      <w:divBdr>
        <w:top w:val="none" w:sz="0" w:space="0" w:color="auto"/>
        <w:left w:val="none" w:sz="0" w:space="0" w:color="auto"/>
        <w:bottom w:val="none" w:sz="0" w:space="0" w:color="auto"/>
        <w:right w:val="none" w:sz="0" w:space="0" w:color="auto"/>
      </w:divBdr>
    </w:div>
    <w:div w:id="663581776">
      <w:bodyDiv w:val="1"/>
      <w:marLeft w:val="0"/>
      <w:marRight w:val="0"/>
      <w:marTop w:val="0"/>
      <w:marBottom w:val="0"/>
      <w:divBdr>
        <w:top w:val="none" w:sz="0" w:space="0" w:color="auto"/>
        <w:left w:val="none" w:sz="0" w:space="0" w:color="auto"/>
        <w:bottom w:val="none" w:sz="0" w:space="0" w:color="auto"/>
        <w:right w:val="none" w:sz="0" w:space="0" w:color="auto"/>
      </w:divBdr>
    </w:div>
    <w:div w:id="663775957">
      <w:bodyDiv w:val="1"/>
      <w:marLeft w:val="0"/>
      <w:marRight w:val="0"/>
      <w:marTop w:val="0"/>
      <w:marBottom w:val="0"/>
      <w:divBdr>
        <w:top w:val="none" w:sz="0" w:space="0" w:color="auto"/>
        <w:left w:val="none" w:sz="0" w:space="0" w:color="auto"/>
        <w:bottom w:val="none" w:sz="0" w:space="0" w:color="auto"/>
        <w:right w:val="none" w:sz="0" w:space="0" w:color="auto"/>
      </w:divBdr>
    </w:div>
    <w:div w:id="700974658">
      <w:bodyDiv w:val="1"/>
      <w:marLeft w:val="0"/>
      <w:marRight w:val="0"/>
      <w:marTop w:val="0"/>
      <w:marBottom w:val="0"/>
      <w:divBdr>
        <w:top w:val="none" w:sz="0" w:space="0" w:color="auto"/>
        <w:left w:val="none" w:sz="0" w:space="0" w:color="auto"/>
        <w:bottom w:val="none" w:sz="0" w:space="0" w:color="auto"/>
        <w:right w:val="none" w:sz="0" w:space="0" w:color="auto"/>
      </w:divBdr>
    </w:div>
    <w:div w:id="728259906">
      <w:bodyDiv w:val="1"/>
      <w:marLeft w:val="0"/>
      <w:marRight w:val="0"/>
      <w:marTop w:val="0"/>
      <w:marBottom w:val="0"/>
      <w:divBdr>
        <w:top w:val="none" w:sz="0" w:space="0" w:color="auto"/>
        <w:left w:val="none" w:sz="0" w:space="0" w:color="auto"/>
        <w:bottom w:val="none" w:sz="0" w:space="0" w:color="auto"/>
        <w:right w:val="none" w:sz="0" w:space="0" w:color="auto"/>
      </w:divBdr>
    </w:div>
    <w:div w:id="735326584">
      <w:bodyDiv w:val="1"/>
      <w:marLeft w:val="0"/>
      <w:marRight w:val="0"/>
      <w:marTop w:val="0"/>
      <w:marBottom w:val="0"/>
      <w:divBdr>
        <w:top w:val="none" w:sz="0" w:space="0" w:color="auto"/>
        <w:left w:val="none" w:sz="0" w:space="0" w:color="auto"/>
        <w:bottom w:val="none" w:sz="0" w:space="0" w:color="auto"/>
        <w:right w:val="none" w:sz="0" w:space="0" w:color="auto"/>
      </w:divBdr>
    </w:div>
    <w:div w:id="738984608">
      <w:bodyDiv w:val="1"/>
      <w:marLeft w:val="0"/>
      <w:marRight w:val="0"/>
      <w:marTop w:val="0"/>
      <w:marBottom w:val="0"/>
      <w:divBdr>
        <w:top w:val="none" w:sz="0" w:space="0" w:color="auto"/>
        <w:left w:val="none" w:sz="0" w:space="0" w:color="auto"/>
        <w:bottom w:val="none" w:sz="0" w:space="0" w:color="auto"/>
        <w:right w:val="none" w:sz="0" w:space="0" w:color="auto"/>
      </w:divBdr>
    </w:div>
    <w:div w:id="739911753">
      <w:bodyDiv w:val="1"/>
      <w:marLeft w:val="0"/>
      <w:marRight w:val="0"/>
      <w:marTop w:val="0"/>
      <w:marBottom w:val="0"/>
      <w:divBdr>
        <w:top w:val="none" w:sz="0" w:space="0" w:color="auto"/>
        <w:left w:val="none" w:sz="0" w:space="0" w:color="auto"/>
        <w:bottom w:val="none" w:sz="0" w:space="0" w:color="auto"/>
        <w:right w:val="none" w:sz="0" w:space="0" w:color="auto"/>
      </w:divBdr>
    </w:div>
    <w:div w:id="757596437">
      <w:bodyDiv w:val="1"/>
      <w:marLeft w:val="0"/>
      <w:marRight w:val="0"/>
      <w:marTop w:val="0"/>
      <w:marBottom w:val="0"/>
      <w:divBdr>
        <w:top w:val="none" w:sz="0" w:space="0" w:color="auto"/>
        <w:left w:val="none" w:sz="0" w:space="0" w:color="auto"/>
        <w:bottom w:val="none" w:sz="0" w:space="0" w:color="auto"/>
        <w:right w:val="none" w:sz="0" w:space="0" w:color="auto"/>
      </w:divBdr>
    </w:div>
    <w:div w:id="765463717">
      <w:bodyDiv w:val="1"/>
      <w:marLeft w:val="0"/>
      <w:marRight w:val="0"/>
      <w:marTop w:val="0"/>
      <w:marBottom w:val="0"/>
      <w:divBdr>
        <w:top w:val="none" w:sz="0" w:space="0" w:color="auto"/>
        <w:left w:val="none" w:sz="0" w:space="0" w:color="auto"/>
        <w:bottom w:val="none" w:sz="0" w:space="0" w:color="auto"/>
        <w:right w:val="none" w:sz="0" w:space="0" w:color="auto"/>
      </w:divBdr>
    </w:div>
    <w:div w:id="819345747">
      <w:bodyDiv w:val="1"/>
      <w:marLeft w:val="0"/>
      <w:marRight w:val="0"/>
      <w:marTop w:val="0"/>
      <w:marBottom w:val="0"/>
      <w:divBdr>
        <w:top w:val="none" w:sz="0" w:space="0" w:color="auto"/>
        <w:left w:val="none" w:sz="0" w:space="0" w:color="auto"/>
        <w:bottom w:val="none" w:sz="0" w:space="0" w:color="auto"/>
        <w:right w:val="none" w:sz="0" w:space="0" w:color="auto"/>
      </w:divBdr>
    </w:div>
    <w:div w:id="901407192">
      <w:bodyDiv w:val="1"/>
      <w:marLeft w:val="0"/>
      <w:marRight w:val="0"/>
      <w:marTop w:val="0"/>
      <w:marBottom w:val="0"/>
      <w:divBdr>
        <w:top w:val="none" w:sz="0" w:space="0" w:color="auto"/>
        <w:left w:val="none" w:sz="0" w:space="0" w:color="auto"/>
        <w:bottom w:val="none" w:sz="0" w:space="0" w:color="auto"/>
        <w:right w:val="none" w:sz="0" w:space="0" w:color="auto"/>
      </w:divBdr>
    </w:div>
    <w:div w:id="918369381">
      <w:bodyDiv w:val="1"/>
      <w:marLeft w:val="0"/>
      <w:marRight w:val="0"/>
      <w:marTop w:val="0"/>
      <w:marBottom w:val="0"/>
      <w:divBdr>
        <w:top w:val="none" w:sz="0" w:space="0" w:color="auto"/>
        <w:left w:val="none" w:sz="0" w:space="0" w:color="auto"/>
        <w:bottom w:val="none" w:sz="0" w:space="0" w:color="auto"/>
        <w:right w:val="none" w:sz="0" w:space="0" w:color="auto"/>
      </w:divBdr>
    </w:div>
    <w:div w:id="942611065">
      <w:bodyDiv w:val="1"/>
      <w:marLeft w:val="0"/>
      <w:marRight w:val="0"/>
      <w:marTop w:val="0"/>
      <w:marBottom w:val="0"/>
      <w:divBdr>
        <w:top w:val="none" w:sz="0" w:space="0" w:color="auto"/>
        <w:left w:val="none" w:sz="0" w:space="0" w:color="auto"/>
        <w:bottom w:val="none" w:sz="0" w:space="0" w:color="auto"/>
        <w:right w:val="none" w:sz="0" w:space="0" w:color="auto"/>
      </w:divBdr>
    </w:div>
    <w:div w:id="947007949">
      <w:bodyDiv w:val="1"/>
      <w:marLeft w:val="0"/>
      <w:marRight w:val="0"/>
      <w:marTop w:val="0"/>
      <w:marBottom w:val="0"/>
      <w:divBdr>
        <w:top w:val="none" w:sz="0" w:space="0" w:color="auto"/>
        <w:left w:val="none" w:sz="0" w:space="0" w:color="auto"/>
        <w:bottom w:val="none" w:sz="0" w:space="0" w:color="auto"/>
        <w:right w:val="none" w:sz="0" w:space="0" w:color="auto"/>
      </w:divBdr>
    </w:div>
    <w:div w:id="963074507">
      <w:bodyDiv w:val="1"/>
      <w:marLeft w:val="0"/>
      <w:marRight w:val="0"/>
      <w:marTop w:val="0"/>
      <w:marBottom w:val="0"/>
      <w:divBdr>
        <w:top w:val="none" w:sz="0" w:space="0" w:color="auto"/>
        <w:left w:val="none" w:sz="0" w:space="0" w:color="auto"/>
        <w:bottom w:val="none" w:sz="0" w:space="0" w:color="auto"/>
        <w:right w:val="none" w:sz="0" w:space="0" w:color="auto"/>
      </w:divBdr>
    </w:div>
    <w:div w:id="979724294">
      <w:bodyDiv w:val="1"/>
      <w:marLeft w:val="0"/>
      <w:marRight w:val="0"/>
      <w:marTop w:val="0"/>
      <w:marBottom w:val="0"/>
      <w:divBdr>
        <w:top w:val="none" w:sz="0" w:space="0" w:color="auto"/>
        <w:left w:val="none" w:sz="0" w:space="0" w:color="auto"/>
        <w:bottom w:val="none" w:sz="0" w:space="0" w:color="auto"/>
        <w:right w:val="none" w:sz="0" w:space="0" w:color="auto"/>
      </w:divBdr>
    </w:div>
    <w:div w:id="985360136">
      <w:bodyDiv w:val="1"/>
      <w:marLeft w:val="0"/>
      <w:marRight w:val="0"/>
      <w:marTop w:val="0"/>
      <w:marBottom w:val="0"/>
      <w:divBdr>
        <w:top w:val="none" w:sz="0" w:space="0" w:color="auto"/>
        <w:left w:val="none" w:sz="0" w:space="0" w:color="auto"/>
        <w:bottom w:val="none" w:sz="0" w:space="0" w:color="auto"/>
        <w:right w:val="none" w:sz="0" w:space="0" w:color="auto"/>
      </w:divBdr>
    </w:div>
    <w:div w:id="1021589270">
      <w:bodyDiv w:val="1"/>
      <w:marLeft w:val="0"/>
      <w:marRight w:val="0"/>
      <w:marTop w:val="0"/>
      <w:marBottom w:val="0"/>
      <w:divBdr>
        <w:top w:val="none" w:sz="0" w:space="0" w:color="auto"/>
        <w:left w:val="none" w:sz="0" w:space="0" w:color="auto"/>
        <w:bottom w:val="none" w:sz="0" w:space="0" w:color="auto"/>
        <w:right w:val="none" w:sz="0" w:space="0" w:color="auto"/>
      </w:divBdr>
    </w:div>
    <w:div w:id="1024861477">
      <w:bodyDiv w:val="1"/>
      <w:marLeft w:val="0"/>
      <w:marRight w:val="0"/>
      <w:marTop w:val="0"/>
      <w:marBottom w:val="0"/>
      <w:divBdr>
        <w:top w:val="none" w:sz="0" w:space="0" w:color="auto"/>
        <w:left w:val="none" w:sz="0" w:space="0" w:color="auto"/>
        <w:bottom w:val="none" w:sz="0" w:space="0" w:color="auto"/>
        <w:right w:val="none" w:sz="0" w:space="0" w:color="auto"/>
      </w:divBdr>
    </w:div>
    <w:div w:id="1030380149">
      <w:bodyDiv w:val="1"/>
      <w:marLeft w:val="0"/>
      <w:marRight w:val="0"/>
      <w:marTop w:val="0"/>
      <w:marBottom w:val="0"/>
      <w:divBdr>
        <w:top w:val="none" w:sz="0" w:space="0" w:color="auto"/>
        <w:left w:val="none" w:sz="0" w:space="0" w:color="auto"/>
        <w:bottom w:val="none" w:sz="0" w:space="0" w:color="auto"/>
        <w:right w:val="none" w:sz="0" w:space="0" w:color="auto"/>
      </w:divBdr>
    </w:div>
    <w:div w:id="1129973218">
      <w:bodyDiv w:val="1"/>
      <w:marLeft w:val="0"/>
      <w:marRight w:val="0"/>
      <w:marTop w:val="0"/>
      <w:marBottom w:val="0"/>
      <w:divBdr>
        <w:top w:val="none" w:sz="0" w:space="0" w:color="auto"/>
        <w:left w:val="none" w:sz="0" w:space="0" w:color="auto"/>
        <w:bottom w:val="none" w:sz="0" w:space="0" w:color="auto"/>
        <w:right w:val="none" w:sz="0" w:space="0" w:color="auto"/>
      </w:divBdr>
    </w:div>
    <w:div w:id="1143428620">
      <w:bodyDiv w:val="1"/>
      <w:marLeft w:val="0"/>
      <w:marRight w:val="0"/>
      <w:marTop w:val="0"/>
      <w:marBottom w:val="0"/>
      <w:divBdr>
        <w:top w:val="none" w:sz="0" w:space="0" w:color="auto"/>
        <w:left w:val="none" w:sz="0" w:space="0" w:color="auto"/>
        <w:bottom w:val="none" w:sz="0" w:space="0" w:color="auto"/>
        <w:right w:val="none" w:sz="0" w:space="0" w:color="auto"/>
      </w:divBdr>
    </w:div>
    <w:div w:id="1148477253">
      <w:bodyDiv w:val="1"/>
      <w:marLeft w:val="0"/>
      <w:marRight w:val="0"/>
      <w:marTop w:val="0"/>
      <w:marBottom w:val="0"/>
      <w:divBdr>
        <w:top w:val="none" w:sz="0" w:space="0" w:color="auto"/>
        <w:left w:val="none" w:sz="0" w:space="0" w:color="auto"/>
        <w:bottom w:val="none" w:sz="0" w:space="0" w:color="auto"/>
        <w:right w:val="none" w:sz="0" w:space="0" w:color="auto"/>
      </w:divBdr>
    </w:div>
    <w:div w:id="1200313863">
      <w:bodyDiv w:val="1"/>
      <w:marLeft w:val="0"/>
      <w:marRight w:val="0"/>
      <w:marTop w:val="0"/>
      <w:marBottom w:val="0"/>
      <w:divBdr>
        <w:top w:val="none" w:sz="0" w:space="0" w:color="auto"/>
        <w:left w:val="none" w:sz="0" w:space="0" w:color="auto"/>
        <w:bottom w:val="none" w:sz="0" w:space="0" w:color="auto"/>
        <w:right w:val="none" w:sz="0" w:space="0" w:color="auto"/>
      </w:divBdr>
    </w:div>
    <w:div w:id="1218052938">
      <w:bodyDiv w:val="1"/>
      <w:marLeft w:val="0"/>
      <w:marRight w:val="0"/>
      <w:marTop w:val="0"/>
      <w:marBottom w:val="0"/>
      <w:divBdr>
        <w:top w:val="none" w:sz="0" w:space="0" w:color="auto"/>
        <w:left w:val="none" w:sz="0" w:space="0" w:color="auto"/>
        <w:bottom w:val="none" w:sz="0" w:space="0" w:color="auto"/>
        <w:right w:val="none" w:sz="0" w:space="0" w:color="auto"/>
      </w:divBdr>
    </w:div>
    <w:div w:id="1231891693">
      <w:bodyDiv w:val="1"/>
      <w:marLeft w:val="0"/>
      <w:marRight w:val="0"/>
      <w:marTop w:val="0"/>
      <w:marBottom w:val="0"/>
      <w:divBdr>
        <w:top w:val="none" w:sz="0" w:space="0" w:color="auto"/>
        <w:left w:val="none" w:sz="0" w:space="0" w:color="auto"/>
        <w:bottom w:val="none" w:sz="0" w:space="0" w:color="auto"/>
        <w:right w:val="none" w:sz="0" w:space="0" w:color="auto"/>
      </w:divBdr>
    </w:div>
    <w:div w:id="1234508863">
      <w:bodyDiv w:val="1"/>
      <w:marLeft w:val="0"/>
      <w:marRight w:val="0"/>
      <w:marTop w:val="0"/>
      <w:marBottom w:val="0"/>
      <w:divBdr>
        <w:top w:val="none" w:sz="0" w:space="0" w:color="auto"/>
        <w:left w:val="none" w:sz="0" w:space="0" w:color="auto"/>
        <w:bottom w:val="none" w:sz="0" w:space="0" w:color="auto"/>
        <w:right w:val="none" w:sz="0" w:space="0" w:color="auto"/>
      </w:divBdr>
    </w:div>
    <w:div w:id="1280183883">
      <w:bodyDiv w:val="1"/>
      <w:marLeft w:val="0"/>
      <w:marRight w:val="0"/>
      <w:marTop w:val="0"/>
      <w:marBottom w:val="0"/>
      <w:divBdr>
        <w:top w:val="none" w:sz="0" w:space="0" w:color="auto"/>
        <w:left w:val="none" w:sz="0" w:space="0" w:color="auto"/>
        <w:bottom w:val="none" w:sz="0" w:space="0" w:color="auto"/>
        <w:right w:val="none" w:sz="0" w:space="0" w:color="auto"/>
      </w:divBdr>
    </w:div>
    <w:div w:id="1296906286">
      <w:bodyDiv w:val="1"/>
      <w:marLeft w:val="0"/>
      <w:marRight w:val="0"/>
      <w:marTop w:val="0"/>
      <w:marBottom w:val="0"/>
      <w:divBdr>
        <w:top w:val="none" w:sz="0" w:space="0" w:color="auto"/>
        <w:left w:val="none" w:sz="0" w:space="0" w:color="auto"/>
        <w:bottom w:val="none" w:sz="0" w:space="0" w:color="auto"/>
        <w:right w:val="none" w:sz="0" w:space="0" w:color="auto"/>
      </w:divBdr>
    </w:div>
    <w:div w:id="1304198343">
      <w:bodyDiv w:val="1"/>
      <w:marLeft w:val="0"/>
      <w:marRight w:val="0"/>
      <w:marTop w:val="0"/>
      <w:marBottom w:val="0"/>
      <w:divBdr>
        <w:top w:val="none" w:sz="0" w:space="0" w:color="auto"/>
        <w:left w:val="none" w:sz="0" w:space="0" w:color="auto"/>
        <w:bottom w:val="none" w:sz="0" w:space="0" w:color="auto"/>
        <w:right w:val="none" w:sz="0" w:space="0" w:color="auto"/>
      </w:divBdr>
    </w:div>
    <w:div w:id="1305351288">
      <w:bodyDiv w:val="1"/>
      <w:marLeft w:val="0"/>
      <w:marRight w:val="0"/>
      <w:marTop w:val="0"/>
      <w:marBottom w:val="0"/>
      <w:divBdr>
        <w:top w:val="none" w:sz="0" w:space="0" w:color="auto"/>
        <w:left w:val="none" w:sz="0" w:space="0" w:color="auto"/>
        <w:bottom w:val="none" w:sz="0" w:space="0" w:color="auto"/>
        <w:right w:val="none" w:sz="0" w:space="0" w:color="auto"/>
      </w:divBdr>
    </w:div>
    <w:div w:id="1327778784">
      <w:bodyDiv w:val="1"/>
      <w:marLeft w:val="0"/>
      <w:marRight w:val="0"/>
      <w:marTop w:val="0"/>
      <w:marBottom w:val="0"/>
      <w:divBdr>
        <w:top w:val="none" w:sz="0" w:space="0" w:color="auto"/>
        <w:left w:val="none" w:sz="0" w:space="0" w:color="auto"/>
        <w:bottom w:val="none" w:sz="0" w:space="0" w:color="auto"/>
        <w:right w:val="none" w:sz="0" w:space="0" w:color="auto"/>
      </w:divBdr>
    </w:div>
    <w:div w:id="1343243056">
      <w:bodyDiv w:val="1"/>
      <w:marLeft w:val="0"/>
      <w:marRight w:val="0"/>
      <w:marTop w:val="0"/>
      <w:marBottom w:val="0"/>
      <w:divBdr>
        <w:top w:val="none" w:sz="0" w:space="0" w:color="auto"/>
        <w:left w:val="none" w:sz="0" w:space="0" w:color="auto"/>
        <w:bottom w:val="none" w:sz="0" w:space="0" w:color="auto"/>
        <w:right w:val="none" w:sz="0" w:space="0" w:color="auto"/>
      </w:divBdr>
    </w:div>
    <w:div w:id="1371800386">
      <w:bodyDiv w:val="1"/>
      <w:marLeft w:val="0"/>
      <w:marRight w:val="0"/>
      <w:marTop w:val="0"/>
      <w:marBottom w:val="0"/>
      <w:divBdr>
        <w:top w:val="none" w:sz="0" w:space="0" w:color="auto"/>
        <w:left w:val="none" w:sz="0" w:space="0" w:color="auto"/>
        <w:bottom w:val="none" w:sz="0" w:space="0" w:color="auto"/>
        <w:right w:val="none" w:sz="0" w:space="0" w:color="auto"/>
      </w:divBdr>
    </w:div>
    <w:div w:id="1384403247">
      <w:bodyDiv w:val="1"/>
      <w:marLeft w:val="0"/>
      <w:marRight w:val="0"/>
      <w:marTop w:val="0"/>
      <w:marBottom w:val="0"/>
      <w:divBdr>
        <w:top w:val="none" w:sz="0" w:space="0" w:color="auto"/>
        <w:left w:val="none" w:sz="0" w:space="0" w:color="auto"/>
        <w:bottom w:val="none" w:sz="0" w:space="0" w:color="auto"/>
        <w:right w:val="none" w:sz="0" w:space="0" w:color="auto"/>
      </w:divBdr>
    </w:div>
    <w:div w:id="1440681436">
      <w:bodyDiv w:val="1"/>
      <w:marLeft w:val="0"/>
      <w:marRight w:val="0"/>
      <w:marTop w:val="0"/>
      <w:marBottom w:val="0"/>
      <w:divBdr>
        <w:top w:val="none" w:sz="0" w:space="0" w:color="auto"/>
        <w:left w:val="none" w:sz="0" w:space="0" w:color="auto"/>
        <w:bottom w:val="none" w:sz="0" w:space="0" w:color="auto"/>
        <w:right w:val="none" w:sz="0" w:space="0" w:color="auto"/>
      </w:divBdr>
    </w:div>
    <w:div w:id="1468624649">
      <w:bodyDiv w:val="1"/>
      <w:marLeft w:val="0"/>
      <w:marRight w:val="0"/>
      <w:marTop w:val="0"/>
      <w:marBottom w:val="0"/>
      <w:divBdr>
        <w:top w:val="none" w:sz="0" w:space="0" w:color="auto"/>
        <w:left w:val="none" w:sz="0" w:space="0" w:color="auto"/>
        <w:bottom w:val="none" w:sz="0" w:space="0" w:color="auto"/>
        <w:right w:val="none" w:sz="0" w:space="0" w:color="auto"/>
      </w:divBdr>
    </w:div>
    <w:div w:id="1469542787">
      <w:bodyDiv w:val="1"/>
      <w:marLeft w:val="0"/>
      <w:marRight w:val="0"/>
      <w:marTop w:val="0"/>
      <w:marBottom w:val="0"/>
      <w:divBdr>
        <w:top w:val="none" w:sz="0" w:space="0" w:color="auto"/>
        <w:left w:val="none" w:sz="0" w:space="0" w:color="auto"/>
        <w:bottom w:val="none" w:sz="0" w:space="0" w:color="auto"/>
        <w:right w:val="none" w:sz="0" w:space="0" w:color="auto"/>
      </w:divBdr>
    </w:div>
    <w:div w:id="1475221054">
      <w:bodyDiv w:val="1"/>
      <w:marLeft w:val="0"/>
      <w:marRight w:val="0"/>
      <w:marTop w:val="0"/>
      <w:marBottom w:val="0"/>
      <w:divBdr>
        <w:top w:val="none" w:sz="0" w:space="0" w:color="auto"/>
        <w:left w:val="none" w:sz="0" w:space="0" w:color="auto"/>
        <w:bottom w:val="none" w:sz="0" w:space="0" w:color="auto"/>
        <w:right w:val="none" w:sz="0" w:space="0" w:color="auto"/>
      </w:divBdr>
      <w:divsChild>
        <w:div w:id="1878617283">
          <w:marLeft w:val="965"/>
          <w:marRight w:val="0"/>
          <w:marTop w:val="60"/>
          <w:marBottom w:val="60"/>
          <w:divBdr>
            <w:top w:val="none" w:sz="0" w:space="0" w:color="auto"/>
            <w:left w:val="none" w:sz="0" w:space="0" w:color="auto"/>
            <w:bottom w:val="none" w:sz="0" w:space="0" w:color="auto"/>
            <w:right w:val="none" w:sz="0" w:space="0" w:color="auto"/>
          </w:divBdr>
        </w:div>
        <w:div w:id="2040468113">
          <w:marLeft w:val="965"/>
          <w:marRight w:val="0"/>
          <w:marTop w:val="60"/>
          <w:marBottom w:val="60"/>
          <w:divBdr>
            <w:top w:val="none" w:sz="0" w:space="0" w:color="auto"/>
            <w:left w:val="none" w:sz="0" w:space="0" w:color="auto"/>
            <w:bottom w:val="none" w:sz="0" w:space="0" w:color="auto"/>
            <w:right w:val="none" w:sz="0" w:space="0" w:color="auto"/>
          </w:divBdr>
        </w:div>
      </w:divsChild>
    </w:div>
    <w:div w:id="1482699856">
      <w:bodyDiv w:val="1"/>
      <w:marLeft w:val="0"/>
      <w:marRight w:val="0"/>
      <w:marTop w:val="0"/>
      <w:marBottom w:val="0"/>
      <w:divBdr>
        <w:top w:val="none" w:sz="0" w:space="0" w:color="auto"/>
        <w:left w:val="none" w:sz="0" w:space="0" w:color="auto"/>
        <w:bottom w:val="none" w:sz="0" w:space="0" w:color="auto"/>
        <w:right w:val="none" w:sz="0" w:space="0" w:color="auto"/>
      </w:divBdr>
    </w:div>
    <w:div w:id="1500119326">
      <w:bodyDiv w:val="1"/>
      <w:marLeft w:val="0"/>
      <w:marRight w:val="0"/>
      <w:marTop w:val="0"/>
      <w:marBottom w:val="0"/>
      <w:divBdr>
        <w:top w:val="none" w:sz="0" w:space="0" w:color="auto"/>
        <w:left w:val="none" w:sz="0" w:space="0" w:color="auto"/>
        <w:bottom w:val="none" w:sz="0" w:space="0" w:color="auto"/>
        <w:right w:val="none" w:sz="0" w:space="0" w:color="auto"/>
      </w:divBdr>
    </w:div>
    <w:div w:id="1510682394">
      <w:bodyDiv w:val="1"/>
      <w:marLeft w:val="0"/>
      <w:marRight w:val="0"/>
      <w:marTop w:val="0"/>
      <w:marBottom w:val="0"/>
      <w:divBdr>
        <w:top w:val="none" w:sz="0" w:space="0" w:color="auto"/>
        <w:left w:val="none" w:sz="0" w:space="0" w:color="auto"/>
        <w:bottom w:val="none" w:sz="0" w:space="0" w:color="auto"/>
        <w:right w:val="none" w:sz="0" w:space="0" w:color="auto"/>
      </w:divBdr>
    </w:div>
    <w:div w:id="1527672687">
      <w:bodyDiv w:val="1"/>
      <w:marLeft w:val="0"/>
      <w:marRight w:val="0"/>
      <w:marTop w:val="0"/>
      <w:marBottom w:val="0"/>
      <w:divBdr>
        <w:top w:val="none" w:sz="0" w:space="0" w:color="auto"/>
        <w:left w:val="none" w:sz="0" w:space="0" w:color="auto"/>
        <w:bottom w:val="none" w:sz="0" w:space="0" w:color="auto"/>
        <w:right w:val="none" w:sz="0" w:space="0" w:color="auto"/>
      </w:divBdr>
    </w:div>
    <w:div w:id="1532306209">
      <w:bodyDiv w:val="1"/>
      <w:marLeft w:val="0"/>
      <w:marRight w:val="0"/>
      <w:marTop w:val="0"/>
      <w:marBottom w:val="0"/>
      <w:divBdr>
        <w:top w:val="none" w:sz="0" w:space="0" w:color="auto"/>
        <w:left w:val="none" w:sz="0" w:space="0" w:color="auto"/>
        <w:bottom w:val="none" w:sz="0" w:space="0" w:color="auto"/>
        <w:right w:val="none" w:sz="0" w:space="0" w:color="auto"/>
      </w:divBdr>
    </w:div>
    <w:div w:id="1539774753">
      <w:bodyDiv w:val="1"/>
      <w:marLeft w:val="0"/>
      <w:marRight w:val="0"/>
      <w:marTop w:val="0"/>
      <w:marBottom w:val="0"/>
      <w:divBdr>
        <w:top w:val="none" w:sz="0" w:space="0" w:color="auto"/>
        <w:left w:val="none" w:sz="0" w:space="0" w:color="auto"/>
        <w:bottom w:val="none" w:sz="0" w:space="0" w:color="auto"/>
        <w:right w:val="none" w:sz="0" w:space="0" w:color="auto"/>
      </w:divBdr>
    </w:div>
    <w:div w:id="1539973882">
      <w:bodyDiv w:val="1"/>
      <w:marLeft w:val="0"/>
      <w:marRight w:val="0"/>
      <w:marTop w:val="0"/>
      <w:marBottom w:val="0"/>
      <w:divBdr>
        <w:top w:val="none" w:sz="0" w:space="0" w:color="auto"/>
        <w:left w:val="none" w:sz="0" w:space="0" w:color="auto"/>
        <w:bottom w:val="none" w:sz="0" w:space="0" w:color="auto"/>
        <w:right w:val="none" w:sz="0" w:space="0" w:color="auto"/>
      </w:divBdr>
    </w:div>
    <w:div w:id="1545291096">
      <w:bodyDiv w:val="1"/>
      <w:marLeft w:val="0"/>
      <w:marRight w:val="0"/>
      <w:marTop w:val="0"/>
      <w:marBottom w:val="0"/>
      <w:divBdr>
        <w:top w:val="none" w:sz="0" w:space="0" w:color="auto"/>
        <w:left w:val="none" w:sz="0" w:space="0" w:color="auto"/>
        <w:bottom w:val="none" w:sz="0" w:space="0" w:color="auto"/>
        <w:right w:val="none" w:sz="0" w:space="0" w:color="auto"/>
      </w:divBdr>
    </w:div>
    <w:div w:id="1567377068">
      <w:bodyDiv w:val="1"/>
      <w:marLeft w:val="0"/>
      <w:marRight w:val="0"/>
      <w:marTop w:val="0"/>
      <w:marBottom w:val="0"/>
      <w:divBdr>
        <w:top w:val="none" w:sz="0" w:space="0" w:color="auto"/>
        <w:left w:val="none" w:sz="0" w:space="0" w:color="auto"/>
        <w:bottom w:val="none" w:sz="0" w:space="0" w:color="auto"/>
        <w:right w:val="none" w:sz="0" w:space="0" w:color="auto"/>
      </w:divBdr>
    </w:div>
    <w:div w:id="1575046678">
      <w:bodyDiv w:val="1"/>
      <w:marLeft w:val="0"/>
      <w:marRight w:val="0"/>
      <w:marTop w:val="0"/>
      <w:marBottom w:val="0"/>
      <w:divBdr>
        <w:top w:val="none" w:sz="0" w:space="0" w:color="auto"/>
        <w:left w:val="none" w:sz="0" w:space="0" w:color="auto"/>
        <w:bottom w:val="none" w:sz="0" w:space="0" w:color="auto"/>
        <w:right w:val="none" w:sz="0" w:space="0" w:color="auto"/>
      </w:divBdr>
    </w:div>
    <w:div w:id="1588929063">
      <w:bodyDiv w:val="1"/>
      <w:marLeft w:val="0"/>
      <w:marRight w:val="0"/>
      <w:marTop w:val="0"/>
      <w:marBottom w:val="0"/>
      <w:divBdr>
        <w:top w:val="none" w:sz="0" w:space="0" w:color="auto"/>
        <w:left w:val="none" w:sz="0" w:space="0" w:color="auto"/>
        <w:bottom w:val="none" w:sz="0" w:space="0" w:color="auto"/>
        <w:right w:val="none" w:sz="0" w:space="0" w:color="auto"/>
      </w:divBdr>
    </w:div>
    <w:div w:id="1595287836">
      <w:bodyDiv w:val="1"/>
      <w:marLeft w:val="0"/>
      <w:marRight w:val="0"/>
      <w:marTop w:val="0"/>
      <w:marBottom w:val="0"/>
      <w:divBdr>
        <w:top w:val="none" w:sz="0" w:space="0" w:color="auto"/>
        <w:left w:val="none" w:sz="0" w:space="0" w:color="auto"/>
        <w:bottom w:val="none" w:sz="0" w:space="0" w:color="auto"/>
        <w:right w:val="none" w:sz="0" w:space="0" w:color="auto"/>
      </w:divBdr>
    </w:div>
    <w:div w:id="1622764259">
      <w:bodyDiv w:val="1"/>
      <w:marLeft w:val="0"/>
      <w:marRight w:val="0"/>
      <w:marTop w:val="0"/>
      <w:marBottom w:val="0"/>
      <w:divBdr>
        <w:top w:val="none" w:sz="0" w:space="0" w:color="auto"/>
        <w:left w:val="none" w:sz="0" w:space="0" w:color="auto"/>
        <w:bottom w:val="none" w:sz="0" w:space="0" w:color="auto"/>
        <w:right w:val="none" w:sz="0" w:space="0" w:color="auto"/>
      </w:divBdr>
    </w:div>
    <w:div w:id="1631084628">
      <w:bodyDiv w:val="1"/>
      <w:marLeft w:val="0"/>
      <w:marRight w:val="0"/>
      <w:marTop w:val="0"/>
      <w:marBottom w:val="0"/>
      <w:divBdr>
        <w:top w:val="none" w:sz="0" w:space="0" w:color="auto"/>
        <w:left w:val="none" w:sz="0" w:space="0" w:color="auto"/>
        <w:bottom w:val="none" w:sz="0" w:space="0" w:color="auto"/>
        <w:right w:val="none" w:sz="0" w:space="0" w:color="auto"/>
      </w:divBdr>
    </w:div>
    <w:div w:id="1635482276">
      <w:bodyDiv w:val="1"/>
      <w:marLeft w:val="0"/>
      <w:marRight w:val="0"/>
      <w:marTop w:val="0"/>
      <w:marBottom w:val="0"/>
      <w:divBdr>
        <w:top w:val="none" w:sz="0" w:space="0" w:color="auto"/>
        <w:left w:val="none" w:sz="0" w:space="0" w:color="auto"/>
        <w:bottom w:val="none" w:sz="0" w:space="0" w:color="auto"/>
        <w:right w:val="none" w:sz="0" w:space="0" w:color="auto"/>
      </w:divBdr>
    </w:div>
    <w:div w:id="1650015487">
      <w:bodyDiv w:val="1"/>
      <w:marLeft w:val="0"/>
      <w:marRight w:val="0"/>
      <w:marTop w:val="0"/>
      <w:marBottom w:val="0"/>
      <w:divBdr>
        <w:top w:val="none" w:sz="0" w:space="0" w:color="auto"/>
        <w:left w:val="none" w:sz="0" w:space="0" w:color="auto"/>
        <w:bottom w:val="none" w:sz="0" w:space="0" w:color="auto"/>
        <w:right w:val="none" w:sz="0" w:space="0" w:color="auto"/>
      </w:divBdr>
    </w:div>
    <w:div w:id="1670982533">
      <w:bodyDiv w:val="1"/>
      <w:marLeft w:val="0"/>
      <w:marRight w:val="0"/>
      <w:marTop w:val="0"/>
      <w:marBottom w:val="0"/>
      <w:divBdr>
        <w:top w:val="none" w:sz="0" w:space="0" w:color="auto"/>
        <w:left w:val="none" w:sz="0" w:space="0" w:color="auto"/>
        <w:bottom w:val="none" w:sz="0" w:space="0" w:color="auto"/>
        <w:right w:val="none" w:sz="0" w:space="0" w:color="auto"/>
      </w:divBdr>
    </w:div>
    <w:div w:id="1706711235">
      <w:bodyDiv w:val="1"/>
      <w:marLeft w:val="0"/>
      <w:marRight w:val="0"/>
      <w:marTop w:val="0"/>
      <w:marBottom w:val="0"/>
      <w:divBdr>
        <w:top w:val="none" w:sz="0" w:space="0" w:color="auto"/>
        <w:left w:val="none" w:sz="0" w:space="0" w:color="auto"/>
        <w:bottom w:val="none" w:sz="0" w:space="0" w:color="auto"/>
        <w:right w:val="none" w:sz="0" w:space="0" w:color="auto"/>
      </w:divBdr>
    </w:div>
    <w:div w:id="1711764509">
      <w:bodyDiv w:val="1"/>
      <w:marLeft w:val="0"/>
      <w:marRight w:val="0"/>
      <w:marTop w:val="0"/>
      <w:marBottom w:val="0"/>
      <w:divBdr>
        <w:top w:val="none" w:sz="0" w:space="0" w:color="auto"/>
        <w:left w:val="none" w:sz="0" w:space="0" w:color="auto"/>
        <w:bottom w:val="none" w:sz="0" w:space="0" w:color="auto"/>
        <w:right w:val="none" w:sz="0" w:space="0" w:color="auto"/>
      </w:divBdr>
    </w:div>
    <w:div w:id="1716738057">
      <w:bodyDiv w:val="1"/>
      <w:marLeft w:val="0"/>
      <w:marRight w:val="0"/>
      <w:marTop w:val="0"/>
      <w:marBottom w:val="0"/>
      <w:divBdr>
        <w:top w:val="none" w:sz="0" w:space="0" w:color="auto"/>
        <w:left w:val="none" w:sz="0" w:space="0" w:color="auto"/>
        <w:bottom w:val="none" w:sz="0" w:space="0" w:color="auto"/>
        <w:right w:val="none" w:sz="0" w:space="0" w:color="auto"/>
      </w:divBdr>
    </w:div>
    <w:div w:id="1726947354">
      <w:bodyDiv w:val="1"/>
      <w:marLeft w:val="0"/>
      <w:marRight w:val="0"/>
      <w:marTop w:val="0"/>
      <w:marBottom w:val="0"/>
      <w:divBdr>
        <w:top w:val="none" w:sz="0" w:space="0" w:color="auto"/>
        <w:left w:val="none" w:sz="0" w:space="0" w:color="auto"/>
        <w:bottom w:val="none" w:sz="0" w:space="0" w:color="auto"/>
        <w:right w:val="none" w:sz="0" w:space="0" w:color="auto"/>
      </w:divBdr>
    </w:div>
    <w:div w:id="1735199505">
      <w:bodyDiv w:val="1"/>
      <w:marLeft w:val="0"/>
      <w:marRight w:val="0"/>
      <w:marTop w:val="0"/>
      <w:marBottom w:val="0"/>
      <w:divBdr>
        <w:top w:val="none" w:sz="0" w:space="0" w:color="auto"/>
        <w:left w:val="none" w:sz="0" w:space="0" w:color="auto"/>
        <w:bottom w:val="none" w:sz="0" w:space="0" w:color="auto"/>
        <w:right w:val="none" w:sz="0" w:space="0" w:color="auto"/>
      </w:divBdr>
    </w:div>
    <w:div w:id="1753114055">
      <w:bodyDiv w:val="1"/>
      <w:marLeft w:val="0"/>
      <w:marRight w:val="0"/>
      <w:marTop w:val="0"/>
      <w:marBottom w:val="0"/>
      <w:divBdr>
        <w:top w:val="none" w:sz="0" w:space="0" w:color="auto"/>
        <w:left w:val="none" w:sz="0" w:space="0" w:color="auto"/>
        <w:bottom w:val="none" w:sz="0" w:space="0" w:color="auto"/>
        <w:right w:val="none" w:sz="0" w:space="0" w:color="auto"/>
      </w:divBdr>
    </w:div>
    <w:div w:id="1757286116">
      <w:bodyDiv w:val="1"/>
      <w:marLeft w:val="0"/>
      <w:marRight w:val="0"/>
      <w:marTop w:val="0"/>
      <w:marBottom w:val="0"/>
      <w:divBdr>
        <w:top w:val="none" w:sz="0" w:space="0" w:color="auto"/>
        <w:left w:val="none" w:sz="0" w:space="0" w:color="auto"/>
        <w:bottom w:val="none" w:sz="0" w:space="0" w:color="auto"/>
        <w:right w:val="none" w:sz="0" w:space="0" w:color="auto"/>
      </w:divBdr>
    </w:div>
    <w:div w:id="1784036040">
      <w:bodyDiv w:val="1"/>
      <w:marLeft w:val="0"/>
      <w:marRight w:val="0"/>
      <w:marTop w:val="0"/>
      <w:marBottom w:val="0"/>
      <w:divBdr>
        <w:top w:val="none" w:sz="0" w:space="0" w:color="auto"/>
        <w:left w:val="none" w:sz="0" w:space="0" w:color="auto"/>
        <w:bottom w:val="none" w:sz="0" w:space="0" w:color="auto"/>
        <w:right w:val="none" w:sz="0" w:space="0" w:color="auto"/>
      </w:divBdr>
    </w:div>
    <w:div w:id="1799833381">
      <w:bodyDiv w:val="1"/>
      <w:marLeft w:val="0"/>
      <w:marRight w:val="0"/>
      <w:marTop w:val="0"/>
      <w:marBottom w:val="0"/>
      <w:divBdr>
        <w:top w:val="none" w:sz="0" w:space="0" w:color="auto"/>
        <w:left w:val="none" w:sz="0" w:space="0" w:color="auto"/>
        <w:bottom w:val="none" w:sz="0" w:space="0" w:color="auto"/>
        <w:right w:val="none" w:sz="0" w:space="0" w:color="auto"/>
      </w:divBdr>
    </w:div>
    <w:div w:id="1810315473">
      <w:bodyDiv w:val="1"/>
      <w:marLeft w:val="0"/>
      <w:marRight w:val="0"/>
      <w:marTop w:val="0"/>
      <w:marBottom w:val="0"/>
      <w:divBdr>
        <w:top w:val="none" w:sz="0" w:space="0" w:color="auto"/>
        <w:left w:val="none" w:sz="0" w:space="0" w:color="auto"/>
        <w:bottom w:val="none" w:sz="0" w:space="0" w:color="auto"/>
        <w:right w:val="none" w:sz="0" w:space="0" w:color="auto"/>
      </w:divBdr>
    </w:div>
    <w:div w:id="1810367303">
      <w:bodyDiv w:val="1"/>
      <w:marLeft w:val="0"/>
      <w:marRight w:val="0"/>
      <w:marTop w:val="0"/>
      <w:marBottom w:val="0"/>
      <w:divBdr>
        <w:top w:val="none" w:sz="0" w:space="0" w:color="auto"/>
        <w:left w:val="none" w:sz="0" w:space="0" w:color="auto"/>
        <w:bottom w:val="none" w:sz="0" w:space="0" w:color="auto"/>
        <w:right w:val="none" w:sz="0" w:space="0" w:color="auto"/>
      </w:divBdr>
    </w:div>
    <w:div w:id="1823427069">
      <w:bodyDiv w:val="1"/>
      <w:marLeft w:val="0"/>
      <w:marRight w:val="0"/>
      <w:marTop w:val="0"/>
      <w:marBottom w:val="0"/>
      <w:divBdr>
        <w:top w:val="none" w:sz="0" w:space="0" w:color="auto"/>
        <w:left w:val="none" w:sz="0" w:space="0" w:color="auto"/>
        <w:bottom w:val="none" w:sz="0" w:space="0" w:color="auto"/>
        <w:right w:val="none" w:sz="0" w:space="0" w:color="auto"/>
      </w:divBdr>
    </w:div>
    <w:div w:id="1830055104">
      <w:bodyDiv w:val="1"/>
      <w:marLeft w:val="0"/>
      <w:marRight w:val="0"/>
      <w:marTop w:val="0"/>
      <w:marBottom w:val="0"/>
      <w:divBdr>
        <w:top w:val="none" w:sz="0" w:space="0" w:color="auto"/>
        <w:left w:val="none" w:sz="0" w:space="0" w:color="auto"/>
        <w:bottom w:val="none" w:sz="0" w:space="0" w:color="auto"/>
        <w:right w:val="none" w:sz="0" w:space="0" w:color="auto"/>
      </w:divBdr>
    </w:div>
    <w:div w:id="1876042523">
      <w:bodyDiv w:val="1"/>
      <w:marLeft w:val="0"/>
      <w:marRight w:val="0"/>
      <w:marTop w:val="0"/>
      <w:marBottom w:val="0"/>
      <w:divBdr>
        <w:top w:val="none" w:sz="0" w:space="0" w:color="auto"/>
        <w:left w:val="none" w:sz="0" w:space="0" w:color="auto"/>
        <w:bottom w:val="none" w:sz="0" w:space="0" w:color="auto"/>
        <w:right w:val="none" w:sz="0" w:space="0" w:color="auto"/>
      </w:divBdr>
    </w:div>
    <w:div w:id="1876842282">
      <w:bodyDiv w:val="1"/>
      <w:marLeft w:val="0"/>
      <w:marRight w:val="0"/>
      <w:marTop w:val="0"/>
      <w:marBottom w:val="0"/>
      <w:divBdr>
        <w:top w:val="none" w:sz="0" w:space="0" w:color="auto"/>
        <w:left w:val="none" w:sz="0" w:space="0" w:color="auto"/>
        <w:bottom w:val="none" w:sz="0" w:space="0" w:color="auto"/>
        <w:right w:val="none" w:sz="0" w:space="0" w:color="auto"/>
      </w:divBdr>
    </w:div>
    <w:div w:id="1911113598">
      <w:bodyDiv w:val="1"/>
      <w:marLeft w:val="0"/>
      <w:marRight w:val="0"/>
      <w:marTop w:val="0"/>
      <w:marBottom w:val="0"/>
      <w:divBdr>
        <w:top w:val="none" w:sz="0" w:space="0" w:color="auto"/>
        <w:left w:val="none" w:sz="0" w:space="0" w:color="auto"/>
        <w:bottom w:val="none" w:sz="0" w:space="0" w:color="auto"/>
        <w:right w:val="none" w:sz="0" w:space="0" w:color="auto"/>
      </w:divBdr>
    </w:div>
    <w:div w:id="1926302504">
      <w:bodyDiv w:val="1"/>
      <w:marLeft w:val="0"/>
      <w:marRight w:val="0"/>
      <w:marTop w:val="0"/>
      <w:marBottom w:val="0"/>
      <w:divBdr>
        <w:top w:val="none" w:sz="0" w:space="0" w:color="auto"/>
        <w:left w:val="none" w:sz="0" w:space="0" w:color="auto"/>
        <w:bottom w:val="none" w:sz="0" w:space="0" w:color="auto"/>
        <w:right w:val="none" w:sz="0" w:space="0" w:color="auto"/>
      </w:divBdr>
    </w:div>
    <w:div w:id="1939176532">
      <w:bodyDiv w:val="1"/>
      <w:marLeft w:val="0"/>
      <w:marRight w:val="0"/>
      <w:marTop w:val="0"/>
      <w:marBottom w:val="0"/>
      <w:divBdr>
        <w:top w:val="none" w:sz="0" w:space="0" w:color="auto"/>
        <w:left w:val="none" w:sz="0" w:space="0" w:color="auto"/>
        <w:bottom w:val="none" w:sz="0" w:space="0" w:color="auto"/>
        <w:right w:val="none" w:sz="0" w:space="0" w:color="auto"/>
      </w:divBdr>
    </w:div>
    <w:div w:id="1953632312">
      <w:bodyDiv w:val="1"/>
      <w:marLeft w:val="0"/>
      <w:marRight w:val="0"/>
      <w:marTop w:val="0"/>
      <w:marBottom w:val="0"/>
      <w:divBdr>
        <w:top w:val="none" w:sz="0" w:space="0" w:color="auto"/>
        <w:left w:val="none" w:sz="0" w:space="0" w:color="auto"/>
        <w:bottom w:val="none" w:sz="0" w:space="0" w:color="auto"/>
        <w:right w:val="none" w:sz="0" w:space="0" w:color="auto"/>
      </w:divBdr>
    </w:div>
    <w:div w:id="1958634999">
      <w:bodyDiv w:val="1"/>
      <w:marLeft w:val="0"/>
      <w:marRight w:val="0"/>
      <w:marTop w:val="0"/>
      <w:marBottom w:val="0"/>
      <w:divBdr>
        <w:top w:val="none" w:sz="0" w:space="0" w:color="auto"/>
        <w:left w:val="none" w:sz="0" w:space="0" w:color="auto"/>
        <w:bottom w:val="none" w:sz="0" w:space="0" w:color="auto"/>
        <w:right w:val="none" w:sz="0" w:space="0" w:color="auto"/>
      </w:divBdr>
    </w:div>
    <w:div w:id="1966503723">
      <w:bodyDiv w:val="1"/>
      <w:marLeft w:val="0"/>
      <w:marRight w:val="0"/>
      <w:marTop w:val="0"/>
      <w:marBottom w:val="0"/>
      <w:divBdr>
        <w:top w:val="none" w:sz="0" w:space="0" w:color="auto"/>
        <w:left w:val="none" w:sz="0" w:space="0" w:color="auto"/>
        <w:bottom w:val="none" w:sz="0" w:space="0" w:color="auto"/>
        <w:right w:val="none" w:sz="0" w:space="0" w:color="auto"/>
      </w:divBdr>
    </w:div>
    <w:div w:id="2009093727">
      <w:bodyDiv w:val="1"/>
      <w:marLeft w:val="0"/>
      <w:marRight w:val="0"/>
      <w:marTop w:val="0"/>
      <w:marBottom w:val="0"/>
      <w:divBdr>
        <w:top w:val="none" w:sz="0" w:space="0" w:color="auto"/>
        <w:left w:val="none" w:sz="0" w:space="0" w:color="auto"/>
        <w:bottom w:val="none" w:sz="0" w:space="0" w:color="auto"/>
        <w:right w:val="none" w:sz="0" w:space="0" w:color="auto"/>
      </w:divBdr>
    </w:div>
    <w:div w:id="2016684368">
      <w:bodyDiv w:val="1"/>
      <w:marLeft w:val="0"/>
      <w:marRight w:val="0"/>
      <w:marTop w:val="0"/>
      <w:marBottom w:val="0"/>
      <w:divBdr>
        <w:top w:val="none" w:sz="0" w:space="0" w:color="auto"/>
        <w:left w:val="none" w:sz="0" w:space="0" w:color="auto"/>
        <w:bottom w:val="none" w:sz="0" w:space="0" w:color="auto"/>
        <w:right w:val="none" w:sz="0" w:space="0" w:color="auto"/>
      </w:divBdr>
    </w:div>
    <w:div w:id="2031644605">
      <w:bodyDiv w:val="1"/>
      <w:marLeft w:val="0"/>
      <w:marRight w:val="0"/>
      <w:marTop w:val="0"/>
      <w:marBottom w:val="0"/>
      <w:divBdr>
        <w:top w:val="none" w:sz="0" w:space="0" w:color="auto"/>
        <w:left w:val="none" w:sz="0" w:space="0" w:color="auto"/>
        <w:bottom w:val="none" w:sz="0" w:space="0" w:color="auto"/>
        <w:right w:val="none" w:sz="0" w:space="0" w:color="auto"/>
      </w:divBdr>
    </w:div>
    <w:div w:id="2039701231">
      <w:bodyDiv w:val="1"/>
      <w:marLeft w:val="0"/>
      <w:marRight w:val="0"/>
      <w:marTop w:val="0"/>
      <w:marBottom w:val="0"/>
      <w:divBdr>
        <w:top w:val="none" w:sz="0" w:space="0" w:color="auto"/>
        <w:left w:val="none" w:sz="0" w:space="0" w:color="auto"/>
        <w:bottom w:val="none" w:sz="0" w:space="0" w:color="auto"/>
        <w:right w:val="none" w:sz="0" w:space="0" w:color="auto"/>
      </w:divBdr>
    </w:div>
    <w:div w:id="2039967285">
      <w:bodyDiv w:val="1"/>
      <w:marLeft w:val="0"/>
      <w:marRight w:val="0"/>
      <w:marTop w:val="0"/>
      <w:marBottom w:val="0"/>
      <w:divBdr>
        <w:top w:val="none" w:sz="0" w:space="0" w:color="auto"/>
        <w:left w:val="none" w:sz="0" w:space="0" w:color="auto"/>
        <w:bottom w:val="none" w:sz="0" w:space="0" w:color="auto"/>
        <w:right w:val="none" w:sz="0" w:space="0" w:color="auto"/>
      </w:divBdr>
    </w:div>
    <w:div w:id="2041779348">
      <w:bodyDiv w:val="1"/>
      <w:marLeft w:val="0"/>
      <w:marRight w:val="0"/>
      <w:marTop w:val="0"/>
      <w:marBottom w:val="0"/>
      <w:divBdr>
        <w:top w:val="none" w:sz="0" w:space="0" w:color="auto"/>
        <w:left w:val="none" w:sz="0" w:space="0" w:color="auto"/>
        <w:bottom w:val="none" w:sz="0" w:space="0" w:color="auto"/>
        <w:right w:val="none" w:sz="0" w:space="0" w:color="auto"/>
      </w:divBdr>
    </w:div>
    <w:div w:id="2053386994">
      <w:bodyDiv w:val="1"/>
      <w:marLeft w:val="0"/>
      <w:marRight w:val="0"/>
      <w:marTop w:val="0"/>
      <w:marBottom w:val="0"/>
      <w:divBdr>
        <w:top w:val="none" w:sz="0" w:space="0" w:color="auto"/>
        <w:left w:val="none" w:sz="0" w:space="0" w:color="auto"/>
        <w:bottom w:val="none" w:sz="0" w:space="0" w:color="auto"/>
        <w:right w:val="none" w:sz="0" w:space="0" w:color="auto"/>
      </w:divBdr>
    </w:div>
    <w:div w:id="2062752560">
      <w:bodyDiv w:val="1"/>
      <w:marLeft w:val="0"/>
      <w:marRight w:val="0"/>
      <w:marTop w:val="0"/>
      <w:marBottom w:val="0"/>
      <w:divBdr>
        <w:top w:val="none" w:sz="0" w:space="0" w:color="auto"/>
        <w:left w:val="none" w:sz="0" w:space="0" w:color="auto"/>
        <w:bottom w:val="none" w:sz="0" w:space="0" w:color="auto"/>
        <w:right w:val="none" w:sz="0" w:space="0" w:color="auto"/>
      </w:divBdr>
    </w:div>
    <w:div w:id="2064327122">
      <w:bodyDiv w:val="1"/>
      <w:marLeft w:val="0"/>
      <w:marRight w:val="0"/>
      <w:marTop w:val="0"/>
      <w:marBottom w:val="0"/>
      <w:divBdr>
        <w:top w:val="none" w:sz="0" w:space="0" w:color="auto"/>
        <w:left w:val="none" w:sz="0" w:space="0" w:color="auto"/>
        <w:bottom w:val="none" w:sz="0" w:space="0" w:color="auto"/>
        <w:right w:val="none" w:sz="0" w:space="0" w:color="auto"/>
      </w:divBdr>
    </w:div>
    <w:div w:id="2086954791">
      <w:bodyDiv w:val="1"/>
      <w:marLeft w:val="0"/>
      <w:marRight w:val="0"/>
      <w:marTop w:val="0"/>
      <w:marBottom w:val="0"/>
      <w:divBdr>
        <w:top w:val="none" w:sz="0" w:space="0" w:color="auto"/>
        <w:left w:val="none" w:sz="0" w:space="0" w:color="auto"/>
        <w:bottom w:val="none" w:sz="0" w:space="0" w:color="auto"/>
        <w:right w:val="none" w:sz="0" w:space="0" w:color="auto"/>
      </w:divBdr>
    </w:div>
    <w:div w:id="2096896740">
      <w:bodyDiv w:val="1"/>
      <w:marLeft w:val="0"/>
      <w:marRight w:val="0"/>
      <w:marTop w:val="0"/>
      <w:marBottom w:val="0"/>
      <w:divBdr>
        <w:top w:val="none" w:sz="0" w:space="0" w:color="auto"/>
        <w:left w:val="none" w:sz="0" w:space="0" w:color="auto"/>
        <w:bottom w:val="none" w:sz="0" w:space="0" w:color="auto"/>
        <w:right w:val="none" w:sz="0" w:space="0" w:color="auto"/>
      </w:divBdr>
    </w:div>
    <w:div w:id="2106489436">
      <w:bodyDiv w:val="1"/>
      <w:marLeft w:val="0"/>
      <w:marRight w:val="0"/>
      <w:marTop w:val="0"/>
      <w:marBottom w:val="0"/>
      <w:divBdr>
        <w:top w:val="none" w:sz="0" w:space="0" w:color="auto"/>
        <w:left w:val="none" w:sz="0" w:space="0" w:color="auto"/>
        <w:bottom w:val="none" w:sz="0" w:space="0" w:color="auto"/>
        <w:right w:val="none" w:sz="0" w:space="0" w:color="auto"/>
      </w:divBdr>
    </w:div>
    <w:div w:id="2110004244">
      <w:bodyDiv w:val="1"/>
      <w:marLeft w:val="0"/>
      <w:marRight w:val="0"/>
      <w:marTop w:val="0"/>
      <w:marBottom w:val="0"/>
      <w:divBdr>
        <w:top w:val="none" w:sz="0" w:space="0" w:color="auto"/>
        <w:left w:val="none" w:sz="0" w:space="0" w:color="auto"/>
        <w:bottom w:val="none" w:sz="0" w:space="0" w:color="auto"/>
        <w:right w:val="none" w:sz="0" w:space="0" w:color="auto"/>
      </w:divBdr>
    </w:div>
    <w:div w:id="2117367054">
      <w:bodyDiv w:val="1"/>
      <w:marLeft w:val="0"/>
      <w:marRight w:val="0"/>
      <w:marTop w:val="0"/>
      <w:marBottom w:val="0"/>
      <w:divBdr>
        <w:top w:val="none" w:sz="0" w:space="0" w:color="auto"/>
        <w:left w:val="none" w:sz="0" w:space="0" w:color="auto"/>
        <w:bottom w:val="none" w:sz="0" w:space="0" w:color="auto"/>
        <w:right w:val="none" w:sz="0" w:space="0" w:color="auto"/>
      </w:divBdr>
    </w:div>
    <w:div w:id="21203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2021-06-08T22:00:00+00:00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73</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Accidents médicaux</TermName>
          <TermId xmlns="http://schemas.microsoft.com/office/infopath/2007/PartnerControls">3f1ffe3e-dbbd-4308-8e14-f66b9047d2b9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7AFB4-BB02-4DAF-B46A-C8495DAE5ED6}"/>
</file>

<file path=customXml/itemProps2.xml><?xml version="1.0" encoding="utf-8"?>
<ds:datastoreItem xmlns:ds="http://schemas.openxmlformats.org/officeDocument/2006/customXml" ds:itemID="{147B36CA-ED7C-44AD-A633-CD6E5F43C5B6}"/>
</file>

<file path=customXml/itemProps3.xml><?xml version="1.0" encoding="utf-8"?>
<ds:datastoreItem xmlns:ds="http://schemas.openxmlformats.org/officeDocument/2006/customXml" ds:itemID="{EB53F095-AFE2-44BD-8D94-10946AA3876A}"/>
</file>

<file path=customXml/itemProps4.xml><?xml version="1.0" encoding="utf-8"?>
<ds:datastoreItem xmlns:ds="http://schemas.openxmlformats.org/officeDocument/2006/customXml" ds:itemID="{4E418F0F-A715-47BE-B14C-AB602B7A5DD7}"/>
</file>

<file path=docProps/app.xml><?xml version="1.0" encoding="utf-8"?>
<Properties xmlns="http://schemas.openxmlformats.org/officeDocument/2006/extended-properties" xmlns:vt="http://schemas.openxmlformats.org/officeDocument/2006/docPropsVTypes">
  <Template>48344326.dotm</Template>
  <TotalTime>0</TotalTime>
  <Pages>30</Pages>
  <Words>10183</Words>
  <Characters>56671</Characters>
  <Application>Microsoft Office Word</Application>
  <DocSecurity>0</DocSecurity>
  <Lines>472</Lines>
  <Paragraphs>133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&lt;Dienst&gt;</vt:lpstr>
      <vt:lpstr>&lt;Dienst&gt;</vt:lpstr>
      <vt:lpstr>&lt;Dienst&gt;</vt:lpstr>
    </vt:vector>
  </TitlesOfParts>
  <Company>KBC Group</Company>
  <LinksUpToDate>false</LinksUpToDate>
  <CharactersWithSpaces>66721</CharactersWithSpaces>
  <SharedDoc>false</SharedDoc>
  <HLinks>
    <vt:vector size="72" baseType="variant">
      <vt:variant>
        <vt:i4>1966140</vt:i4>
      </vt:variant>
      <vt:variant>
        <vt:i4>68</vt:i4>
      </vt:variant>
      <vt:variant>
        <vt:i4>0</vt:i4>
      </vt:variant>
      <vt:variant>
        <vt:i4>5</vt:i4>
      </vt:variant>
      <vt:variant>
        <vt:lpwstr/>
      </vt:variant>
      <vt:variant>
        <vt:lpwstr>_Toc285197277</vt:lpwstr>
      </vt:variant>
      <vt:variant>
        <vt:i4>1966140</vt:i4>
      </vt:variant>
      <vt:variant>
        <vt:i4>62</vt:i4>
      </vt:variant>
      <vt:variant>
        <vt:i4>0</vt:i4>
      </vt:variant>
      <vt:variant>
        <vt:i4>5</vt:i4>
      </vt:variant>
      <vt:variant>
        <vt:lpwstr/>
      </vt:variant>
      <vt:variant>
        <vt:lpwstr>_Toc285197276</vt:lpwstr>
      </vt:variant>
      <vt:variant>
        <vt:i4>1966140</vt:i4>
      </vt:variant>
      <vt:variant>
        <vt:i4>56</vt:i4>
      </vt:variant>
      <vt:variant>
        <vt:i4>0</vt:i4>
      </vt:variant>
      <vt:variant>
        <vt:i4>5</vt:i4>
      </vt:variant>
      <vt:variant>
        <vt:lpwstr/>
      </vt:variant>
      <vt:variant>
        <vt:lpwstr>_Toc285197275</vt:lpwstr>
      </vt:variant>
      <vt:variant>
        <vt:i4>1966140</vt:i4>
      </vt:variant>
      <vt:variant>
        <vt:i4>50</vt:i4>
      </vt:variant>
      <vt:variant>
        <vt:i4>0</vt:i4>
      </vt:variant>
      <vt:variant>
        <vt:i4>5</vt:i4>
      </vt:variant>
      <vt:variant>
        <vt:lpwstr/>
      </vt:variant>
      <vt:variant>
        <vt:lpwstr>_Toc285197274</vt:lpwstr>
      </vt:variant>
      <vt:variant>
        <vt:i4>1966140</vt:i4>
      </vt:variant>
      <vt:variant>
        <vt:i4>44</vt:i4>
      </vt:variant>
      <vt:variant>
        <vt:i4>0</vt:i4>
      </vt:variant>
      <vt:variant>
        <vt:i4>5</vt:i4>
      </vt:variant>
      <vt:variant>
        <vt:lpwstr/>
      </vt:variant>
      <vt:variant>
        <vt:lpwstr>_Toc285197273</vt:lpwstr>
      </vt:variant>
      <vt:variant>
        <vt:i4>1966140</vt:i4>
      </vt:variant>
      <vt:variant>
        <vt:i4>38</vt:i4>
      </vt:variant>
      <vt:variant>
        <vt:i4>0</vt:i4>
      </vt:variant>
      <vt:variant>
        <vt:i4>5</vt:i4>
      </vt:variant>
      <vt:variant>
        <vt:lpwstr/>
      </vt:variant>
      <vt:variant>
        <vt:lpwstr>_Toc285197272</vt:lpwstr>
      </vt:variant>
      <vt:variant>
        <vt:i4>1966140</vt:i4>
      </vt:variant>
      <vt:variant>
        <vt:i4>32</vt:i4>
      </vt:variant>
      <vt:variant>
        <vt:i4>0</vt:i4>
      </vt:variant>
      <vt:variant>
        <vt:i4>5</vt:i4>
      </vt:variant>
      <vt:variant>
        <vt:lpwstr/>
      </vt:variant>
      <vt:variant>
        <vt:lpwstr>_Toc285197271</vt:lpwstr>
      </vt:variant>
      <vt:variant>
        <vt:i4>1966140</vt:i4>
      </vt:variant>
      <vt:variant>
        <vt:i4>26</vt:i4>
      </vt:variant>
      <vt:variant>
        <vt:i4>0</vt:i4>
      </vt:variant>
      <vt:variant>
        <vt:i4>5</vt:i4>
      </vt:variant>
      <vt:variant>
        <vt:lpwstr/>
      </vt:variant>
      <vt:variant>
        <vt:lpwstr>_Toc285197270</vt:lpwstr>
      </vt:variant>
      <vt:variant>
        <vt:i4>2031676</vt:i4>
      </vt:variant>
      <vt:variant>
        <vt:i4>20</vt:i4>
      </vt:variant>
      <vt:variant>
        <vt:i4>0</vt:i4>
      </vt:variant>
      <vt:variant>
        <vt:i4>5</vt:i4>
      </vt:variant>
      <vt:variant>
        <vt:lpwstr/>
      </vt:variant>
      <vt:variant>
        <vt:lpwstr>_Toc285197269</vt:lpwstr>
      </vt:variant>
      <vt:variant>
        <vt:i4>2031676</vt:i4>
      </vt:variant>
      <vt:variant>
        <vt:i4>14</vt:i4>
      </vt:variant>
      <vt:variant>
        <vt:i4>0</vt:i4>
      </vt:variant>
      <vt:variant>
        <vt:i4>5</vt:i4>
      </vt:variant>
      <vt:variant>
        <vt:lpwstr/>
      </vt:variant>
      <vt:variant>
        <vt:lpwstr>_Toc285197268</vt:lpwstr>
      </vt:variant>
      <vt:variant>
        <vt:i4>2031676</vt:i4>
      </vt:variant>
      <vt:variant>
        <vt:i4>8</vt:i4>
      </vt:variant>
      <vt:variant>
        <vt:i4>0</vt:i4>
      </vt:variant>
      <vt:variant>
        <vt:i4>5</vt:i4>
      </vt:variant>
      <vt:variant>
        <vt:lpwstr/>
      </vt:variant>
      <vt:variant>
        <vt:lpwstr>_Toc285197267</vt:lpwstr>
      </vt:variant>
      <vt:variant>
        <vt:i4>2031676</vt:i4>
      </vt:variant>
      <vt:variant>
        <vt:i4>2</vt:i4>
      </vt:variant>
      <vt:variant>
        <vt:i4>0</vt:i4>
      </vt:variant>
      <vt:variant>
        <vt:i4>5</vt:i4>
      </vt:variant>
      <vt:variant>
        <vt:lpwstr/>
      </vt:variant>
      <vt:variant>
        <vt:lpwstr>_Toc285197266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Beleidsnota FMO : Structurele bijsturing en wegwerken achterstand </dc:title>
  <dc:creator>u41676</dc:creator>
  <cp:lastModifiedBy>Elke Mostinckx (RIZIV-INAMI)</cp:lastModifiedBy>
  <cp:revision>4</cp:revision>
  <cp:lastPrinted>2021-04-05T16:42:00Z</cp:lastPrinted>
  <dcterms:created xsi:type="dcterms:W3CDTF">2021-04-16T11:12:00Z</dcterms:created>
  <dcterms:modified xsi:type="dcterms:W3CDTF">2021-06-09T07:41:00Z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MSIP_Label_31598e80-c4b0-45ea-92db-0f710f24d13e_Enabled">
    <vt:lpwstr>true</vt:lpwstr>
  </property>
  <property fmtid="{D5CDD505-2E9C-101B-9397-08002B2CF9AE}" pid="4" name="MSIP_Label_31598e80-c4b0-45ea-92db-0f710f24d13e_SetDate">
    <vt:lpwstr>2021-03-18T10:52:28Z</vt:lpwstr>
  </property>
  <property fmtid="{D5CDD505-2E9C-101B-9397-08002B2CF9AE}" pid="5" name="MSIP_Label_31598e80-c4b0-45ea-92db-0f710f24d13e_Method">
    <vt:lpwstr>Privileged</vt:lpwstr>
  </property>
  <property fmtid="{D5CDD505-2E9C-101B-9397-08002B2CF9AE}" pid="6" name="MSIP_Label_31598e80-c4b0-45ea-92db-0f710f24d13e_Name">
    <vt:lpwstr>31598e80-c4b0-45ea-92db-0f710f24d13e</vt:lpwstr>
  </property>
  <property fmtid="{D5CDD505-2E9C-101B-9397-08002B2CF9AE}" pid="7" name="MSIP_Label_31598e80-c4b0-45ea-92db-0f710f24d13e_SiteId">
    <vt:lpwstr>64af2aee-7d6c-49ac-a409-192d3fee73b8</vt:lpwstr>
  </property>
  <property fmtid="{D5CDD505-2E9C-101B-9397-08002B2CF9AE}" pid="8" name="MSIP_Label_31598e80-c4b0-45ea-92db-0f710f24d13e_ActionId">
    <vt:lpwstr>9fab3700-d104-4714-a9de-45155896eabe</vt:lpwstr>
  </property>
  <property fmtid="{D5CDD505-2E9C-101B-9397-08002B2CF9AE}" pid="9" name="MSIP_Label_31598e80-c4b0-45ea-92db-0f710f24d13e_ContentBits">
    <vt:lpwstr>1</vt:lpwstr>
  </property>
  <property fmtid="{D5CDD505-2E9C-101B-9397-08002B2CF9AE}" pid="10" name="RITargetGroup">
    <vt:lpwstr/>
  </property>
  <property fmtid="{D5CDD505-2E9C-101B-9397-08002B2CF9AE}" pid="11" name="RITheme">
    <vt:lpwstr>73;#Accidents médicaux|3f1ffe3e-dbbd-4308-8e14-f66b9047d2b9</vt:lpwstr>
  </property>
  <property fmtid="{D5CDD505-2E9C-101B-9397-08002B2CF9AE}" pid="12" name="RILanguage">
    <vt:lpwstr>12;#Néerlandais|1daba039-17e6-4993-bb2c-50e1d16ef364</vt:lpwstr>
  </property>
  <property fmtid="{D5CDD505-2E9C-101B-9397-08002B2CF9AE}" pid="13" name="RIDocType">
    <vt:lpwstr/>
  </property>
  <property fmtid="{D5CDD505-2E9C-101B-9397-08002B2CF9AE}" pid="14" name="Publication type for documents">
    <vt:lpwstr/>
  </property>
</Properties>
</file>