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F3E" w:rsidRPr="00AB1F3E" w:rsidRDefault="00AB1F3E" w:rsidP="00AB1F3E">
      <w:pPr>
        <w:jc w:val="center"/>
        <w:rPr>
          <w:lang w:val="nl-BE"/>
        </w:rPr>
      </w:pPr>
    </w:p>
    <w:p w:rsidR="00AB1F3E" w:rsidRPr="00AB1F3E" w:rsidRDefault="00AB1F3E" w:rsidP="00AB1F3E">
      <w:pPr>
        <w:jc w:val="center"/>
        <w:rPr>
          <w:b/>
          <w:lang w:val="nl-BE"/>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B445AF" w:rsidRPr="00B1671F" w:rsidTr="0069379F">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b/>
                <w:lang w:val="fr-BE"/>
              </w:rPr>
            </w:pPr>
            <w:r w:rsidRPr="00B1671F">
              <w:rPr>
                <w:rFonts w:ascii="Arial" w:hAnsi="Arial"/>
                <w:b/>
                <w:lang w:val="fr-BE"/>
              </w:rPr>
              <w:t>ROYAUME DE BELGIQUE</w:t>
            </w:r>
          </w:p>
          <w:p w:rsidR="00B445AF" w:rsidRPr="00B1671F" w:rsidRDefault="00B445AF" w:rsidP="00B445AF">
            <w:pPr>
              <w:tabs>
                <w:tab w:val="left" w:pos="3969"/>
              </w:tabs>
              <w:ind w:right="-108"/>
              <w:jc w:val="center"/>
              <w:rPr>
                <w:rFonts w:ascii="Arial" w:hAnsi="Arial"/>
                <w:b/>
                <w:lang w:val="fr-BE"/>
              </w:rPr>
            </w:pPr>
          </w:p>
          <w:p w:rsidR="00B445AF" w:rsidRPr="00B1671F" w:rsidRDefault="00B445AF" w:rsidP="00B445AF">
            <w:pPr>
              <w:tabs>
                <w:tab w:val="left" w:pos="3969"/>
              </w:tabs>
              <w:ind w:right="-108"/>
              <w:jc w:val="center"/>
              <w:rPr>
                <w:rFonts w:ascii="Arial" w:hAnsi="Arial"/>
                <w:b/>
                <w:lang w:val="fr-BE"/>
              </w:rPr>
            </w:pPr>
            <w:r w:rsidRPr="00B1671F">
              <w:rPr>
                <w:rFonts w:ascii="Arial" w:hAnsi="Arial"/>
                <w:b/>
                <w:lang w:val="fr-BE"/>
              </w:rPr>
              <w:t xml:space="preserve">---- </w:t>
            </w:r>
            <w:r w:rsidRPr="00B1671F">
              <w:rPr>
                <w:rFonts w:ascii="Arial" w:hAnsi="Arial"/>
                <w:b/>
                <w:lang w:val="nl-BE"/>
              </w:rPr>
              <w:sym w:font="Symbol" w:char="F0A8"/>
            </w:r>
            <w:r w:rsidRPr="00B1671F">
              <w:rPr>
                <w:rFonts w:ascii="Arial" w:hAnsi="Arial"/>
                <w:b/>
                <w:lang w:val="fr-BE"/>
              </w:rPr>
              <w:t xml:space="preserve"> ----</w:t>
            </w:r>
          </w:p>
          <w:p w:rsidR="00B445AF" w:rsidRPr="00B1671F" w:rsidRDefault="00B445AF" w:rsidP="00B445AF">
            <w:pPr>
              <w:tabs>
                <w:tab w:val="left" w:pos="3969"/>
              </w:tabs>
              <w:ind w:right="-108"/>
              <w:jc w:val="center"/>
              <w:rPr>
                <w:rFonts w:ascii="Arial" w:hAnsi="Arial"/>
                <w:b/>
                <w:lang w:val="fr-BE"/>
              </w:rPr>
            </w:pPr>
          </w:p>
          <w:p w:rsidR="00B445AF" w:rsidRPr="00B1671F" w:rsidRDefault="00B445AF" w:rsidP="00B445AF">
            <w:pPr>
              <w:tabs>
                <w:tab w:val="left" w:pos="3969"/>
              </w:tabs>
              <w:ind w:right="-108"/>
              <w:jc w:val="center"/>
              <w:rPr>
                <w:rFonts w:ascii="Arial" w:hAnsi="Arial"/>
                <w:b/>
                <w:lang w:val="fr-BE"/>
              </w:rPr>
            </w:pPr>
            <w:r w:rsidRPr="00B1671F">
              <w:rPr>
                <w:rFonts w:ascii="Arial" w:hAnsi="Arial"/>
                <w:b/>
                <w:lang w:val="fr-BE"/>
              </w:rPr>
              <w:t>SERVICE PUBLIC FEDERAL</w:t>
            </w:r>
          </w:p>
          <w:p w:rsidR="00B445AF" w:rsidRPr="00B1671F" w:rsidRDefault="00B445AF" w:rsidP="00B445AF">
            <w:pPr>
              <w:tabs>
                <w:tab w:val="left" w:pos="3969"/>
              </w:tabs>
              <w:ind w:right="-108"/>
              <w:jc w:val="center"/>
              <w:rPr>
                <w:rFonts w:ascii="Arial" w:hAnsi="Arial"/>
                <w:b/>
                <w:lang w:val="nl-BE"/>
              </w:rPr>
            </w:pPr>
            <w:r w:rsidRPr="00B1671F">
              <w:rPr>
                <w:rFonts w:ascii="Arial" w:hAnsi="Arial"/>
                <w:b/>
                <w:lang w:val="nl-BE"/>
              </w:rPr>
              <w:t>SECURITE SOCIALE</w:t>
            </w:r>
          </w:p>
          <w:p w:rsidR="00B445AF" w:rsidRPr="00B1671F" w:rsidRDefault="00B445AF" w:rsidP="00B445AF">
            <w:pPr>
              <w:tabs>
                <w:tab w:val="left" w:pos="3969"/>
              </w:tabs>
              <w:ind w:right="-108"/>
              <w:jc w:val="center"/>
              <w:rPr>
                <w:rFonts w:ascii="Arial" w:hAnsi="Arial"/>
                <w:b/>
                <w:lang w:val="nl-BE"/>
              </w:rPr>
            </w:pPr>
            <w:r w:rsidRPr="00B1671F">
              <w:rPr>
                <w:rFonts w:ascii="Arial" w:hAnsi="Arial"/>
                <w:b/>
                <w:lang w:val="nl-BE"/>
              </w:rPr>
              <w:t xml:space="preserve">---- </w:t>
            </w:r>
            <w:r w:rsidRPr="00B1671F">
              <w:rPr>
                <w:rFonts w:ascii="Arial" w:hAnsi="Arial"/>
                <w:b/>
                <w:lang w:val="nl-BE"/>
              </w:rPr>
              <w:sym w:font="Symbol" w:char="F0A8"/>
            </w:r>
            <w:r w:rsidRPr="00B1671F">
              <w:rPr>
                <w:rFonts w:ascii="Arial" w:hAnsi="Arial"/>
                <w:b/>
                <w:lang w:val="nl-BE"/>
              </w:rPr>
              <w:t xml:space="preserve"> ----</w:t>
            </w:r>
          </w:p>
          <w:p w:rsidR="00B445AF" w:rsidRPr="00B1671F" w:rsidRDefault="00B445AF" w:rsidP="00B445AF">
            <w:pPr>
              <w:tabs>
                <w:tab w:val="left" w:pos="3969"/>
              </w:tabs>
              <w:ind w:right="-108"/>
              <w:jc w:val="center"/>
              <w:rPr>
                <w:rFonts w:ascii="Arial" w:hAnsi="Arial"/>
                <w:b/>
                <w:lang w:val="nl-BE"/>
              </w:rPr>
            </w:pPr>
          </w:p>
        </w:tc>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b/>
                <w:lang w:val="nl-BE"/>
              </w:rPr>
            </w:pPr>
            <w:r w:rsidRPr="00B1671F">
              <w:rPr>
                <w:rFonts w:ascii="Arial" w:hAnsi="Arial"/>
                <w:b/>
                <w:lang w:val="nl-BE"/>
              </w:rPr>
              <w:t>KONINKRIJK BELGIE</w:t>
            </w:r>
          </w:p>
          <w:p w:rsidR="00B445AF" w:rsidRPr="00B1671F" w:rsidRDefault="00B445AF" w:rsidP="00B445AF">
            <w:pPr>
              <w:tabs>
                <w:tab w:val="left" w:pos="3969"/>
              </w:tabs>
              <w:ind w:right="-108"/>
              <w:jc w:val="center"/>
              <w:rPr>
                <w:rFonts w:ascii="Arial" w:hAnsi="Arial"/>
                <w:b/>
                <w:lang w:val="nl-BE"/>
              </w:rPr>
            </w:pPr>
          </w:p>
          <w:p w:rsidR="00B445AF" w:rsidRPr="00B1671F" w:rsidRDefault="00B445AF" w:rsidP="00B445AF">
            <w:pPr>
              <w:ind w:right="-108"/>
              <w:jc w:val="center"/>
              <w:rPr>
                <w:rFonts w:ascii="Arial" w:hAnsi="Arial"/>
                <w:b/>
                <w:lang w:val="nl-BE"/>
              </w:rPr>
            </w:pPr>
            <w:r w:rsidRPr="00B1671F">
              <w:rPr>
                <w:rFonts w:ascii="Arial" w:hAnsi="Arial"/>
                <w:b/>
                <w:lang w:val="nl-BE"/>
              </w:rPr>
              <w:t xml:space="preserve">---- </w:t>
            </w:r>
            <w:r w:rsidRPr="00B1671F">
              <w:rPr>
                <w:rFonts w:ascii="Arial" w:hAnsi="Arial"/>
                <w:b/>
                <w:lang w:val="nl-BE"/>
              </w:rPr>
              <w:sym w:font="Symbol" w:char="F0A8"/>
            </w:r>
            <w:r w:rsidRPr="00B1671F">
              <w:rPr>
                <w:rFonts w:ascii="Arial" w:hAnsi="Arial"/>
                <w:b/>
                <w:lang w:val="nl-BE"/>
              </w:rPr>
              <w:t xml:space="preserve"> ----</w:t>
            </w:r>
          </w:p>
          <w:p w:rsidR="00B445AF" w:rsidRPr="00B1671F" w:rsidRDefault="00B445AF" w:rsidP="00B445AF">
            <w:pPr>
              <w:tabs>
                <w:tab w:val="left" w:pos="3969"/>
              </w:tabs>
              <w:ind w:right="-108"/>
              <w:jc w:val="center"/>
              <w:rPr>
                <w:rFonts w:ascii="Arial" w:hAnsi="Arial"/>
                <w:b/>
                <w:lang w:val="nl-BE"/>
              </w:rPr>
            </w:pPr>
          </w:p>
          <w:p w:rsidR="00B445AF" w:rsidRPr="00B1671F" w:rsidRDefault="00B445AF" w:rsidP="00B445AF">
            <w:pPr>
              <w:tabs>
                <w:tab w:val="left" w:pos="3969"/>
              </w:tabs>
              <w:ind w:right="-108"/>
              <w:jc w:val="center"/>
              <w:rPr>
                <w:rFonts w:ascii="Arial" w:hAnsi="Arial"/>
                <w:b/>
                <w:lang w:val="nl-BE"/>
              </w:rPr>
            </w:pPr>
            <w:r w:rsidRPr="00B1671F">
              <w:rPr>
                <w:rFonts w:ascii="Arial" w:hAnsi="Arial"/>
                <w:b/>
                <w:lang w:val="nl-BE"/>
              </w:rPr>
              <w:t>FEDERALE OVERHEIDSDIENST SOCIALE ZEKERHEID</w:t>
            </w:r>
          </w:p>
          <w:p w:rsidR="00B445AF" w:rsidRPr="00B1671F" w:rsidRDefault="00B445AF" w:rsidP="00B445AF">
            <w:pPr>
              <w:tabs>
                <w:tab w:val="left" w:pos="3969"/>
              </w:tabs>
              <w:ind w:right="-108"/>
              <w:jc w:val="center"/>
              <w:rPr>
                <w:rFonts w:ascii="Arial" w:hAnsi="Arial"/>
                <w:b/>
                <w:lang w:val="nl-BE"/>
              </w:rPr>
            </w:pPr>
            <w:r w:rsidRPr="00B1671F">
              <w:rPr>
                <w:rFonts w:ascii="Arial" w:hAnsi="Arial"/>
                <w:b/>
                <w:lang w:val="nl-BE"/>
              </w:rPr>
              <w:t xml:space="preserve">---- </w:t>
            </w:r>
            <w:r w:rsidRPr="00B1671F">
              <w:rPr>
                <w:rFonts w:ascii="Arial" w:hAnsi="Arial"/>
                <w:b/>
                <w:lang w:val="nl-BE"/>
              </w:rPr>
              <w:sym w:font="Symbol" w:char="F0A8"/>
            </w:r>
            <w:r w:rsidRPr="00B1671F">
              <w:rPr>
                <w:rFonts w:ascii="Arial" w:hAnsi="Arial"/>
                <w:b/>
                <w:lang w:val="nl-BE"/>
              </w:rPr>
              <w:t xml:space="preserve"> ----</w:t>
            </w:r>
          </w:p>
          <w:p w:rsidR="00B445AF" w:rsidRPr="00B1671F" w:rsidRDefault="00B445AF" w:rsidP="00B445AF">
            <w:pPr>
              <w:tabs>
                <w:tab w:val="left" w:pos="3969"/>
              </w:tabs>
              <w:ind w:right="-108"/>
              <w:jc w:val="center"/>
              <w:rPr>
                <w:rFonts w:ascii="Arial" w:hAnsi="Arial"/>
                <w:b/>
                <w:lang w:val="nl-BE"/>
              </w:rPr>
            </w:pPr>
          </w:p>
        </w:tc>
      </w:tr>
      <w:tr w:rsidR="00B445AF" w:rsidRPr="00617458" w:rsidTr="0069379F">
        <w:tc>
          <w:tcPr>
            <w:tcW w:w="4820" w:type="dxa"/>
            <w:tcBorders>
              <w:top w:val="nil"/>
              <w:left w:val="nil"/>
              <w:bottom w:val="nil"/>
              <w:right w:val="nil"/>
            </w:tcBorders>
          </w:tcPr>
          <w:p w:rsidR="00B445AF" w:rsidRPr="00B1671F" w:rsidRDefault="00E418F0" w:rsidP="00E418F0">
            <w:pPr>
              <w:jc w:val="both"/>
              <w:rPr>
                <w:rFonts w:ascii="Arial" w:hAnsi="Arial"/>
                <w:lang w:val="fr-BE"/>
              </w:rPr>
            </w:pPr>
            <w:r>
              <w:rPr>
                <w:rFonts w:ascii="Arial" w:hAnsi="Arial"/>
                <w:lang w:val="fr-BE"/>
              </w:rPr>
              <w:t xml:space="preserve">26 octobre </w:t>
            </w:r>
            <w:r w:rsidR="000E2D49">
              <w:rPr>
                <w:rFonts w:ascii="Arial" w:hAnsi="Arial"/>
                <w:lang w:val="fr-BE"/>
              </w:rPr>
              <w:t>2019</w:t>
            </w:r>
            <w:r w:rsidR="00B445AF" w:rsidRPr="00B1671F">
              <w:rPr>
                <w:rFonts w:ascii="Arial" w:hAnsi="Arial"/>
                <w:lang w:val="fr-BE"/>
              </w:rPr>
              <w:t xml:space="preserve"> - Arrêté royal fixant les conditions et les modalités selon lesquelles l'assurance obligatoire soins de santé et indemnités paie des honoraires de garde et des honoraires de disponibilité aux pharmaciens titulaires d’une pharmacie ouverte au public qui participent à des services de garde organisés.</w:t>
            </w:r>
          </w:p>
        </w:tc>
        <w:tc>
          <w:tcPr>
            <w:tcW w:w="4820" w:type="dxa"/>
            <w:tcBorders>
              <w:top w:val="nil"/>
              <w:left w:val="nil"/>
              <w:bottom w:val="nil"/>
              <w:right w:val="nil"/>
            </w:tcBorders>
          </w:tcPr>
          <w:p w:rsidR="00B445AF" w:rsidRPr="00B1671F" w:rsidRDefault="00E418F0" w:rsidP="00E418F0">
            <w:pPr>
              <w:jc w:val="both"/>
              <w:rPr>
                <w:rFonts w:ascii="Arial" w:hAnsi="Arial" w:cs="Arial"/>
                <w:spacing w:val="-3"/>
                <w:lang w:val="nl-BE"/>
              </w:rPr>
            </w:pPr>
            <w:r w:rsidRPr="00E418F0">
              <w:rPr>
                <w:rFonts w:ascii="Arial" w:hAnsi="Arial" w:cs="Arial"/>
                <w:spacing w:val="-3"/>
                <w:lang w:val="nl-BE"/>
              </w:rPr>
              <w:t xml:space="preserve">26 oktober </w:t>
            </w:r>
            <w:r w:rsidR="000E2D49">
              <w:rPr>
                <w:rFonts w:ascii="Arial" w:hAnsi="Arial" w:cs="Arial"/>
                <w:spacing w:val="-3"/>
                <w:lang w:val="nl-BE"/>
              </w:rPr>
              <w:t>2019</w:t>
            </w:r>
            <w:r w:rsidR="00B445AF" w:rsidRPr="00B1671F">
              <w:rPr>
                <w:rFonts w:ascii="Arial" w:hAnsi="Arial" w:cs="Arial"/>
                <w:spacing w:val="-3"/>
                <w:lang w:val="nl-BE"/>
              </w:rPr>
              <w:t xml:space="preserve"> - Koninklijk besluit tot vaststelling van de voorwaarden </w:t>
            </w:r>
            <w:r w:rsidR="00B445AF" w:rsidRPr="00B1671F">
              <w:rPr>
                <w:rFonts w:ascii="Arial" w:hAnsi="Arial"/>
                <w:lang w:val="nl-BE"/>
              </w:rPr>
              <w:t>en de modaliteiten</w:t>
            </w:r>
            <w:r w:rsidR="00B445AF" w:rsidRPr="00B1671F">
              <w:rPr>
                <w:rFonts w:ascii="Arial" w:hAnsi="Arial" w:cs="Arial"/>
                <w:spacing w:val="-3"/>
                <w:lang w:val="nl-BE"/>
              </w:rPr>
              <w:t xml:space="preserve"> waaronder de verplichte verzekering voor geneeskundige verzorging en uitkeringen wachthonoraria en beschikbaarheidshonoraria betaalt aan de apothekers-titularissen van een apotheek open voor het publiek die deelnemen aan georganiseerde wachtdiensten.</w:t>
            </w:r>
          </w:p>
        </w:tc>
      </w:tr>
      <w:tr w:rsidR="00B445AF" w:rsidRPr="00617458" w:rsidTr="0069379F">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lang w:val="nl-BE"/>
              </w:rPr>
            </w:pPr>
          </w:p>
        </w:tc>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lang w:val="nl-BE"/>
              </w:rPr>
            </w:pPr>
          </w:p>
        </w:tc>
      </w:tr>
      <w:tr w:rsidR="00B445AF" w:rsidRPr="00B1671F" w:rsidTr="0069379F">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b/>
                <w:lang w:val="nl-BE"/>
              </w:rPr>
            </w:pPr>
            <w:r w:rsidRPr="00B1671F">
              <w:rPr>
                <w:rFonts w:ascii="Arial" w:hAnsi="Arial"/>
                <w:b/>
                <w:lang w:val="nl-BE"/>
              </w:rPr>
              <w:t>PHILIPPE, Roi des Belges,</w:t>
            </w:r>
          </w:p>
        </w:tc>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b/>
                <w:lang w:val="nl-BE"/>
              </w:rPr>
            </w:pPr>
            <w:r w:rsidRPr="00B1671F">
              <w:rPr>
                <w:rFonts w:ascii="Arial" w:hAnsi="Arial"/>
                <w:b/>
                <w:lang w:val="nl-BE"/>
              </w:rPr>
              <w:t>FILIP, Koning der Belgen,</w:t>
            </w:r>
          </w:p>
          <w:p w:rsidR="00B445AF" w:rsidRPr="00B1671F" w:rsidRDefault="00B445AF" w:rsidP="00B445AF">
            <w:pPr>
              <w:tabs>
                <w:tab w:val="left" w:pos="3969"/>
              </w:tabs>
              <w:ind w:right="-108"/>
              <w:jc w:val="center"/>
              <w:rPr>
                <w:rFonts w:ascii="Arial" w:hAnsi="Arial"/>
                <w:b/>
                <w:lang w:val="nl-BE"/>
              </w:rPr>
            </w:pPr>
          </w:p>
        </w:tc>
      </w:tr>
      <w:tr w:rsidR="00B445AF" w:rsidRPr="00B1671F" w:rsidTr="0069379F">
        <w:tc>
          <w:tcPr>
            <w:tcW w:w="4820" w:type="dxa"/>
            <w:tcBorders>
              <w:top w:val="nil"/>
              <w:left w:val="nil"/>
              <w:bottom w:val="nil"/>
              <w:right w:val="nil"/>
            </w:tcBorders>
          </w:tcPr>
          <w:p w:rsidR="00B445AF" w:rsidRPr="00B1671F" w:rsidRDefault="00B445AF" w:rsidP="00B445AF">
            <w:pPr>
              <w:rPr>
                <w:b/>
                <w:lang w:val="de-DE"/>
              </w:rPr>
            </w:pPr>
          </w:p>
        </w:tc>
        <w:tc>
          <w:tcPr>
            <w:tcW w:w="4820" w:type="dxa"/>
            <w:tcBorders>
              <w:top w:val="nil"/>
              <w:left w:val="nil"/>
              <w:bottom w:val="nil"/>
              <w:right w:val="nil"/>
            </w:tcBorders>
          </w:tcPr>
          <w:p w:rsidR="00B445AF" w:rsidRPr="00B1671F" w:rsidRDefault="00B445AF" w:rsidP="00B445AF">
            <w:pPr>
              <w:rPr>
                <w:b/>
                <w:lang w:val="de-DE"/>
              </w:rPr>
            </w:pPr>
          </w:p>
        </w:tc>
      </w:tr>
      <w:tr w:rsidR="00B445AF" w:rsidRPr="00617458" w:rsidTr="0069379F">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b/>
                <w:lang w:val="fr-BE"/>
              </w:rPr>
            </w:pPr>
          </w:p>
          <w:p w:rsidR="00B445AF" w:rsidRPr="00B1671F" w:rsidRDefault="00B445AF" w:rsidP="00B445AF">
            <w:pPr>
              <w:tabs>
                <w:tab w:val="left" w:pos="3969"/>
              </w:tabs>
              <w:ind w:right="-108"/>
              <w:jc w:val="center"/>
              <w:rPr>
                <w:rFonts w:ascii="Arial" w:hAnsi="Arial"/>
                <w:b/>
                <w:lang w:val="fr-BE"/>
              </w:rPr>
            </w:pPr>
            <w:r w:rsidRPr="00B1671F">
              <w:rPr>
                <w:rFonts w:ascii="Arial" w:hAnsi="Arial"/>
                <w:b/>
                <w:lang w:val="fr-BE"/>
              </w:rPr>
              <w:t>A tous, présents et à venir, Salut.</w:t>
            </w:r>
          </w:p>
          <w:p w:rsidR="00B445AF" w:rsidRPr="00B1671F" w:rsidRDefault="00B445AF" w:rsidP="00B445AF">
            <w:pPr>
              <w:tabs>
                <w:tab w:val="left" w:pos="3969"/>
              </w:tabs>
              <w:ind w:right="-108"/>
              <w:jc w:val="center"/>
              <w:rPr>
                <w:rFonts w:ascii="Arial" w:hAnsi="Arial"/>
                <w:b/>
                <w:lang w:val="fr-BE"/>
              </w:rPr>
            </w:pPr>
          </w:p>
          <w:p w:rsidR="00B445AF" w:rsidRPr="00B1671F" w:rsidRDefault="00B445AF" w:rsidP="00B445AF">
            <w:pPr>
              <w:tabs>
                <w:tab w:val="left" w:pos="3969"/>
              </w:tabs>
              <w:ind w:right="-108"/>
              <w:jc w:val="center"/>
              <w:rPr>
                <w:rFonts w:ascii="Arial" w:hAnsi="Arial"/>
                <w:b/>
                <w:lang w:val="fr-BE"/>
              </w:rPr>
            </w:pPr>
          </w:p>
        </w:tc>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b/>
                <w:lang w:val="fr-BE"/>
              </w:rPr>
            </w:pPr>
          </w:p>
          <w:p w:rsidR="00B445AF" w:rsidRPr="00B1671F" w:rsidRDefault="00B445AF" w:rsidP="00B445AF">
            <w:pPr>
              <w:tabs>
                <w:tab w:val="left" w:pos="3969"/>
              </w:tabs>
              <w:ind w:right="-108"/>
              <w:jc w:val="center"/>
              <w:rPr>
                <w:rFonts w:ascii="Arial" w:hAnsi="Arial"/>
                <w:b/>
                <w:lang w:val="nl-NL"/>
              </w:rPr>
            </w:pPr>
            <w:r w:rsidRPr="00B1671F">
              <w:rPr>
                <w:rFonts w:ascii="Arial" w:hAnsi="Arial"/>
                <w:b/>
                <w:lang w:val="nl-NL"/>
              </w:rPr>
              <w:t>Aan allen die nu zijn en hierna wezen zullen, Onze Groet.</w:t>
            </w:r>
          </w:p>
          <w:p w:rsidR="00B445AF" w:rsidRPr="00B1671F" w:rsidRDefault="00B445AF" w:rsidP="00B445AF">
            <w:pPr>
              <w:tabs>
                <w:tab w:val="left" w:pos="3969"/>
              </w:tabs>
              <w:ind w:right="-108"/>
              <w:jc w:val="center"/>
              <w:rPr>
                <w:rFonts w:ascii="Arial" w:hAnsi="Arial"/>
                <w:b/>
                <w:lang w:val="nl-NL"/>
              </w:rPr>
            </w:pPr>
          </w:p>
        </w:tc>
      </w:tr>
      <w:tr w:rsidR="00B445AF" w:rsidRPr="00617458" w:rsidTr="0069379F">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lang w:val="nl-BE"/>
              </w:rPr>
            </w:pPr>
          </w:p>
        </w:tc>
        <w:tc>
          <w:tcPr>
            <w:tcW w:w="4820" w:type="dxa"/>
            <w:tcBorders>
              <w:top w:val="nil"/>
              <w:left w:val="nil"/>
              <w:bottom w:val="nil"/>
              <w:right w:val="nil"/>
            </w:tcBorders>
          </w:tcPr>
          <w:p w:rsidR="00B445AF" w:rsidRPr="00B1671F" w:rsidRDefault="00B445AF" w:rsidP="00B445AF">
            <w:pPr>
              <w:tabs>
                <w:tab w:val="left" w:pos="3969"/>
              </w:tabs>
              <w:ind w:right="-108"/>
              <w:jc w:val="center"/>
              <w:rPr>
                <w:rFonts w:ascii="Arial" w:hAnsi="Arial"/>
                <w:lang w:val="nl-BE"/>
              </w:rPr>
            </w:pPr>
          </w:p>
        </w:tc>
      </w:tr>
      <w:tr w:rsidR="00B445AF" w:rsidRPr="00617458" w:rsidTr="0069379F">
        <w:tc>
          <w:tcPr>
            <w:tcW w:w="4820" w:type="dxa"/>
            <w:tcBorders>
              <w:top w:val="nil"/>
              <w:left w:val="nil"/>
              <w:bottom w:val="nil"/>
              <w:right w:val="nil"/>
            </w:tcBorders>
          </w:tcPr>
          <w:p w:rsidR="00B445AF" w:rsidRPr="00B1671F" w:rsidRDefault="006E2460" w:rsidP="00B1671F">
            <w:pPr>
              <w:jc w:val="both"/>
              <w:rPr>
                <w:rFonts w:ascii="Arial" w:hAnsi="Arial" w:cs="Arial"/>
                <w:spacing w:val="-3"/>
              </w:rPr>
            </w:pPr>
            <w:r w:rsidRPr="00B1671F">
              <w:rPr>
                <w:rFonts w:ascii="Arial" w:hAnsi="Arial" w:cs="Arial"/>
                <w:spacing w:val="-3"/>
              </w:rPr>
              <w:t>Vu la loi relative à l'assurance obligatoire soins de santé et indemnités, coordonnée le 14 juillet 1994, article 35</w:t>
            </w:r>
            <w:r w:rsidRPr="00B1671F">
              <w:rPr>
                <w:rFonts w:ascii="Arial" w:hAnsi="Arial" w:cs="Arial"/>
                <w:i/>
                <w:spacing w:val="-3"/>
              </w:rPr>
              <w:t>octies</w:t>
            </w:r>
            <w:r w:rsidRPr="00B1671F">
              <w:rPr>
                <w:rFonts w:ascii="Arial" w:hAnsi="Arial" w:cs="Arial"/>
                <w:spacing w:val="-3"/>
              </w:rPr>
              <w:t>, §2, alinéa 5, inséré par la loi du 10 décembre 2009 et alinéa 7, inséré par la loi du 7 avril 2019;</w:t>
            </w:r>
          </w:p>
        </w:tc>
        <w:tc>
          <w:tcPr>
            <w:tcW w:w="4820" w:type="dxa"/>
            <w:tcBorders>
              <w:top w:val="nil"/>
              <w:left w:val="nil"/>
              <w:bottom w:val="nil"/>
              <w:right w:val="nil"/>
            </w:tcBorders>
          </w:tcPr>
          <w:p w:rsidR="00B445AF" w:rsidRPr="00B1671F" w:rsidRDefault="006E2460" w:rsidP="00B1671F">
            <w:pPr>
              <w:jc w:val="both"/>
              <w:rPr>
                <w:rFonts w:ascii="Arial" w:hAnsi="Arial" w:cs="Arial"/>
                <w:spacing w:val="-3"/>
                <w:lang w:val="nl-BE"/>
              </w:rPr>
            </w:pPr>
            <w:r w:rsidRPr="00B1671F">
              <w:rPr>
                <w:rFonts w:ascii="Arial" w:hAnsi="Arial" w:cs="Arial"/>
                <w:spacing w:val="-3"/>
                <w:lang w:val="nl-BE"/>
              </w:rPr>
              <w:t>Gelet op de wet betreffende de verplichte verzekering voor geneeskundige verzorging en uitkeringen, gecoördineerd op 14 juli 1994, artikel 35</w:t>
            </w:r>
            <w:r w:rsidRPr="00B1671F">
              <w:rPr>
                <w:rFonts w:ascii="Arial" w:hAnsi="Arial" w:cs="Arial"/>
                <w:i/>
                <w:spacing w:val="-3"/>
                <w:lang w:val="nl-BE"/>
              </w:rPr>
              <w:t>octies</w:t>
            </w:r>
            <w:r w:rsidRPr="00B1671F">
              <w:rPr>
                <w:rFonts w:ascii="Arial" w:hAnsi="Arial" w:cs="Arial"/>
                <w:spacing w:val="-3"/>
                <w:lang w:val="nl-BE"/>
              </w:rPr>
              <w:t>, §2, vijfde lid, ingevoegd bij de wet van 10 december 2009 en zevende lid, ingevoegd bij de wet van 7 april 2019;</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C67682">
            <w:pPr>
              <w:jc w:val="both"/>
              <w:rPr>
                <w:rFonts w:ascii="Arial" w:hAnsi="Arial" w:cs="Arial"/>
                <w:spacing w:val="-3"/>
              </w:rPr>
            </w:pPr>
            <w:r w:rsidRPr="00B1671F">
              <w:rPr>
                <w:rFonts w:ascii="Arial" w:hAnsi="Arial" w:cs="Arial"/>
                <w:spacing w:val="-3"/>
              </w:rPr>
              <w:t>Vu l’avis du Comité de l’assurance des soins de santé, donné le 13 mai 2019;</w:t>
            </w:r>
          </w:p>
        </w:tc>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r w:rsidRPr="00B1671F">
              <w:rPr>
                <w:rFonts w:ascii="Arial" w:hAnsi="Arial" w:cs="Arial"/>
                <w:spacing w:val="-3"/>
                <w:lang w:val="nl-BE"/>
              </w:rPr>
              <w:t>Gelet op het advies van het Comité van de verzekering voor geneeskundige verzorging, gegeven op 13 mei 2019;</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ind w:left="34" w:hanging="34"/>
              <w:jc w:val="both"/>
              <w:rPr>
                <w:rFonts w:ascii="Arial" w:hAnsi="Arial" w:cs="Arial"/>
                <w:spacing w:val="-3"/>
              </w:rPr>
            </w:pPr>
            <w:r w:rsidRPr="00B1671F">
              <w:rPr>
                <w:rFonts w:ascii="Arial" w:hAnsi="Arial" w:cs="Arial"/>
                <w:spacing w:val="-3"/>
              </w:rPr>
              <w:t>Vu l'avis de l'inspecteur des Finances, donné le 7 juin 2019;</w:t>
            </w:r>
          </w:p>
        </w:tc>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r w:rsidRPr="00B1671F">
              <w:rPr>
                <w:rFonts w:ascii="Arial" w:hAnsi="Arial" w:cs="Arial"/>
                <w:spacing w:val="-3"/>
                <w:lang w:val="nl-NL"/>
              </w:rPr>
              <w:t>Gelet op het advies van de inspecteur van Financiën, gegeven op 7 juni 2019;</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ind w:left="34" w:hanging="34"/>
              <w:jc w:val="both"/>
              <w:rPr>
                <w:rFonts w:ascii="Arial" w:hAnsi="Arial" w:cs="Arial"/>
                <w:spacing w:val="-3"/>
              </w:rPr>
            </w:pPr>
            <w:r w:rsidRPr="00B1671F">
              <w:rPr>
                <w:rFonts w:ascii="Arial" w:hAnsi="Arial" w:cs="Arial"/>
                <w:spacing w:val="-3"/>
              </w:rPr>
              <w:t>Vu l'accord du Ministre du Budget, donné le 17 juillet 2019;</w:t>
            </w:r>
          </w:p>
        </w:tc>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NL"/>
              </w:rPr>
            </w:pPr>
            <w:r w:rsidRPr="00B1671F">
              <w:rPr>
                <w:rFonts w:ascii="Arial" w:hAnsi="Arial" w:cs="Arial"/>
                <w:spacing w:val="-3"/>
                <w:lang w:val="nl-BE"/>
              </w:rPr>
              <w:t>Gelet op de akkoordbevinding van de Minister van Begroting, gegeven op 17 juli 2019;</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12052D">
            <w:pPr>
              <w:jc w:val="both"/>
              <w:rPr>
                <w:rFonts w:ascii="Arial" w:hAnsi="Arial" w:cs="Arial"/>
                <w:spacing w:val="-3"/>
                <w:lang w:val="fr-BE"/>
              </w:rPr>
            </w:pPr>
            <w:r w:rsidRPr="00B1671F">
              <w:rPr>
                <w:rFonts w:ascii="Arial" w:hAnsi="Arial" w:cs="Arial"/>
                <w:spacing w:val="-3"/>
                <w:lang w:val="fr-BE"/>
              </w:rPr>
              <w:t xml:space="preserve">Vu l’avis n° </w:t>
            </w:r>
            <w:r w:rsidR="0012052D" w:rsidRPr="00B1671F">
              <w:rPr>
                <w:rFonts w:ascii="Arial" w:hAnsi="Arial" w:cs="Arial"/>
                <w:spacing w:val="-3"/>
                <w:lang w:val="fr-BE"/>
              </w:rPr>
              <w:t>66.585/2</w:t>
            </w:r>
            <w:r w:rsidRPr="00B1671F">
              <w:rPr>
                <w:rFonts w:ascii="Arial" w:hAnsi="Arial" w:cs="Arial"/>
                <w:spacing w:val="-3"/>
                <w:lang w:val="fr-BE"/>
              </w:rPr>
              <w:t xml:space="preserve"> du Conseil d’Etat, donné le </w:t>
            </w:r>
            <w:r w:rsidR="0012052D" w:rsidRPr="00B1671F">
              <w:rPr>
                <w:rFonts w:ascii="Arial" w:hAnsi="Arial" w:cs="Arial"/>
                <w:spacing w:val="-3"/>
                <w:lang w:val="fr-BE"/>
              </w:rPr>
              <w:t>14 octobre 2019</w:t>
            </w:r>
            <w:r w:rsidRPr="00B1671F">
              <w:rPr>
                <w:rFonts w:ascii="Arial" w:hAnsi="Arial" w:cs="Arial"/>
                <w:spacing w:val="-3"/>
                <w:lang w:val="fr-BE"/>
              </w:rPr>
              <w:t>, en application de l’article 84, § 1er, alinéa 1er, 2°, des lois sur le Conseil d’Etat, coordonnées le 12 janvier 1973;</w:t>
            </w:r>
          </w:p>
        </w:tc>
        <w:tc>
          <w:tcPr>
            <w:tcW w:w="4820" w:type="dxa"/>
            <w:tcBorders>
              <w:top w:val="nil"/>
              <w:left w:val="nil"/>
              <w:bottom w:val="nil"/>
              <w:right w:val="nil"/>
            </w:tcBorders>
          </w:tcPr>
          <w:p w:rsidR="00B445AF" w:rsidRPr="00B1671F" w:rsidRDefault="00B445AF" w:rsidP="0012052D">
            <w:pPr>
              <w:jc w:val="both"/>
              <w:rPr>
                <w:rFonts w:ascii="Arial" w:hAnsi="Arial" w:cs="Arial"/>
                <w:spacing w:val="-3"/>
                <w:lang w:val="nl-BE"/>
              </w:rPr>
            </w:pPr>
            <w:r w:rsidRPr="00B1671F">
              <w:rPr>
                <w:rFonts w:ascii="Arial" w:hAnsi="Arial" w:cs="Arial"/>
                <w:spacing w:val="-3"/>
                <w:lang w:val="nl-BE"/>
              </w:rPr>
              <w:t>Gelet op het advies nr.</w:t>
            </w:r>
            <w:r w:rsidR="0012052D" w:rsidRPr="00B1671F">
              <w:rPr>
                <w:rFonts w:ascii="Arial" w:hAnsi="Arial" w:cs="Arial"/>
                <w:spacing w:val="-3"/>
                <w:lang w:val="nl-BE"/>
              </w:rPr>
              <w:t xml:space="preserve"> 66.585/2</w:t>
            </w:r>
            <w:r w:rsidRPr="00B1671F">
              <w:rPr>
                <w:rFonts w:ascii="Arial" w:hAnsi="Arial" w:cs="Arial"/>
                <w:spacing w:val="-3"/>
                <w:lang w:val="nl-BE"/>
              </w:rPr>
              <w:t xml:space="preserve"> van de Raad van State, gegeven op </w:t>
            </w:r>
            <w:r w:rsidR="0012052D" w:rsidRPr="00B1671F">
              <w:rPr>
                <w:rFonts w:ascii="Arial" w:hAnsi="Arial" w:cs="Arial"/>
                <w:spacing w:val="-3"/>
                <w:lang w:val="nl-BE"/>
              </w:rPr>
              <w:t>14 oktober 2019</w:t>
            </w:r>
            <w:r w:rsidRPr="00B1671F">
              <w:rPr>
                <w:rFonts w:ascii="Arial" w:hAnsi="Arial" w:cs="Arial"/>
                <w:spacing w:val="-3"/>
                <w:lang w:val="nl-BE"/>
              </w:rPr>
              <w:t xml:space="preserve"> met toepassing van artikel 84, § 1, eerste lid, 2°, van de wetten op de Raad van State, gecoördineerd op 12 januari 1973;</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fr-BE"/>
              </w:rPr>
            </w:pPr>
            <w:r w:rsidRPr="00B1671F">
              <w:rPr>
                <w:rFonts w:ascii="Arial" w:hAnsi="Arial" w:cs="Arial"/>
                <w:spacing w:val="-3"/>
                <w:lang w:val="fr-BE"/>
              </w:rPr>
              <w:t>Vu l’analyse d’impact de la réglementation réalisée conformément aux articles 6 et 7 de la loi du 15 décembre 2013 portant des dispositions diverses en matière de simplification administrative ;</w:t>
            </w:r>
          </w:p>
        </w:tc>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r w:rsidRPr="00B1671F">
              <w:rPr>
                <w:rFonts w:ascii="Arial" w:hAnsi="Arial" w:cs="Arial"/>
                <w:spacing w:val="-3"/>
                <w:lang w:val="nl-BE"/>
              </w:rPr>
              <w:t>Gelet op de impactanalyse van de regelgeving, uitgevoerd overeenkomstig artikels 6 en 7 van de wet van 15 december 2013 houdende diverse bepalingen inzake administratieve vereenvoudiging;</w:t>
            </w:r>
          </w:p>
        </w:tc>
      </w:tr>
      <w:tr w:rsidR="00C67682" w:rsidRPr="00617458" w:rsidTr="0069379F">
        <w:tc>
          <w:tcPr>
            <w:tcW w:w="4820" w:type="dxa"/>
            <w:tcBorders>
              <w:top w:val="nil"/>
              <w:left w:val="nil"/>
              <w:bottom w:val="nil"/>
              <w:right w:val="nil"/>
            </w:tcBorders>
          </w:tcPr>
          <w:p w:rsidR="00C67682" w:rsidRPr="00B1671F" w:rsidRDefault="00C67682" w:rsidP="00B445AF">
            <w:pPr>
              <w:jc w:val="both"/>
              <w:rPr>
                <w:rFonts w:ascii="Arial" w:hAnsi="Arial" w:cs="Arial"/>
                <w:spacing w:val="-3"/>
                <w:lang w:val="nl-BE"/>
              </w:rPr>
            </w:pPr>
          </w:p>
        </w:tc>
        <w:tc>
          <w:tcPr>
            <w:tcW w:w="4820" w:type="dxa"/>
            <w:tcBorders>
              <w:top w:val="nil"/>
              <w:left w:val="nil"/>
              <w:bottom w:val="nil"/>
              <w:right w:val="nil"/>
            </w:tcBorders>
          </w:tcPr>
          <w:p w:rsidR="00C67682" w:rsidRPr="00B1671F" w:rsidRDefault="00C67682" w:rsidP="00B445AF">
            <w:pPr>
              <w:jc w:val="both"/>
              <w:rPr>
                <w:rFonts w:ascii="Arial" w:hAnsi="Arial" w:cs="Arial"/>
                <w:spacing w:val="-3"/>
                <w:lang w:val="nl-BE"/>
              </w:rPr>
            </w:pPr>
          </w:p>
        </w:tc>
      </w:tr>
      <w:tr w:rsidR="00C67682" w:rsidRPr="00617458" w:rsidTr="00D33C59">
        <w:tc>
          <w:tcPr>
            <w:tcW w:w="4820" w:type="dxa"/>
            <w:tcBorders>
              <w:top w:val="nil"/>
              <w:left w:val="nil"/>
              <w:bottom w:val="nil"/>
              <w:right w:val="nil"/>
            </w:tcBorders>
          </w:tcPr>
          <w:p w:rsidR="00C67682" w:rsidRPr="00B1671F" w:rsidRDefault="00C67682" w:rsidP="00D33C59">
            <w:pPr>
              <w:jc w:val="both"/>
              <w:rPr>
                <w:rFonts w:ascii="Arial" w:hAnsi="Arial" w:cs="Arial"/>
                <w:spacing w:val="-3"/>
                <w:lang w:val="fr-BE"/>
              </w:rPr>
            </w:pPr>
            <w:r w:rsidRPr="00B1671F">
              <w:rPr>
                <w:rFonts w:ascii="Arial" w:hAnsi="Arial"/>
                <w:spacing w:val="-2"/>
                <w:lang w:val="fr-BE"/>
              </w:rPr>
              <w:t>Considérant la proposition de la Commission de conventions pharmaciens – organismes assureurs, formulée le 26 avril 2019</w:t>
            </w:r>
            <w:r w:rsidRPr="00B1671F">
              <w:rPr>
                <w:rFonts w:ascii="Arial" w:hAnsi="Arial" w:cs="Arial"/>
                <w:lang w:val="fr-BE"/>
              </w:rPr>
              <w:t>;</w:t>
            </w:r>
          </w:p>
        </w:tc>
        <w:tc>
          <w:tcPr>
            <w:tcW w:w="4820" w:type="dxa"/>
            <w:tcBorders>
              <w:top w:val="nil"/>
              <w:left w:val="nil"/>
              <w:bottom w:val="nil"/>
              <w:right w:val="nil"/>
            </w:tcBorders>
          </w:tcPr>
          <w:p w:rsidR="00C67682" w:rsidRPr="00B1671F" w:rsidRDefault="00C67682" w:rsidP="00D33C59">
            <w:pPr>
              <w:jc w:val="both"/>
              <w:rPr>
                <w:rFonts w:ascii="Arial" w:hAnsi="Arial" w:cs="Arial"/>
                <w:spacing w:val="-3"/>
                <w:lang w:val="nl-BE"/>
              </w:rPr>
            </w:pPr>
            <w:r w:rsidRPr="00B1671F">
              <w:rPr>
                <w:rFonts w:ascii="Arial" w:hAnsi="Arial"/>
                <w:snapToGrid w:val="0"/>
                <w:spacing w:val="-2"/>
                <w:lang w:val="nl-BE" w:eastAsia="fr-FR"/>
              </w:rPr>
              <w:t>Overwegende het voorstel van de overeenkomsten-commissie apothekers – verzekeringsinstellingen, geformuleerd op 26 april 2019</w:t>
            </w:r>
            <w:r w:rsidRPr="00B1671F">
              <w:rPr>
                <w:rFonts w:ascii="Arial" w:hAnsi="Arial" w:cs="Arial"/>
                <w:lang w:val="nl-BE"/>
              </w:rPr>
              <w:t>;</w:t>
            </w:r>
          </w:p>
        </w:tc>
      </w:tr>
      <w:tr w:rsidR="00C67682" w:rsidRPr="00617458" w:rsidTr="00D33C59">
        <w:tc>
          <w:tcPr>
            <w:tcW w:w="4820" w:type="dxa"/>
            <w:tcBorders>
              <w:top w:val="nil"/>
              <w:left w:val="nil"/>
              <w:bottom w:val="nil"/>
              <w:right w:val="nil"/>
            </w:tcBorders>
          </w:tcPr>
          <w:p w:rsidR="00C67682" w:rsidRPr="00B1671F" w:rsidRDefault="00C67682" w:rsidP="00D33C59">
            <w:pPr>
              <w:jc w:val="both"/>
              <w:rPr>
                <w:rFonts w:ascii="Arial" w:hAnsi="Arial" w:cs="Arial"/>
                <w:spacing w:val="-3"/>
                <w:lang w:val="nl-BE"/>
              </w:rPr>
            </w:pPr>
          </w:p>
        </w:tc>
        <w:tc>
          <w:tcPr>
            <w:tcW w:w="4820" w:type="dxa"/>
            <w:tcBorders>
              <w:top w:val="nil"/>
              <w:left w:val="nil"/>
              <w:bottom w:val="nil"/>
              <w:right w:val="nil"/>
            </w:tcBorders>
          </w:tcPr>
          <w:p w:rsidR="00C67682" w:rsidRPr="00B1671F" w:rsidRDefault="00C67682" w:rsidP="00D33C59">
            <w:pPr>
              <w:rPr>
                <w:rFonts w:ascii="Arial" w:hAnsi="Arial" w:cs="Arial"/>
                <w:spacing w:val="-3"/>
                <w:lang w:val="nl-BE"/>
              </w:rPr>
            </w:pPr>
          </w:p>
        </w:tc>
      </w:tr>
      <w:tr w:rsidR="00C67682" w:rsidRPr="00617458" w:rsidTr="00D33C59">
        <w:tc>
          <w:tcPr>
            <w:tcW w:w="4820" w:type="dxa"/>
            <w:tcBorders>
              <w:top w:val="nil"/>
              <w:left w:val="nil"/>
              <w:bottom w:val="nil"/>
              <w:right w:val="nil"/>
            </w:tcBorders>
          </w:tcPr>
          <w:p w:rsidR="00C67682" w:rsidRPr="00B1671F" w:rsidRDefault="00C67682" w:rsidP="00D33C59">
            <w:pPr>
              <w:jc w:val="both"/>
              <w:rPr>
                <w:rFonts w:ascii="Arial" w:hAnsi="Arial" w:cs="Arial"/>
                <w:spacing w:val="-3"/>
                <w:lang w:val="fr-BE"/>
              </w:rPr>
            </w:pPr>
            <w:r w:rsidRPr="00B1671F">
              <w:rPr>
                <w:rFonts w:ascii="Arial" w:hAnsi="Arial" w:cs="Arial"/>
                <w:lang w:val="fr-BE"/>
              </w:rPr>
              <w:t>Considérant l’avis de la Commission de contrôle budgétaire, donné le 8 mai 2019;</w:t>
            </w:r>
          </w:p>
        </w:tc>
        <w:tc>
          <w:tcPr>
            <w:tcW w:w="4820" w:type="dxa"/>
            <w:tcBorders>
              <w:top w:val="nil"/>
              <w:left w:val="nil"/>
              <w:bottom w:val="nil"/>
              <w:right w:val="nil"/>
            </w:tcBorders>
          </w:tcPr>
          <w:p w:rsidR="00C67682" w:rsidRPr="00B1671F" w:rsidRDefault="00C67682" w:rsidP="00D33C59">
            <w:pPr>
              <w:jc w:val="both"/>
              <w:rPr>
                <w:rFonts w:ascii="Arial" w:hAnsi="Arial" w:cs="Arial"/>
                <w:spacing w:val="-3"/>
                <w:lang w:val="nl-BE"/>
              </w:rPr>
            </w:pPr>
            <w:r w:rsidRPr="00B1671F">
              <w:rPr>
                <w:rFonts w:ascii="Arial" w:hAnsi="Arial" w:cs="Arial"/>
                <w:spacing w:val="-3"/>
                <w:lang w:val="nl-BE"/>
              </w:rPr>
              <w:t>Overwegende het advies van de Commissie voor begrotingscontrole, gegeven op 8 mei 2019;</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spacing w:val="-2"/>
                <w:lang w:val="fr-BE"/>
              </w:rPr>
            </w:pPr>
            <w:r w:rsidRPr="00B1671F">
              <w:rPr>
                <w:rFonts w:ascii="Arial" w:hAnsi="Arial"/>
                <w:spacing w:val="-2"/>
                <w:lang w:val="fr-BE"/>
              </w:rPr>
              <w:lastRenderedPageBreak/>
              <w:t>Considérant la loi coordonnée du 10 mai 2015 relative à l’exercice des professions des soins de santé, articles 26 à 29 ;</w:t>
            </w:r>
          </w:p>
        </w:tc>
        <w:tc>
          <w:tcPr>
            <w:tcW w:w="4820" w:type="dxa"/>
            <w:tcBorders>
              <w:top w:val="nil"/>
              <w:left w:val="nil"/>
              <w:bottom w:val="nil"/>
              <w:right w:val="nil"/>
            </w:tcBorders>
          </w:tcPr>
          <w:p w:rsidR="00B445AF" w:rsidRPr="00B1671F" w:rsidRDefault="00B445AF" w:rsidP="00B445AF">
            <w:pPr>
              <w:jc w:val="both"/>
              <w:rPr>
                <w:rFonts w:ascii="Arial" w:hAnsi="Arial"/>
                <w:snapToGrid w:val="0"/>
                <w:spacing w:val="-2"/>
                <w:lang w:val="nl-NL" w:eastAsia="fr-FR"/>
              </w:rPr>
            </w:pPr>
            <w:r w:rsidRPr="00B1671F">
              <w:rPr>
                <w:rFonts w:ascii="Arial" w:hAnsi="Arial"/>
                <w:snapToGrid w:val="0"/>
                <w:spacing w:val="-2"/>
                <w:lang w:val="nl-NL" w:eastAsia="fr-FR"/>
              </w:rPr>
              <w:t xml:space="preserve">Overwegende de gecoördineerde wet van 10 mei 2015 betreffende de uitoefening van de gezondheidszorgberoepen, artikelen 26 tot 29; </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fr-BE"/>
              </w:rPr>
            </w:pPr>
            <w:r w:rsidRPr="00B1671F">
              <w:rPr>
                <w:rFonts w:ascii="Arial" w:hAnsi="Arial" w:cs="Arial"/>
                <w:spacing w:val="-3"/>
                <w:lang w:val="fr-BE"/>
              </w:rPr>
              <w:t>Considérant l’arrêté royal du 21 janvier 2009 portant instructions pour les pharmaciens, article 6 ;</w:t>
            </w: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r w:rsidRPr="00B1671F">
              <w:rPr>
                <w:rFonts w:ascii="Arial" w:hAnsi="Arial" w:cs="Arial"/>
                <w:spacing w:val="-3"/>
                <w:lang w:val="nl-BE"/>
              </w:rPr>
              <w:t>Overwegende het koninklijk besluit van 21 januari 2009 houdende onderrichtingen voor de apothekers, artikel 6;</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3"/>
              </w:rPr>
            </w:pPr>
            <w:r w:rsidRPr="00B1671F">
              <w:rPr>
                <w:rFonts w:ascii="Arial" w:hAnsi="Arial"/>
                <w:snapToGrid w:val="0"/>
                <w:spacing w:val="-2"/>
                <w:lang w:eastAsia="fr-FR"/>
              </w:rPr>
              <w:t xml:space="preserve">Sur la proposition de la Ministre des Affaires sociales et de la Santé publique et de l’avis des Ministres qui en ont délibéré en Conseil </w:t>
            </w:r>
            <w:r w:rsidRPr="00B1671F">
              <w:rPr>
                <w:rFonts w:ascii="Arial" w:hAnsi="Arial" w:cs="Arial"/>
                <w:spacing w:val="-3"/>
              </w:rPr>
              <w:t>;</w:t>
            </w:r>
          </w:p>
        </w:tc>
        <w:tc>
          <w:tcPr>
            <w:tcW w:w="4820" w:type="dxa"/>
            <w:tcBorders>
              <w:top w:val="nil"/>
              <w:left w:val="nil"/>
              <w:bottom w:val="nil"/>
              <w:right w:val="nil"/>
            </w:tcBorders>
          </w:tcPr>
          <w:p w:rsidR="00B445AF" w:rsidRPr="00B1671F" w:rsidRDefault="00B445AF" w:rsidP="00B445AF">
            <w:pPr>
              <w:jc w:val="both"/>
              <w:rPr>
                <w:rFonts w:ascii="Arial" w:hAnsi="Arial" w:cs="Arial"/>
                <w:spacing w:val="-3"/>
                <w:lang w:val="nl-BE"/>
              </w:rPr>
            </w:pPr>
            <w:r w:rsidRPr="00B1671F">
              <w:rPr>
                <w:rFonts w:ascii="Arial" w:hAnsi="Arial"/>
                <w:snapToGrid w:val="0"/>
                <w:spacing w:val="-2"/>
                <w:lang w:val="nl-BE" w:eastAsia="fr-FR"/>
              </w:rPr>
              <w:t>Op de voordracht van de Minister van Sociale Zaken en Volksgezondheid en op het advies van de in Raad vergaderde Ministers</w:t>
            </w:r>
            <w:r w:rsidRPr="00B1671F">
              <w:rPr>
                <w:rFonts w:ascii="Arial" w:hAnsi="Arial" w:cs="Arial"/>
                <w:spacing w:val="-3"/>
                <w:lang w:val="nl-BE"/>
              </w:rPr>
              <w:t>;</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spacing w:val="-3"/>
              </w:rPr>
            </w:pPr>
            <w:r w:rsidRPr="00B1671F">
              <w:rPr>
                <w:rFonts w:ascii="Arial" w:hAnsi="Arial" w:cs="Arial"/>
                <w:spacing w:val="-2"/>
              </w:rPr>
              <w:t>NOUS AVONS ARRETE ET ARRETONS :</w:t>
            </w: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r w:rsidRPr="00B1671F">
              <w:rPr>
                <w:rFonts w:ascii="Arial" w:hAnsi="Arial" w:cs="Arial"/>
                <w:spacing w:val="-2"/>
                <w:lang w:val="nl-NL"/>
              </w:rPr>
              <w:t>HEBBEN WIJ BESLOTEN EN BESLUITEN WIJ :</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r>
      <w:tr w:rsidR="00B445AF" w:rsidRPr="00B1671F" w:rsidTr="0069379F">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nl-BE"/>
              </w:rPr>
            </w:pPr>
            <w:r w:rsidRPr="00B1671F">
              <w:rPr>
                <w:rFonts w:ascii="Arial" w:hAnsi="Arial" w:cs="Arial"/>
                <w:b/>
                <w:spacing w:val="-2"/>
                <w:lang w:val="nl-BE"/>
              </w:rPr>
              <w:t>CHAPITRE 1</w:t>
            </w:r>
            <w:r w:rsidRPr="00B1671F">
              <w:rPr>
                <w:rFonts w:ascii="Arial" w:hAnsi="Arial" w:cs="Arial"/>
                <w:b/>
                <w:spacing w:val="-2"/>
                <w:vertAlign w:val="superscript"/>
                <w:lang w:val="nl-BE"/>
              </w:rPr>
              <w:t>er</w:t>
            </w:r>
            <w:r w:rsidRPr="00B1671F">
              <w:rPr>
                <w:rFonts w:ascii="Arial" w:hAnsi="Arial" w:cs="Arial"/>
                <w:b/>
                <w:spacing w:val="-2"/>
                <w:lang w:val="nl-BE"/>
              </w:rPr>
              <w:t>. Dispositions introductives.</w:t>
            </w:r>
          </w:p>
        </w:tc>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nl-BE"/>
              </w:rPr>
            </w:pPr>
            <w:r w:rsidRPr="00B1671F">
              <w:rPr>
                <w:rFonts w:ascii="Arial" w:hAnsi="Arial" w:cs="Arial"/>
                <w:b/>
                <w:spacing w:val="-2"/>
                <w:lang w:val="nl-BE"/>
              </w:rPr>
              <w:t>HOOFDSTUK 1. Inleidende bepalingen.</w:t>
            </w:r>
          </w:p>
        </w:tc>
      </w:tr>
      <w:tr w:rsidR="00B445AF" w:rsidRPr="00B1671F" w:rsidTr="0069379F">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spacing w:val="-2"/>
                <w:lang w:val="fr-BE"/>
              </w:rPr>
            </w:pPr>
            <w:r w:rsidRPr="00B1671F">
              <w:rPr>
                <w:rFonts w:ascii="Arial" w:hAnsi="Arial" w:cs="Arial"/>
                <w:b/>
                <w:spacing w:val="-2"/>
                <w:lang w:val="fr-BE"/>
              </w:rPr>
              <w:t>Article 1</w:t>
            </w:r>
            <w:r w:rsidRPr="00B1671F">
              <w:rPr>
                <w:rFonts w:ascii="Arial" w:hAnsi="Arial" w:cs="Arial"/>
                <w:b/>
                <w:spacing w:val="-2"/>
                <w:vertAlign w:val="superscript"/>
                <w:lang w:val="fr-BE"/>
              </w:rPr>
              <w:t>er</w:t>
            </w:r>
            <w:r w:rsidRPr="00B1671F">
              <w:rPr>
                <w:rFonts w:ascii="Arial" w:hAnsi="Arial" w:cs="Arial"/>
                <w:b/>
                <w:spacing w:val="-2"/>
                <w:lang w:val="fr-BE"/>
              </w:rPr>
              <w:t xml:space="preserve">. </w:t>
            </w:r>
            <w:r w:rsidRPr="00B1671F">
              <w:rPr>
                <w:rFonts w:ascii="Arial" w:hAnsi="Arial" w:cs="Arial"/>
                <w:spacing w:val="-2"/>
                <w:lang w:val="fr-BE"/>
              </w:rPr>
              <w:t>Pour l’application du présent arrêté, on entend par :</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spacing w:val="-2"/>
                <w:lang w:val="nl-BE"/>
              </w:rPr>
              <w:t xml:space="preserve">Artikel 1. </w:t>
            </w:r>
            <w:r w:rsidRPr="00B1671F">
              <w:rPr>
                <w:rFonts w:ascii="Arial" w:hAnsi="Arial" w:cs="Arial"/>
                <w:spacing w:val="-2"/>
                <w:lang w:val="nl-BE"/>
              </w:rPr>
              <w:t>Voor de toepassing van dit besluit wordt verstaan onder:</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r w:rsidRPr="00B1671F">
              <w:rPr>
                <w:rFonts w:ascii="Arial" w:hAnsi="Arial" w:cs="Arial"/>
                <w:spacing w:val="-2"/>
                <w:lang w:val="fr-BE"/>
              </w:rPr>
              <w:t xml:space="preserve">1° </w:t>
            </w:r>
            <w:r w:rsidRPr="00B1671F">
              <w:rPr>
                <w:rFonts w:ascii="Arial" w:hAnsi="Arial" w:cs="Arial"/>
              </w:rPr>
              <w:t>« l'INAMI », l'Institut national d'assurance maladie-invalidité ;</w:t>
            </w: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r w:rsidRPr="00B1671F">
              <w:rPr>
                <w:rFonts w:ascii="Arial" w:hAnsi="Arial" w:cs="Arial"/>
                <w:lang w:val="nl-BE"/>
              </w:rPr>
              <w:t>1° "het RIZIV", het Rijksinstituut voor ziekte- en invaliditeitsverzekering;</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r w:rsidRPr="00B1671F">
              <w:rPr>
                <w:rFonts w:ascii="Arial" w:hAnsi="Arial" w:cs="Arial"/>
                <w:spacing w:val="-2"/>
                <w:lang w:val="fr-BE"/>
              </w:rPr>
              <w:t xml:space="preserve">2° « la CAAMI », la </w:t>
            </w:r>
            <w:r w:rsidRPr="00B1671F">
              <w:t xml:space="preserve"> </w:t>
            </w:r>
            <w:r w:rsidRPr="00B1671F">
              <w:rPr>
                <w:rFonts w:ascii="Arial" w:hAnsi="Arial" w:cs="Arial"/>
                <w:color w:val="222222"/>
                <w:lang w:val="fr-BE"/>
              </w:rPr>
              <w:t>Caisse auxiliaire d'assurance maladie-invalidité ;</w:t>
            </w: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r w:rsidRPr="00B1671F">
              <w:rPr>
                <w:rFonts w:ascii="Arial" w:hAnsi="Arial" w:cs="Arial"/>
                <w:lang w:val="nl-BE"/>
              </w:rPr>
              <w:t>2° “de HZIV” : de Hulpkas voor Ziekte- en Invaliditeitsverzekering;</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p>
        </w:tc>
      </w:tr>
      <w:tr w:rsidR="00B445AF" w:rsidRPr="00617458" w:rsidTr="0069379F">
        <w:tc>
          <w:tcPr>
            <w:tcW w:w="4820" w:type="dxa"/>
            <w:tcBorders>
              <w:top w:val="nil"/>
              <w:left w:val="nil"/>
              <w:bottom w:val="nil"/>
              <w:right w:val="nil"/>
            </w:tcBorders>
          </w:tcPr>
          <w:p w:rsidR="00B445AF" w:rsidRPr="00B1671F" w:rsidRDefault="006E2460" w:rsidP="00B1671F">
            <w:pPr>
              <w:jc w:val="both"/>
              <w:rPr>
                <w:rFonts w:ascii="Arial" w:hAnsi="Arial" w:cs="Arial"/>
                <w:b/>
                <w:spacing w:val="-2"/>
                <w:lang w:val="fr-BE"/>
              </w:rPr>
            </w:pPr>
            <w:r w:rsidRPr="00B1671F">
              <w:rPr>
                <w:rFonts w:ascii="Arial" w:hAnsi="Arial" w:cs="Arial"/>
                <w:spacing w:val="-2"/>
                <w:lang w:val="fr-BE"/>
              </w:rPr>
              <w:t xml:space="preserve">3° </w:t>
            </w:r>
            <w:r w:rsidRPr="00B1671F">
              <w:rPr>
                <w:rFonts w:ascii="Arial" w:hAnsi="Arial" w:cs="Arial"/>
                <w:bCs/>
              </w:rPr>
              <w:t>" pharmacien " : toute personne qui est habilitée à exercer l'art pharmaceutique aux termes de l’article 6 §1</w:t>
            </w:r>
            <w:r w:rsidRPr="00B1671F">
              <w:rPr>
                <w:rFonts w:ascii="Arial" w:hAnsi="Arial" w:cs="Arial"/>
                <w:bCs/>
                <w:vertAlign w:val="superscript"/>
              </w:rPr>
              <w:t>er</w:t>
            </w:r>
            <w:r w:rsidRPr="00B1671F">
              <w:rPr>
                <w:rFonts w:ascii="Arial" w:hAnsi="Arial" w:cs="Arial"/>
                <w:bCs/>
              </w:rPr>
              <w:t xml:space="preserve"> </w:t>
            </w:r>
            <w:r w:rsidRPr="00B1671F">
              <w:rPr>
                <w:rFonts w:ascii="Arial" w:hAnsi="Arial" w:cs="Arial"/>
                <w:spacing w:val="-2"/>
                <w:lang w:val="fr-BE"/>
              </w:rPr>
              <w:t>de la loi coordonnée du 10 mai 2015 relative à l’exercice des professions des soins de santé</w:t>
            </w:r>
            <w:r w:rsidRPr="00B1671F">
              <w:rPr>
                <w:rFonts w:ascii="Arial" w:hAnsi="Arial" w:cs="Arial"/>
                <w:bCs/>
              </w:rPr>
              <w:t>, et qui exerce effectivement sa profession dans une pharmacie, soit comme pharmacien titulaire, soit comme pharmacien adjoint, soit comme pharmacien-remplaçant ;</w:t>
            </w:r>
          </w:p>
        </w:tc>
        <w:tc>
          <w:tcPr>
            <w:tcW w:w="4820" w:type="dxa"/>
            <w:tcBorders>
              <w:top w:val="nil"/>
              <w:left w:val="nil"/>
              <w:bottom w:val="nil"/>
              <w:right w:val="nil"/>
            </w:tcBorders>
          </w:tcPr>
          <w:p w:rsidR="00B445AF" w:rsidRPr="00B1671F" w:rsidRDefault="006E2460" w:rsidP="00B1671F">
            <w:pPr>
              <w:jc w:val="both"/>
              <w:rPr>
                <w:rFonts w:ascii="Arial" w:hAnsi="Arial" w:cs="Arial"/>
                <w:b/>
                <w:spacing w:val="-2"/>
                <w:lang w:val="nl-BE"/>
              </w:rPr>
            </w:pPr>
            <w:r w:rsidRPr="00B1671F">
              <w:rPr>
                <w:rFonts w:ascii="Arial" w:hAnsi="Arial" w:cs="Arial"/>
                <w:lang w:val="nl-BE"/>
              </w:rPr>
              <w:t>3° "apotheker": ieder persoon die gemachtigd is om de artsenijbereidkunde uit te oefenen in de zin van artikel 6, §1 van de gecoördineerde wet van 10 mei 2015 betreffende de uitoefening van de gezondheidszorgberoepen, en die zijn beroep daadwerkelijk uitoefent in een apotheek</w:t>
            </w:r>
            <w:r w:rsidR="00B1671F" w:rsidRPr="00B1671F">
              <w:rPr>
                <w:rFonts w:ascii="Arial" w:hAnsi="Arial" w:cs="Arial"/>
                <w:lang w:val="nl-BE"/>
              </w:rPr>
              <w:t>,</w:t>
            </w:r>
            <w:r w:rsidRPr="00B1671F">
              <w:rPr>
                <w:rFonts w:ascii="Arial" w:hAnsi="Arial" w:cs="Arial"/>
                <w:lang w:val="nl-BE"/>
              </w:rPr>
              <w:t xml:space="preserve"> hetzij als apotheker-titularis, hetzij als adjunct-apotheker, hetzij als apotheker-vervanger;</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p>
        </w:tc>
      </w:tr>
      <w:tr w:rsidR="00B445AF" w:rsidRPr="00617458" w:rsidTr="0069379F">
        <w:tc>
          <w:tcPr>
            <w:tcW w:w="4820" w:type="dxa"/>
            <w:tcBorders>
              <w:top w:val="nil"/>
              <w:left w:val="nil"/>
              <w:bottom w:val="nil"/>
              <w:right w:val="nil"/>
            </w:tcBorders>
          </w:tcPr>
          <w:p w:rsidR="00B445AF" w:rsidRPr="00B1671F" w:rsidRDefault="006E2460" w:rsidP="00B445AF">
            <w:pPr>
              <w:rPr>
                <w:rFonts w:ascii="Arial" w:hAnsi="Arial" w:cs="Arial"/>
                <w:spacing w:val="-2"/>
                <w:lang w:val="fr-BE"/>
              </w:rPr>
            </w:pPr>
            <w:r w:rsidRPr="00B1671F">
              <w:rPr>
                <w:rFonts w:ascii="Arial" w:hAnsi="Arial" w:cs="Arial"/>
                <w:spacing w:val="-2"/>
                <w:lang w:val="fr-BE"/>
              </w:rPr>
              <w:t xml:space="preserve">4° « pharmacie » : </w:t>
            </w:r>
            <w:r w:rsidRPr="00B1671F">
              <w:rPr>
                <w:rFonts w:ascii="Arial" w:hAnsi="Arial" w:cs="Arial"/>
                <w:bCs/>
              </w:rPr>
              <w:t>une officine ouverte au public à l’exception d’une officine hospitalière ;</w:t>
            </w:r>
          </w:p>
        </w:tc>
        <w:tc>
          <w:tcPr>
            <w:tcW w:w="4820" w:type="dxa"/>
            <w:tcBorders>
              <w:top w:val="nil"/>
              <w:left w:val="nil"/>
              <w:bottom w:val="nil"/>
              <w:right w:val="nil"/>
            </w:tcBorders>
          </w:tcPr>
          <w:p w:rsidR="00B445AF" w:rsidRPr="00B1671F" w:rsidRDefault="006E2460" w:rsidP="00B445AF">
            <w:pPr>
              <w:jc w:val="both"/>
              <w:rPr>
                <w:rFonts w:ascii="Arial" w:hAnsi="Arial" w:cs="Arial"/>
                <w:spacing w:val="-2"/>
                <w:lang w:val="nl-BE"/>
              </w:rPr>
            </w:pPr>
            <w:r w:rsidRPr="00B1671F">
              <w:rPr>
                <w:rFonts w:ascii="Arial" w:hAnsi="Arial" w:cs="Arial"/>
                <w:spacing w:val="-2"/>
                <w:lang w:val="nl-BE"/>
              </w:rPr>
              <w:t xml:space="preserve">4° </w:t>
            </w:r>
            <w:r w:rsidRPr="00B1671F">
              <w:rPr>
                <w:rFonts w:ascii="Arial" w:hAnsi="Arial" w:cs="Arial"/>
                <w:lang w:val="nl-BE"/>
              </w:rPr>
              <w:t>"apotheek": een apotheek opengesteld voor het publiek met uitzondering van een ziekenhuisapotheek;</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p>
        </w:tc>
      </w:tr>
      <w:tr w:rsidR="00B445AF" w:rsidRPr="00617458" w:rsidTr="0069379F">
        <w:tc>
          <w:tcPr>
            <w:tcW w:w="4820" w:type="dxa"/>
            <w:tcBorders>
              <w:top w:val="nil"/>
              <w:left w:val="nil"/>
              <w:bottom w:val="nil"/>
              <w:right w:val="nil"/>
            </w:tcBorders>
          </w:tcPr>
          <w:p w:rsidR="00B445AF" w:rsidRPr="00B1671F" w:rsidRDefault="006E2460" w:rsidP="00B1671F">
            <w:pPr>
              <w:jc w:val="both"/>
              <w:rPr>
                <w:rFonts w:ascii="Arial" w:hAnsi="Arial" w:cs="Arial"/>
                <w:bCs/>
                <w:lang w:val="fr-BE"/>
              </w:rPr>
            </w:pPr>
            <w:r w:rsidRPr="00B1671F">
              <w:rPr>
                <w:rFonts w:ascii="Arial" w:hAnsi="Arial" w:cs="Arial"/>
                <w:bCs/>
                <w:lang w:val="fr-BE"/>
              </w:rPr>
              <w:t xml:space="preserve">5° « service de garde » : permanence médicale conforme aux articles 26 et 28 de la loi coordonnée du 10 mai 2015 </w:t>
            </w:r>
            <w:r w:rsidRPr="00B1671F">
              <w:rPr>
                <w:rFonts w:ascii="Arial" w:hAnsi="Arial"/>
                <w:spacing w:val="-2"/>
                <w:lang w:val="fr-BE"/>
              </w:rPr>
              <w:t>relative à l’exercice des professions des soins de santé</w:t>
            </w:r>
            <w:r w:rsidRPr="00B1671F">
              <w:rPr>
                <w:rFonts w:ascii="Arial" w:hAnsi="Arial" w:cs="Arial"/>
                <w:bCs/>
                <w:lang w:val="fr-BE"/>
              </w:rPr>
              <w:t xml:space="preserve"> et à l’article 6 de l’arrêté royal du 21 janvier 2009 portant instructions aux pharmaciens ;</w:t>
            </w:r>
          </w:p>
        </w:tc>
        <w:tc>
          <w:tcPr>
            <w:tcW w:w="4820" w:type="dxa"/>
            <w:tcBorders>
              <w:top w:val="nil"/>
              <w:left w:val="nil"/>
              <w:bottom w:val="nil"/>
              <w:right w:val="nil"/>
            </w:tcBorders>
          </w:tcPr>
          <w:p w:rsidR="00B445AF" w:rsidRPr="00B1671F" w:rsidRDefault="006E2460" w:rsidP="00B1671F">
            <w:pPr>
              <w:jc w:val="both"/>
              <w:rPr>
                <w:rFonts w:ascii="Arial" w:hAnsi="Arial" w:cs="Arial"/>
                <w:bCs/>
                <w:lang w:val="nl-BE"/>
              </w:rPr>
            </w:pPr>
            <w:r w:rsidRPr="00B1671F">
              <w:rPr>
                <w:rFonts w:ascii="Arial" w:hAnsi="Arial" w:cs="Arial"/>
                <w:bCs/>
                <w:lang w:val="nl-BE"/>
              </w:rPr>
              <w:t xml:space="preserve">5° “wachtdienst” : medische permanentie overeenkomstig artikelen 26 en 28 van de gecoördineerde wet van 10 mei 2015 </w:t>
            </w:r>
            <w:r w:rsidRPr="00B1671F">
              <w:rPr>
                <w:rFonts w:ascii="Arial" w:hAnsi="Arial"/>
                <w:snapToGrid w:val="0"/>
                <w:spacing w:val="-2"/>
                <w:lang w:val="nl-NL" w:eastAsia="fr-FR"/>
              </w:rPr>
              <w:t>betreffende de uitoefening van de gezondheidszorgberoepen</w:t>
            </w:r>
            <w:r w:rsidRPr="00B1671F">
              <w:rPr>
                <w:rFonts w:ascii="Arial" w:hAnsi="Arial" w:cs="Arial"/>
                <w:bCs/>
                <w:lang w:val="nl-BE"/>
              </w:rPr>
              <w:t xml:space="preserve"> en artikel 6 van het koninklijk besluit van 21 januari 2009 houdende onderrichtingen voor de apothekers;</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Cs/>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bCs/>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bCs/>
                <w:lang w:val="fr-BE"/>
              </w:rPr>
              <w:t xml:space="preserve">6° « jour férié légal » : les jours fériés déterminés à l’article 1 de l’arrêté royal du 18 avril 1974 </w:t>
            </w:r>
            <w:r w:rsidRPr="00B1671F">
              <w:rPr>
                <w:rFonts w:ascii="Arial" w:hAnsi="Arial" w:cs="Arial"/>
                <w:lang w:val="fr-BE"/>
              </w:rPr>
              <w:t>déterminant les modalités générales d'exécution de la loi du 4 janvier 1974 relative aux jours fériés;</w:t>
            </w:r>
          </w:p>
        </w:tc>
        <w:tc>
          <w:tcPr>
            <w:tcW w:w="4820" w:type="dxa"/>
            <w:tcBorders>
              <w:top w:val="nil"/>
              <w:left w:val="nil"/>
              <w:bottom w:val="nil"/>
              <w:right w:val="nil"/>
            </w:tcBorders>
          </w:tcPr>
          <w:p w:rsidR="00B445AF" w:rsidRPr="00B1671F" w:rsidRDefault="00B445AF" w:rsidP="00B445AF">
            <w:pPr>
              <w:jc w:val="both"/>
              <w:rPr>
                <w:rFonts w:ascii="Arial" w:hAnsi="Arial" w:cs="Arial"/>
                <w:lang w:val="nl-BE"/>
              </w:rPr>
            </w:pPr>
            <w:r w:rsidRPr="00B1671F">
              <w:rPr>
                <w:rFonts w:ascii="Arial" w:hAnsi="Arial" w:cs="Arial"/>
                <w:bCs/>
                <w:lang w:val="nl-BE"/>
              </w:rPr>
              <w:t xml:space="preserve">6° “feestdag” : de feestdagen bedoeld in artikel 1 van het koninklijk besluit van </w:t>
            </w:r>
            <w:r w:rsidRPr="00B1671F">
              <w:rPr>
                <w:rFonts w:ascii="Arial" w:hAnsi="Arial"/>
                <w:snapToGrid w:val="0"/>
                <w:spacing w:val="-2"/>
                <w:lang w:val="nl-NL" w:eastAsia="fr-FR"/>
              </w:rPr>
              <w:t>18 april 1974</w:t>
            </w:r>
            <w:r w:rsidRPr="00B1671F">
              <w:rPr>
                <w:rFonts w:ascii="Palatino-Bold" w:hAnsi="Palatino-Bold" w:cs="Palatino-Bold"/>
                <w:b/>
                <w:bCs/>
                <w:sz w:val="17"/>
                <w:szCs w:val="17"/>
                <w:lang w:val="nl-BE"/>
              </w:rPr>
              <w:t xml:space="preserve"> </w:t>
            </w:r>
            <w:r w:rsidRPr="00B1671F">
              <w:rPr>
                <w:rFonts w:ascii="Arial" w:hAnsi="Arial" w:cs="Arial"/>
                <w:bCs/>
                <w:lang w:val="nl-BE"/>
              </w:rPr>
              <w:t>tot bepaling van de algemene wijze van uitvoering van de wet van 4 januari 1974 betreffende de feestdagen;</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color w:val="22222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spacing w:val="-2"/>
                <w:lang w:val="fr-BE"/>
              </w:rPr>
              <w:t>7° « union professionnelle » : toute union professionnelle reconnue sur base de la loi du 31 mars 1898 sur les unions professionnelles, des pharmaciens d’officine ou des pharmacies, dont le fonctionnement couvre l’ensemble du pays, ou un partenariat entre ces unions professionnelles ».</w:t>
            </w:r>
          </w:p>
        </w:tc>
        <w:tc>
          <w:tcPr>
            <w:tcW w:w="4820" w:type="dxa"/>
            <w:tcBorders>
              <w:top w:val="nil"/>
              <w:left w:val="nil"/>
              <w:bottom w:val="nil"/>
              <w:right w:val="nil"/>
            </w:tcBorders>
          </w:tcPr>
          <w:p w:rsidR="00B445AF" w:rsidRPr="00B1671F" w:rsidRDefault="00B445AF" w:rsidP="00B445AF">
            <w:pPr>
              <w:jc w:val="both"/>
              <w:rPr>
                <w:rFonts w:ascii="Arial" w:hAnsi="Arial" w:cs="Arial"/>
                <w:lang w:val="nl-BE"/>
              </w:rPr>
            </w:pPr>
            <w:r w:rsidRPr="00B1671F">
              <w:rPr>
                <w:rFonts w:ascii="Arial" w:hAnsi="Arial" w:cs="Arial"/>
                <w:color w:val="222222"/>
                <w:lang w:val="nl-NL"/>
              </w:rPr>
              <w:t>7° "</w:t>
            </w:r>
            <w:r w:rsidRPr="00B1671F">
              <w:rPr>
                <w:rFonts w:ascii="Arial" w:hAnsi="Arial" w:cs="Arial"/>
                <w:color w:val="222222"/>
                <w:lang w:val="nl-BE"/>
              </w:rPr>
              <w:t>beroepsvereniging” : iedere op grond van de wet van 31 maart 1898 op de beroepsverenigingen, erkende beroepsvereniging van officina-apothekers of van apotheken, waarvan de werking het gehele land bestrijkt, of een samenwerkingsverband tussen deze beroepsverenigingen</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lang w:val="nl-BE"/>
              </w:rPr>
            </w:pPr>
          </w:p>
        </w:tc>
      </w:tr>
      <w:tr w:rsidR="006E2460" w:rsidRPr="00617458" w:rsidTr="0069379F">
        <w:tc>
          <w:tcPr>
            <w:tcW w:w="4820" w:type="dxa"/>
            <w:tcBorders>
              <w:top w:val="nil"/>
              <w:left w:val="nil"/>
              <w:bottom w:val="nil"/>
              <w:right w:val="nil"/>
            </w:tcBorders>
          </w:tcPr>
          <w:p w:rsidR="006E2460" w:rsidRPr="00B1671F" w:rsidRDefault="006E2460" w:rsidP="00B445AF">
            <w:pPr>
              <w:jc w:val="both"/>
              <w:rPr>
                <w:rFonts w:ascii="Arial" w:hAnsi="Arial" w:cs="Arial"/>
                <w:spacing w:val="-2"/>
                <w:lang w:val="fr-BE"/>
              </w:rPr>
            </w:pPr>
            <w:r w:rsidRPr="00B1671F">
              <w:rPr>
                <w:rFonts w:ascii="Arial" w:hAnsi="Arial" w:cs="Arial"/>
                <w:spacing w:val="-2"/>
                <w:lang w:val="fr-BE"/>
              </w:rPr>
              <w:t xml:space="preserve">8° « Pharmanet » : données collectées sur la base de l’article 165 de la loi relative à l’assurance obligatoire </w:t>
            </w:r>
            <w:r w:rsidRPr="00B1671F">
              <w:rPr>
                <w:rFonts w:ascii="Arial" w:hAnsi="Arial" w:cs="Arial"/>
                <w:spacing w:val="-2"/>
                <w:lang w:val="fr-BE"/>
              </w:rPr>
              <w:lastRenderedPageBreak/>
              <w:t>soins de santé et indemnités, coordonnée le 14 juillet 1994.</w:t>
            </w:r>
          </w:p>
        </w:tc>
        <w:tc>
          <w:tcPr>
            <w:tcW w:w="4820" w:type="dxa"/>
            <w:tcBorders>
              <w:top w:val="nil"/>
              <w:left w:val="nil"/>
              <w:bottom w:val="nil"/>
              <w:right w:val="nil"/>
            </w:tcBorders>
          </w:tcPr>
          <w:p w:rsidR="006E2460" w:rsidRPr="00B1671F" w:rsidRDefault="006E2460" w:rsidP="00B445AF">
            <w:pPr>
              <w:jc w:val="both"/>
              <w:rPr>
                <w:rFonts w:ascii="Arial" w:hAnsi="Arial" w:cs="Arial"/>
                <w:lang w:val="nl-BE"/>
              </w:rPr>
            </w:pPr>
            <w:r w:rsidRPr="00B1671F">
              <w:rPr>
                <w:rFonts w:ascii="Arial" w:hAnsi="Arial" w:cs="Arial"/>
                <w:lang w:val="nl-BE"/>
              </w:rPr>
              <w:lastRenderedPageBreak/>
              <w:t xml:space="preserve">8° “Farmanet” : gegevensinzameling op basis van artikel 165 van de wet betreffende de verplichte </w:t>
            </w:r>
            <w:r w:rsidRPr="00B1671F">
              <w:rPr>
                <w:rFonts w:ascii="Arial" w:hAnsi="Arial" w:cs="Arial"/>
                <w:lang w:val="nl-BE"/>
              </w:rPr>
              <w:lastRenderedPageBreak/>
              <w:t>verzekering voor geneeskundige verzorging en uitkeringen, gecoördineerd op 14 juli 1994.</w:t>
            </w:r>
          </w:p>
        </w:tc>
      </w:tr>
      <w:tr w:rsidR="006E2460" w:rsidRPr="00617458" w:rsidTr="0069379F">
        <w:tc>
          <w:tcPr>
            <w:tcW w:w="4820" w:type="dxa"/>
            <w:tcBorders>
              <w:top w:val="nil"/>
              <w:left w:val="nil"/>
              <w:bottom w:val="nil"/>
              <w:right w:val="nil"/>
            </w:tcBorders>
          </w:tcPr>
          <w:p w:rsidR="006E2460" w:rsidRPr="00B1671F" w:rsidRDefault="006E2460" w:rsidP="00B445AF">
            <w:pPr>
              <w:jc w:val="both"/>
              <w:rPr>
                <w:rFonts w:ascii="Arial" w:hAnsi="Arial" w:cs="Arial"/>
                <w:spacing w:val="-2"/>
                <w:lang w:val="nl-BE"/>
              </w:rPr>
            </w:pPr>
          </w:p>
        </w:tc>
        <w:tc>
          <w:tcPr>
            <w:tcW w:w="4820" w:type="dxa"/>
            <w:tcBorders>
              <w:top w:val="nil"/>
              <w:left w:val="nil"/>
              <w:bottom w:val="nil"/>
              <w:right w:val="nil"/>
            </w:tcBorders>
          </w:tcPr>
          <w:p w:rsidR="006E2460" w:rsidRPr="00B1671F" w:rsidRDefault="006E2460" w:rsidP="00B445AF">
            <w:pPr>
              <w:jc w:val="both"/>
              <w:rPr>
                <w:rFonts w:ascii="Arial" w:hAnsi="Arial" w:cs="Arial"/>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b/>
                <w:spacing w:val="-2"/>
                <w:lang w:val="fr-BE"/>
              </w:rPr>
              <w:t xml:space="preserve">Art. 2. </w:t>
            </w:r>
            <w:r w:rsidRPr="00B1671F">
              <w:rPr>
                <w:rFonts w:ascii="Arial" w:hAnsi="Arial" w:cs="Arial"/>
                <w:spacing w:val="-2"/>
                <w:lang w:val="fr-BE"/>
              </w:rPr>
              <w:t xml:space="preserve">Le présent arrêté détermine les conditions et les modalités selon lesquelles l’assurance obligatoire soins de santé et indemnités paie </w:t>
            </w:r>
            <w:r w:rsidRPr="00B1671F">
              <w:rPr>
                <w:rFonts w:ascii="Arial" w:hAnsi="Arial"/>
                <w:lang w:val="fr-BE"/>
              </w:rPr>
              <w:t>des honoraires de garde et des honoraires de disponibilité aux pharmaciens titulaires d’une pharmacie qui participent à des services de garde organisés.</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spacing w:val="-2"/>
                <w:lang w:val="nl-BE"/>
              </w:rPr>
              <w:t>Art. 2.</w:t>
            </w:r>
            <w:r w:rsidRPr="00B1671F">
              <w:rPr>
                <w:rFonts w:ascii="Arial" w:hAnsi="Arial" w:cs="Arial"/>
                <w:spacing w:val="-2"/>
                <w:lang w:val="nl-BE"/>
              </w:rPr>
              <w:t xml:space="preserve"> Dit besluit bepaalt de voorwaarden</w:t>
            </w:r>
            <w:r w:rsidRPr="00B1671F">
              <w:rPr>
                <w:rFonts w:ascii="Arial" w:hAnsi="Arial" w:cs="Arial"/>
                <w:spacing w:val="-3"/>
                <w:lang w:val="nl-BE"/>
              </w:rPr>
              <w:t xml:space="preserve"> </w:t>
            </w:r>
            <w:r w:rsidRPr="00B1671F">
              <w:rPr>
                <w:rFonts w:ascii="Arial" w:hAnsi="Arial"/>
                <w:lang w:val="nl-BE"/>
              </w:rPr>
              <w:t>en de modaliteiten</w:t>
            </w:r>
            <w:r w:rsidRPr="00B1671F">
              <w:rPr>
                <w:rFonts w:ascii="Arial" w:hAnsi="Arial" w:cs="Arial"/>
                <w:spacing w:val="-3"/>
                <w:lang w:val="nl-BE"/>
              </w:rPr>
              <w:t xml:space="preserve"> waaronder de verplichte verzekering voor geneeskundige verzorging en uitkeringen wachthonoraria en beschikbaarheidshonoraria betaalt aan de apothekers-titularissen van een apotheek die deelnemen aan georganiseerde wachtdiensten.</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r w:rsidRPr="00B1671F">
              <w:rPr>
                <w:rFonts w:ascii="Arial" w:hAnsi="Arial" w:cs="Arial"/>
                <w:b/>
                <w:spacing w:val="-2"/>
                <w:lang w:val="fr-BE"/>
              </w:rPr>
              <w:t xml:space="preserve">Art. 3. </w:t>
            </w:r>
            <w:r w:rsidRPr="00B1671F">
              <w:rPr>
                <w:rFonts w:ascii="Arial" w:hAnsi="Arial" w:cs="Arial"/>
                <w:spacing w:val="-2"/>
                <w:lang w:val="fr-BE"/>
              </w:rPr>
              <w:t>Seules les pharmacies qui prennent part aux services de garde, sont prises en compte pour les honoraires précités.</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spacing w:val="-2"/>
                <w:lang w:val="nl-BE"/>
              </w:rPr>
              <w:t xml:space="preserve">Art. 3. </w:t>
            </w:r>
            <w:r w:rsidRPr="00B1671F">
              <w:rPr>
                <w:rFonts w:ascii="Arial" w:hAnsi="Arial" w:cs="Arial"/>
                <w:spacing w:val="-2"/>
                <w:lang w:val="nl-BE"/>
              </w:rPr>
              <w:t>Enkel de apotheken die deelnemen aan wachtdiensten komen in aanmerking voor de bovenvermelde honoraria.</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B1671F" w:rsidTr="0069379F">
        <w:tc>
          <w:tcPr>
            <w:tcW w:w="4820" w:type="dxa"/>
            <w:tcBorders>
              <w:top w:val="nil"/>
              <w:left w:val="nil"/>
              <w:bottom w:val="nil"/>
              <w:right w:val="nil"/>
            </w:tcBorders>
          </w:tcPr>
          <w:p w:rsidR="00B445AF" w:rsidRPr="00B1671F" w:rsidRDefault="006E2460" w:rsidP="00B445AF">
            <w:pPr>
              <w:jc w:val="both"/>
              <w:rPr>
                <w:rFonts w:ascii="Arial" w:hAnsi="Arial" w:cs="Arial"/>
              </w:rPr>
            </w:pPr>
            <w:r w:rsidRPr="00B1671F">
              <w:rPr>
                <w:rFonts w:ascii="Arial" w:hAnsi="Arial" w:cs="Arial"/>
                <w:spacing w:val="-2"/>
                <w:lang w:val="fr-BE"/>
              </w:rPr>
              <w:t>Mensuellement,</w:t>
            </w:r>
            <w:r w:rsidRPr="00B1671F">
              <w:rPr>
                <w:rFonts w:ascii="Arial" w:hAnsi="Arial" w:cs="Arial"/>
              </w:rPr>
              <w:t xml:space="preserve"> </w:t>
            </w:r>
            <w:r w:rsidR="00B445AF" w:rsidRPr="00B1671F">
              <w:rPr>
                <w:rFonts w:ascii="Arial" w:hAnsi="Arial" w:cs="Arial"/>
              </w:rPr>
              <w:t>la liste des pharmacies qui sont inscrites sur un rôle de garde déterminé, doit être communiquée par les unions professionnelles aux offices de tarification agréés et aux organismes assureurs. Cette liste est rédigée par ordre chronologique.</w:t>
            </w:r>
          </w:p>
          <w:p w:rsidR="00B445AF" w:rsidRPr="00B1671F" w:rsidRDefault="00B445AF" w:rsidP="00B445AF">
            <w:pPr>
              <w:jc w:val="both"/>
              <w:rPr>
                <w:rFonts w:ascii="Arial" w:hAnsi="Arial" w:cs="Arial"/>
                <w:spacing w:val="-2"/>
              </w:rPr>
            </w:pPr>
          </w:p>
        </w:tc>
        <w:tc>
          <w:tcPr>
            <w:tcW w:w="4820" w:type="dxa"/>
            <w:tcBorders>
              <w:top w:val="nil"/>
              <w:left w:val="nil"/>
              <w:bottom w:val="nil"/>
              <w:right w:val="nil"/>
            </w:tcBorders>
          </w:tcPr>
          <w:p w:rsidR="00B445AF" w:rsidRPr="00B1671F" w:rsidRDefault="006E2460" w:rsidP="00B445AF">
            <w:pPr>
              <w:jc w:val="both"/>
              <w:rPr>
                <w:rFonts w:ascii="Arial" w:hAnsi="Arial" w:cs="Arial"/>
                <w:spacing w:val="-2"/>
                <w:lang w:val="nl-BE"/>
              </w:rPr>
            </w:pPr>
            <w:r w:rsidRPr="00B1671F">
              <w:rPr>
                <w:rFonts w:ascii="Arial" w:hAnsi="Arial" w:cs="Arial"/>
                <w:spacing w:val="-2"/>
                <w:lang w:val="nl-BE"/>
              </w:rPr>
              <w:t xml:space="preserve">Maandelijks </w:t>
            </w:r>
            <w:r w:rsidR="00B445AF" w:rsidRPr="00B1671F">
              <w:rPr>
                <w:rFonts w:ascii="Arial" w:hAnsi="Arial" w:cs="Arial"/>
                <w:spacing w:val="-2"/>
                <w:lang w:val="nl-BE"/>
              </w:rPr>
              <w:t>moet de lijst van de apotheken die op een bepaalde wachtrol zijn ingeschreven bekend gemaakt worden door de beroepsverenigingen aan de erkende tariferingsdiensten en aan de verzekeringsinstellingen. Die lijst wordt chronologisch opgesteld.</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spacing w:val="-2"/>
                <w:lang w:val="fr-BE"/>
              </w:rPr>
              <w:t>La liste doit mentionner clairement la pharmacie qui participe au service de garde à la date concernée pour la période entre 22h le soir et 8h le matin.</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color w:val="222222"/>
                <w:lang w:val="nl-BE"/>
              </w:rPr>
              <w:t xml:space="preserve">De lijst moet duidelijk aangeven indien de apotheek op de desbetreffende datum aan de wachtdienst deelneemt voor de periode tussen 22u ‘s avonds en </w:t>
            </w:r>
            <w:r w:rsidRPr="00B1671F">
              <w:rPr>
                <w:rFonts w:ascii="Arial" w:hAnsi="Arial" w:cs="Arial"/>
                <w:lang w:val="nl-BE"/>
              </w:rPr>
              <w:t>8u ‘s ochtends</w:t>
            </w:r>
            <w:r w:rsidRPr="00B1671F">
              <w:rPr>
                <w:rFonts w:ascii="Arial" w:hAnsi="Arial" w:cs="Arial"/>
                <w:color w:val="222222"/>
                <w:lang w:val="nl-BE"/>
              </w:rPr>
              <w:t>.</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color w:val="22222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r w:rsidRPr="00B1671F">
              <w:rPr>
                <w:rFonts w:ascii="Arial" w:hAnsi="Arial" w:cs="Arial"/>
              </w:rPr>
              <w:t>Lorsqu'une pharmacie ne peut pas assurer son service de garde à titre exceptionnel et pour une raison bien motivée, elle doit être communiquée à l’union professionnelle susmentionnée. Celle-ci transmet cette liste à la Commission médicale provinciale ainsi qu'aux offices de tarification agréés et aux organismes assureurs.</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lang w:val="nl-BE"/>
              </w:rPr>
              <w:t xml:space="preserve">Wanneer een apotheek uitzonderlijk en met redenen omkleed zijn wachtdienst niet kan waarnemen, dient dat te worden meegedeeld aan de bovenvermelde beroepsorganisatie en deze verzendt de lijst aan de Provinciale Geneeskundige Commissie, de erkende tariferingsdiensten en aan de verzekeringsinstellingen. </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b/>
                <w:spacing w:val="-2"/>
                <w:lang w:val="fr-BE"/>
              </w:rPr>
              <w:t xml:space="preserve">Art. 4. </w:t>
            </w:r>
            <w:r w:rsidRPr="00B1671F">
              <w:rPr>
                <w:rFonts w:ascii="Arial" w:hAnsi="Arial" w:cs="Arial"/>
                <w:spacing w:val="-2"/>
                <w:lang w:val="fr-BE"/>
              </w:rPr>
              <w:t>Conformément à l’arrêté royal du 8 décembre 1997 fixant les modalités d’application pour l’indexation des prestations dans le régime de l’assurance obligatoire soins de santé, la valeur de ces honoraires est adaptée à partir du 1</w:t>
            </w:r>
            <w:r w:rsidRPr="00B1671F">
              <w:rPr>
                <w:rFonts w:ascii="Arial" w:hAnsi="Arial" w:cs="Arial"/>
                <w:spacing w:val="-2"/>
                <w:vertAlign w:val="superscript"/>
                <w:lang w:val="fr-BE"/>
              </w:rPr>
              <w:t>er</w:t>
            </w:r>
            <w:r w:rsidRPr="00B1671F">
              <w:rPr>
                <w:rFonts w:ascii="Arial" w:hAnsi="Arial" w:cs="Arial"/>
                <w:spacing w:val="-2"/>
                <w:lang w:val="fr-BE"/>
              </w:rPr>
              <w:t xml:space="preserve"> janvier de chaque année à l’évolution de la valeur de l’indice-santé visé à l’article </w:t>
            </w:r>
            <w:r w:rsidR="006E2460" w:rsidRPr="00B1671F">
              <w:rPr>
                <w:rFonts w:ascii="Arial" w:hAnsi="Arial" w:cs="Arial"/>
                <w:spacing w:val="-2"/>
                <w:lang w:val="fr-BE"/>
              </w:rPr>
              <w:t>1</w:t>
            </w:r>
            <w:r w:rsidR="006E2460" w:rsidRPr="00B1671F">
              <w:rPr>
                <w:rFonts w:ascii="Arial" w:hAnsi="Arial" w:cs="Arial"/>
                <w:spacing w:val="-2"/>
                <w:vertAlign w:val="superscript"/>
                <w:lang w:val="fr-BE"/>
              </w:rPr>
              <w:t>er</w:t>
            </w:r>
            <w:r w:rsidR="006E2460" w:rsidRPr="00B1671F">
              <w:rPr>
                <w:rFonts w:ascii="Arial" w:hAnsi="Arial" w:cs="Arial"/>
                <w:spacing w:val="-2"/>
                <w:lang w:val="fr-BE"/>
              </w:rPr>
              <w:t xml:space="preserve"> </w:t>
            </w:r>
            <w:r w:rsidRPr="00B1671F">
              <w:rPr>
                <w:rFonts w:ascii="Arial" w:hAnsi="Arial" w:cs="Arial"/>
                <w:spacing w:val="-2"/>
                <w:lang w:val="fr-BE"/>
              </w:rPr>
              <w:t>dudit arrêté royal, entre le 30 juin de la pénultième année et le 30 juin de l’année précédente.</w:t>
            </w:r>
          </w:p>
          <w:p w:rsidR="00B445AF" w:rsidRPr="00B1671F" w:rsidRDefault="00B445AF" w:rsidP="00B445AF">
            <w:pPr>
              <w:jc w:val="both"/>
              <w:rPr>
                <w:rFonts w:ascii="Arial" w:hAnsi="Arial" w:cs="Arial"/>
                <w:spacing w:val="-2"/>
                <w:lang w:val="fr-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NL"/>
              </w:rPr>
            </w:pPr>
            <w:r w:rsidRPr="00B1671F">
              <w:rPr>
                <w:rFonts w:ascii="Arial" w:hAnsi="Arial" w:cs="Arial"/>
                <w:b/>
                <w:spacing w:val="-2"/>
                <w:lang w:val="nl-BE"/>
              </w:rPr>
              <w:t xml:space="preserve">Art. 4. </w:t>
            </w:r>
            <w:r w:rsidRPr="00B1671F">
              <w:rPr>
                <w:rFonts w:ascii="Arial" w:hAnsi="Arial" w:cs="Arial"/>
                <w:spacing w:val="-2"/>
                <w:lang w:val="nl-BE"/>
              </w:rPr>
              <w:t>Overeenkomstig het koninklijk besluit van 8 december 1997 tot bepaling van de toepassingsmodaliteiten voor de indexering van de prestaties in de regeling van de verplichte verzekering voor geneeskundige verzorging, wordt de waarde van deze honoraria vanaf 1 januari van elk jaar aangepast aan de evolutie van de waarde van het in artikel 1 van dat koninklijk besluit bedoeld gezondheidsindexcijfer tussen 30 juni van het tweede jaar ervoor en 30 juni van het jaar ervoor.</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B1671F" w:rsidTr="0069379F">
        <w:tc>
          <w:tcPr>
            <w:tcW w:w="4820" w:type="dxa"/>
            <w:tcBorders>
              <w:top w:val="nil"/>
              <w:left w:val="nil"/>
              <w:bottom w:val="nil"/>
              <w:right w:val="nil"/>
            </w:tcBorders>
          </w:tcPr>
          <w:p w:rsidR="00B445AF" w:rsidRPr="00B1671F" w:rsidRDefault="00B445AF" w:rsidP="00B445AF">
            <w:pPr>
              <w:jc w:val="center"/>
              <w:rPr>
                <w:rFonts w:ascii="Arial" w:hAnsi="Arial" w:cs="Arial"/>
                <w:spacing w:val="-2"/>
                <w:lang w:val="nl-BE"/>
              </w:rPr>
            </w:pPr>
            <w:r w:rsidRPr="00B1671F">
              <w:rPr>
                <w:rFonts w:ascii="Arial" w:hAnsi="Arial" w:cs="Arial"/>
                <w:b/>
                <w:spacing w:val="-2"/>
                <w:lang w:val="nl-BE"/>
              </w:rPr>
              <w:t>CHAPITRE 2. Honoraires de garde.</w:t>
            </w:r>
          </w:p>
        </w:tc>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nl-BE"/>
              </w:rPr>
            </w:pPr>
            <w:r w:rsidRPr="00B1671F">
              <w:rPr>
                <w:rFonts w:ascii="Arial" w:hAnsi="Arial" w:cs="Arial"/>
                <w:b/>
                <w:spacing w:val="-2"/>
                <w:lang w:val="nl-BE"/>
              </w:rPr>
              <w:t>HOOFDSTUK 2. Wachthonoraria.</w:t>
            </w:r>
          </w:p>
        </w:tc>
      </w:tr>
      <w:tr w:rsidR="00B445AF" w:rsidRPr="00B1671F"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rPr>
            </w:pPr>
            <w:r w:rsidRPr="00B1671F">
              <w:rPr>
                <w:rFonts w:ascii="Arial" w:hAnsi="Arial" w:cs="Arial"/>
                <w:b/>
                <w:lang w:val="fr-BE"/>
              </w:rPr>
              <w:t>Art. 5.</w:t>
            </w:r>
            <w:r w:rsidRPr="00B1671F">
              <w:rPr>
                <w:rFonts w:ascii="Arial" w:hAnsi="Arial" w:cs="Arial"/>
                <w:lang w:val="fr-BE"/>
              </w:rPr>
              <w:t xml:space="preserve"> Un hon</w:t>
            </w:r>
            <w:r w:rsidRPr="00B1671F">
              <w:rPr>
                <w:rFonts w:ascii="Arial" w:hAnsi="Arial" w:cs="Arial"/>
              </w:rPr>
              <w:t>oraire de garde dont le montant est égal au produit de la valeur de la lettre-clef P fixée dans la convention nationale entre les pharmaciens et les organismes-assureurs et du coefficient 2,8 (TVA inclus), ne peut être porté en compte que pour les prescriptions :</w:t>
            </w:r>
          </w:p>
          <w:p w:rsidR="00B445AF" w:rsidRPr="00B1671F" w:rsidRDefault="00B445AF" w:rsidP="00B445AF">
            <w:pPr>
              <w:jc w:val="both"/>
              <w:rPr>
                <w:rFonts w:ascii="Arial" w:hAnsi="Arial"/>
                <w:spacing w:val="-2"/>
              </w:rPr>
            </w:pPr>
            <w:r w:rsidRPr="00B1671F">
              <w:rPr>
                <w:spacing w:val="-2"/>
              </w:rPr>
              <w:t xml:space="preserve">- </w:t>
            </w:r>
            <w:r w:rsidRPr="00B1671F">
              <w:rPr>
                <w:rFonts w:ascii="Arial" w:hAnsi="Arial"/>
                <w:spacing w:val="-2"/>
              </w:rPr>
              <w:t>qui comportent des récipés remboursables;</w:t>
            </w:r>
          </w:p>
          <w:p w:rsidR="00B445AF" w:rsidRPr="00B1671F" w:rsidRDefault="00B445AF" w:rsidP="00B445AF">
            <w:pPr>
              <w:jc w:val="both"/>
              <w:rPr>
                <w:rFonts w:ascii="Arial" w:hAnsi="Arial" w:cs="Arial"/>
                <w:spacing w:val="-2"/>
                <w:lang w:val="fr-BE"/>
              </w:rPr>
            </w:pPr>
            <w:r w:rsidRPr="00B1671F">
              <w:rPr>
                <w:rFonts w:ascii="Arial" w:hAnsi="Arial"/>
                <w:spacing w:val="-2"/>
              </w:rPr>
              <w:t>- qui sont exécutées et délivrées par un pharmacien dans une pharmacie.</w:t>
            </w:r>
          </w:p>
        </w:tc>
        <w:tc>
          <w:tcPr>
            <w:tcW w:w="4820" w:type="dxa"/>
            <w:tcBorders>
              <w:top w:val="nil"/>
              <w:left w:val="nil"/>
              <w:bottom w:val="nil"/>
              <w:right w:val="nil"/>
            </w:tcBorders>
          </w:tcPr>
          <w:p w:rsidR="00B445AF" w:rsidRPr="00B1671F" w:rsidRDefault="00B445AF" w:rsidP="00B445AF">
            <w:pPr>
              <w:jc w:val="both"/>
              <w:rPr>
                <w:lang w:val="nl-BE"/>
              </w:rPr>
            </w:pPr>
            <w:r w:rsidRPr="00B1671F">
              <w:rPr>
                <w:rFonts w:ascii="Arial" w:hAnsi="Arial" w:cs="Arial"/>
                <w:b/>
                <w:lang w:val="nl-BE"/>
              </w:rPr>
              <w:t>Art. 5.</w:t>
            </w:r>
            <w:r w:rsidRPr="00B1671F">
              <w:rPr>
                <w:rFonts w:ascii="Arial" w:hAnsi="Arial" w:cs="Arial"/>
                <w:lang w:val="nl-BE"/>
              </w:rPr>
              <w:t xml:space="preserve"> Een wachthonorarium waarvan het bedrag gelijk is aan het product van de waarde van de sleutelletter P vastgesteld in de nationale overeenkomst tussen de apothekers en de verzekeringsinstellingen en de coëfficiënt 2,8 (BTW inbegrepen), mag alleen maar worden aangerekend voor de geneesmiddelenvoorschriften die</w:t>
            </w:r>
            <w:r w:rsidRPr="00B1671F">
              <w:rPr>
                <w:lang w:val="nl-BE"/>
              </w:rPr>
              <w:t>:</w:t>
            </w:r>
          </w:p>
          <w:p w:rsidR="00B445AF" w:rsidRPr="00B1671F" w:rsidRDefault="00B445AF" w:rsidP="00B445AF">
            <w:pPr>
              <w:jc w:val="both"/>
              <w:rPr>
                <w:rFonts w:ascii="Arial" w:hAnsi="Arial"/>
                <w:spacing w:val="-2"/>
                <w:lang w:val="nl-BE"/>
              </w:rPr>
            </w:pPr>
            <w:r w:rsidRPr="00B1671F">
              <w:rPr>
                <w:rFonts w:ascii="Arial" w:hAnsi="Arial"/>
                <w:spacing w:val="-2"/>
                <w:lang w:val="nl-BE"/>
              </w:rPr>
              <w:t xml:space="preserve">- vergoedbare recepten bevatten; </w:t>
            </w:r>
          </w:p>
          <w:p w:rsidR="00B445AF" w:rsidRPr="00B1671F" w:rsidRDefault="00B445AF" w:rsidP="00B445AF">
            <w:pPr>
              <w:jc w:val="both"/>
              <w:rPr>
                <w:rFonts w:ascii="Arial" w:hAnsi="Arial" w:cs="Arial"/>
                <w:spacing w:val="-2"/>
                <w:lang w:val="nl-BE"/>
              </w:rPr>
            </w:pPr>
            <w:r w:rsidRPr="00B1671F">
              <w:rPr>
                <w:rFonts w:ascii="Arial" w:hAnsi="Arial"/>
                <w:spacing w:val="-2"/>
                <w:lang w:val="nl-BE"/>
              </w:rPr>
              <w:t>- uitgevoerd en afgeleverd worden door een apotheker in een apotheek.</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spacing w:val="-2"/>
                <w:lang w:val="fr-BE"/>
              </w:rPr>
              <w:lastRenderedPageBreak/>
              <w:t>Au moment de la délivrance de la prescription, la pharmacie doit être inscrite sur le rôle de garde, qui a été communiqué conformément à l’article 3.</w:t>
            </w: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r w:rsidRPr="00B1671F">
              <w:rPr>
                <w:rFonts w:ascii="Arial" w:hAnsi="Arial" w:cs="Arial"/>
                <w:spacing w:val="-2"/>
                <w:lang w:val="nl-BE"/>
              </w:rPr>
              <w:t>Op het ogenblik van de aflevering van het voorschrift moet de apotheek ingeschreven staan op een wachtrol die  conform artikel 3 meegedeeld werd.</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rPr>
            </w:pPr>
            <w:r w:rsidRPr="00B1671F">
              <w:rPr>
                <w:rFonts w:ascii="Arial" w:hAnsi="Arial" w:cs="Arial"/>
                <w:b/>
                <w:lang w:val="fr-BE"/>
              </w:rPr>
              <w:t>Art. 6.</w:t>
            </w:r>
            <w:r w:rsidRPr="00B1671F">
              <w:rPr>
                <w:rFonts w:ascii="Arial" w:hAnsi="Arial" w:cs="Arial"/>
                <w:lang w:val="fr-BE"/>
              </w:rPr>
              <w:t xml:space="preserve"> Ces honoraires de garde ne peuvent être portés en compte à l'assurance obligatoire soins de santé et indemnités que si la pre</w:t>
            </w:r>
            <w:r w:rsidRPr="00B1671F">
              <w:rPr>
                <w:rFonts w:ascii="Arial" w:hAnsi="Arial" w:cs="Arial"/>
              </w:rPr>
              <w:t>scription est présentée et exécutée en dehors des heures d'ouverture normales de la pharmacie et exclusivement soit entre 19h le soir et 8h le matin, soit un dimanche ou un jour férié légal.</w:t>
            </w: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r w:rsidRPr="00B1671F">
              <w:rPr>
                <w:rFonts w:ascii="Arial" w:hAnsi="Arial" w:cs="Arial"/>
                <w:b/>
                <w:lang w:val="nl-BE"/>
              </w:rPr>
              <w:t>Art. 6.</w:t>
            </w:r>
            <w:r w:rsidRPr="00B1671F">
              <w:rPr>
                <w:rFonts w:ascii="Arial" w:hAnsi="Arial" w:cs="Arial"/>
                <w:lang w:val="nl-BE"/>
              </w:rPr>
              <w:t xml:space="preserve"> Deze wachthonoraria mogen aan de verplichte verzekering voor geneeskundige verzorging en uitkeringen slechts worden aangerekend indien het voorschrift wordt voorgelegd en uitgevoerd buiten de normale openingsuren van de apotheek, en uitsluitend hetzij tussen 19u ’s avonds en 8u </w:t>
            </w:r>
            <w:r w:rsidRPr="00B1671F">
              <w:rPr>
                <w:rFonts w:ascii="Arial" w:hAnsi="Arial" w:cs="Arial"/>
                <w:lang w:val="nl-BE"/>
              </w:rPr>
              <w:br/>
              <w:t>‘s ochtends, hetzij op een zondag of op een wettelijke feestdag.</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rPr>
            </w:pPr>
            <w:r w:rsidRPr="00B1671F">
              <w:rPr>
                <w:rFonts w:ascii="Arial" w:hAnsi="Arial" w:cs="Arial"/>
                <w:b/>
              </w:rPr>
              <w:t>Art. 7.</w:t>
            </w:r>
            <w:r w:rsidRPr="00B1671F">
              <w:rPr>
                <w:rFonts w:ascii="Arial" w:hAnsi="Arial" w:cs="Arial"/>
              </w:rPr>
              <w:t xml:space="preserve"> Ces honoraires de garde ne peuvent être portés en compte qu'une seule fois par prescription ou par groupe de prescriptions délivrées simultanément quel que soit le nombre de récipés remboursables que cette ou ces prescriptions comportent.</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lang w:val="nl-BE"/>
              </w:rPr>
              <w:t>Art. 7.</w:t>
            </w:r>
            <w:r w:rsidRPr="00B1671F">
              <w:rPr>
                <w:rFonts w:ascii="Arial" w:hAnsi="Arial" w:cs="Arial"/>
                <w:lang w:val="nl-BE"/>
              </w:rPr>
              <w:t xml:space="preserve"> Deze wachthonoraria mogen maar één keer worden aangerekend per voorschrift of per groep van gelijktijdig afgeleverde voorschriften ongeacht het aantal vergoedbare recepten dat op dat voorschrift of op die voorschriften voorkomt. </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b/>
              </w:rPr>
              <w:t>Art. 8.</w:t>
            </w:r>
            <w:r w:rsidRPr="00B1671F">
              <w:rPr>
                <w:rFonts w:ascii="Arial" w:hAnsi="Arial" w:cs="Arial"/>
              </w:rPr>
              <w:t xml:space="preserve"> Aucun honoraire de garde ni aucun coût supplémentaire lié à la garde ne peut être mis à charge des patients se présentant dans une pharmacie pendant le service de garde avec une prescription à usage humain.</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lang w:val="nl-BE"/>
              </w:rPr>
              <w:t>Art. 8.</w:t>
            </w:r>
            <w:r w:rsidRPr="00B1671F">
              <w:rPr>
                <w:rFonts w:ascii="Arial" w:hAnsi="Arial" w:cs="Arial"/>
                <w:lang w:val="nl-BE"/>
              </w:rPr>
              <w:t xml:space="preserve"> Geen enkel wachthonorarium noch een bijkomende kost gelinkt aan de wachtdienst mag ten laste gelegd worden van de patiënten die zich met een voorschrift voor menselijk gebruik aandienen bij een apotheek tijdens de wachtdienst.</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B1671F" w:rsidTr="0069379F">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fr-BE"/>
              </w:rPr>
            </w:pPr>
            <w:r w:rsidRPr="00B1671F">
              <w:rPr>
                <w:rFonts w:ascii="Arial" w:hAnsi="Arial" w:cs="Arial"/>
                <w:b/>
                <w:spacing w:val="-2"/>
                <w:lang w:val="fr-BE"/>
              </w:rPr>
              <w:t xml:space="preserve">CHAPITRE 3. </w:t>
            </w:r>
            <w:r w:rsidRPr="00B1671F">
              <w:rPr>
                <w:rFonts w:ascii="Arial" w:hAnsi="Arial" w:cs="Arial"/>
                <w:b/>
                <w:spacing w:val="-2"/>
                <w:lang w:val="nl-BE"/>
              </w:rPr>
              <w:t>Honoraires de disponibilité</w:t>
            </w:r>
          </w:p>
        </w:tc>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fr-BE"/>
              </w:rPr>
            </w:pPr>
            <w:r w:rsidRPr="00B1671F">
              <w:rPr>
                <w:rFonts w:ascii="Arial" w:hAnsi="Arial" w:cs="Arial"/>
                <w:b/>
                <w:spacing w:val="-2"/>
                <w:lang w:val="fr-BE"/>
              </w:rPr>
              <w:t>HOOFDSTUK 3. Beschikbaarheidshonoraria</w:t>
            </w:r>
          </w:p>
        </w:tc>
      </w:tr>
      <w:tr w:rsidR="00B445AF" w:rsidRPr="00B1671F"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b/>
                <w:spacing w:val="-2"/>
                <w:lang w:val="fr-BE"/>
              </w:rPr>
              <w:t xml:space="preserve">Art. 9. </w:t>
            </w:r>
            <w:r w:rsidRPr="00B1671F">
              <w:rPr>
                <w:rFonts w:ascii="Arial" w:hAnsi="Arial" w:cs="Arial"/>
                <w:spacing w:val="-2"/>
                <w:lang w:val="fr-BE"/>
              </w:rPr>
              <w:t>Pour l’application de l’honoraire de disponibilité, seront pris en compte les services de garde des pharmacies communiqués conformément à l’article 3.</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spacing w:val="-2"/>
                <w:lang w:val="nl-BE"/>
              </w:rPr>
              <w:t xml:space="preserve">Art. 9. </w:t>
            </w:r>
            <w:r w:rsidRPr="00B1671F">
              <w:rPr>
                <w:rFonts w:ascii="Arial" w:hAnsi="Arial" w:cs="Arial"/>
                <w:spacing w:val="-2"/>
                <w:lang w:val="nl-BE"/>
              </w:rPr>
              <w:t>Voor de toepassing van de beschikbaarheidshonoraria, zullen de wachtdiensten van de apotheken zoals meegedeeld conform artikel 3 in rekening gebracht worden.</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pPr>
            <w:r w:rsidRPr="00B1671F">
              <w:rPr>
                <w:rFonts w:ascii="Arial" w:hAnsi="Arial" w:cs="Arial"/>
                <w:lang w:val="fr-BE"/>
              </w:rPr>
              <w:t xml:space="preserve">Un honoraire de disponibilité </w:t>
            </w:r>
            <w:r w:rsidRPr="00B1671F">
              <w:rPr>
                <w:rFonts w:ascii="Arial" w:hAnsi="Arial" w:cs="Arial"/>
              </w:rPr>
              <w:t xml:space="preserve">dont le montant est égal au produit de la valeur de la lettre-clef P fixée dans la convention nationale entre les pharmaciens et les organismes-assureurs et du coefficient 34,21 (TVA inclus) </w:t>
            </w:r>
            <w:r w:rsidRPr="00B1671F">
              <w:rPr>
                <w:rFonts w:ascii="Arial" w:hAnsi="Arial" w:cs="Arial"/>
                <w:lang w:val="fr-BE"/>
              </w:rPr>
              <w:t>ne peut être porté en compte à l’assurance obligatoire soins de santé et indemnités</w:t>
            </w:r>
            <w:r w:rsidRPr="00B1671F">
              <w:rPr>
                <w:rFonts w:ascii="Arial" w:hAnsi="Arial" w:cs="Arial"/>
              </w:rPr>
              <w:t xml:space="preserve">, que </w:t>
            </w:r>
            <w:r w:rsidRPr="00B1671F">
              <w:rPr>
                <w:rFonts w:ascii="Arial" w:hAnsi="Arial" w:cs="Arial"/>
                <w:spacing w:val="-2"/>
                <w:lang w:val="fr-BE"/>
              </w:rPr>
              <w:t xml:space="preserve">pour la période de garde entière entre 22h le soir et 8h le matin. </w:t>
            </w:r>
          </w:p>
        </w:tc>
        <w:tc>
          <w:tcPr>
            <w:tcW w:w="4820" w:type="dxa"/>
            <w:tcBorders>
              <w:top w:val="nil"/>
              <w:left w:val="nil"/>
              <w:bottom w:val="nil"/>
              <w:right w:val="nil"/>
            </w:tcBorders>
          </w:tcPr>
          <w:p w:rsidR="00B445AF" w:rsidRPr="00B1671F" w:rsidRDefault="00B445AF" w:rsidP="00B445AF">
            <w:pPr>
              <w:jc w:val="both"/>
              <w:rPr>
                <w:lang w:val="nl-BE"/>
              </w:rPr>
            </w:pPr>
            <w:r w:rsidRPr="00B1671F">
              <w:rPr>
                <w:rFonts w:ascii="Arial" w:hAnsi="Arial" w:cs="Arial"/>
                <w:lang w:val="nl-BE"/>
              </w:rPr>
              <w:t>Een beschikbaarheidshonorarium waarvan het bedrag gelijk is aan het product van de waarde van de sleutelletter P vastgesteld in de nationale overeenkomst tussen de apothekers en de verzekeringsinstellingen en de coëfficiënt van 34,21 (BTW inbegrepen),</w:t>
            </w:r>
            <w:r w:rsidRPr="00B1671F">
              <w:rPr>
                <w:rFonts w:ascii="Arial" w:hAnsi="Arial" w:cs="Arial"/>
                <w:spacing w:val="-2"/>
                <w:lang w:val="nl-BE"/>
              </w:rPr>
              <w:t xml:space="preserve"> mag alleen maar aan de verplichte verzekering voor geneeskundige verzorging en uitkeringen worden aangerekend, voor de volledige wachtperiode tussen 22u s‘ avonds en 8u ’s ochtends. </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lang w:val="nl-BE"/>
              </w:rPr>
            </w:pPr>
          </w:p>
        </w:tc>
      </w:tr>
      <w:tr w:rsidR="00B445AF" w:rsidRPr="00617458" w:rsidTr="0069379F">
        <w:tc>
          <w:tcPr>
            <w:tcW w:w="4820" w:type="dxa"/>
            <w:tcBorders>
              <w:top w:val="nil"/>
              <w:left w:val="nil"/>
              <w:bottom w:val="nil"/>
              <w:right w:val="nil"/>
            </w:tcBorders>
          </w:tcPr>
          <w:p w:rsidR="00B445AF" w:rsidRPr="00B1671F" w:rsidRDefault="006E2460" w:rsidP="00B1671F">
            <w:pPr>
              <w:jc w:val="both"/>
              <w:rPr>
                <w:rFonts w:ascii="Arial" w:hAnsi="Arial" w:cs="Arial"/>
                <w:spacing w:val="-2"/>
                <w:lang w:val="fr-BE"/>
              </w:rPr>
            </w:pPr>
            <w:r w:rsidRPr="00B1671F">
              <w:rPr>
                <w:rFonts w:ascii="Arial" w:hAnsi="Arial" w:cs="Arial"/>
                <w:spacing w:val="-2"/>
                <w:lang w:val="fr-BE"/>
              </w:rPr>
              <w:t>Le pharmacien qui assure le service de garde ne peut porter en compte cet honoraire de disponibilité que s’il est disponible immédiatement durant toute la période de garde mentionnée à l’alinéa précédent</w:t>
            </w:r>
            <w:r w:rsidR="00B445AF" w:rsidRPr="00B1671F">
              <w:rPr>
                <w:rFonts w:ascii="Arial" w:hAnsi="Arial" w:cs="Arial"/>
                <w:spacing w:val="-2"/>
                <w:lang w:val="fr-BE"/>
              </w:rPr>
              <w:t>.</w:t>
            </w:r>
          </w:p>
        </w:tc>
        <w:tc>
          <w:tcPr>
            <w:tcW w:w="4820" w:type="dxa"/>
            <w:tcBorders>
              <w:top w:val="nil"/>
              <w:left w:val="nil"/>
              <w:bottom w:val="nil"/>
              <w:right w:val="nil"/>
            </w:tcBorders>
          </w:tcPr>
          <w:p w:rsidR="00B445AF" w:rsidRPr="00B1671F" w:rsidRDefault="006E2460" w:rsidP="00B1671F">
            <w:pPr>
              <w:jc w:val="both"/>
              <w:rPr>
                <w:rFonts w:ascii="Arial" w:hAnsi="Arial" w:cs="Arial"/>
                <w:spacing w:val="-2"/>
                <w:lang w:val="nl-BE"/>
              </w:rPr>
            </w:pPr>
            <w:r w:rsidRPr="00B1671F">
              <w:rPr>
                <w:rFonts w:ascii="Arial" w:hAnsi="Arial" w:cs="Arial"/>
                <w:spacing w:val="-2"/>
                <w:lang w:val="nl-BE"/>
              </w:rPr>
              <w:t>De apotheker die de wachtdienst verzekert, moet onmiddellijk beschikbaar zijn gedurende de volledige desbetreffende wachtperiode in het vorige lid vermeld, ten einde dit beschikbaarheidshonorarium te mogen aanrekenen.</w:t>
            </w:r>
          </w:p>
        </w:tc>
      </w:tr>
      <w:tr w:rsidR="00B445AF" w:rsidRPr="00617458" w:rsidTr="0069379F">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b/>
                <w:spacing w:val="-2"/>
                <w:lang w:val="fr-BE"/>
              </w:rPr>
              <w:t>Art. 10.</w:t>
            </w:r>
            <w:r w:rsidRPr="00B1671F">
              <w:rPr>
                <w:rFonts w:ascii="Arial" w:hAnsi="Arial" w:cs="Arial"/>
                <w:spacing w:val="-2"/>
                <w:lang w:val="fr-BE"/>
              </w:rPr>
              <w:t xml:space="preserve"> </w:t>
            </w:r>
          </w:p>
          <w:p w:rsidR="00B445AF" w:rsidRPr="00B1671F" w:rsidRDefault="00B445AF" w:rsidP="00B445AF">
            <w:pPr>
              <w:jc w:val="both"/>
              <w:rPr>
                <w:rFonts w:ascii="Arial" w:hAnsi="Arial" w:cs="Arial"/>
                <w:b/>
                <w:spacing w:val="-2"/>
                <w:lang w:val="fr-BE"/>
              </w:rPr>
            </w:pPr>
            <w:r w:rsidRPr="00B1671F">
              <w:rPr>
                <w:rFonts w:ascii="Arial" w:hAnsi="Arial" w:cs="Arial"/>
                <w:b/>
                <w:spacing w:val="-2"/>
                <w:lang w:val="fr-BE"/>
              </w:rPr>
              <w:t>§1</w:t>
            </w:r>
            <w:r w:rsidRPr="00B1671F">
              <w:rPr>
                <w:rFonts w:ascii="Arial" w:hAnsi="Arial" w:cs="Arial"/>
                <w:b/>
                <w:spacing w:val="-2"/>
                <w:vertAlign w:val="superscript"/>
                <w:lang w:val="fr-BE"/>
              </w:rPr>
              <w:t>er</w:t>
            </w:r>
            <w:r w:rsidRPr="00B1671F">
              <w:rPr>
                <w:rFonts w:ascii="Arial" w:hAnsi="Arial" w:cs="Arial"/>
                <w:b/>
                <w:spacing w:val="-2"/>
                <w:lang w:val="fr-BE"/>
              </w:rPr>
              <w:t>.</w:t>
            </w:r>
            <w:r w:rsidRPr="00B1671F">
              <w:rPr>
                <w:rFonts w:ascii="Arial" w:hAnsi="Arial" w:cs="Arial"/>
                <w:spacing w:val="-2"/>
                <w:lang w:val="fr-BE"/>
              </w:rPr>
              <w:t xml:space="preserve"> Avant la fin du mois, l’Institut verse à la CAAMI une avance égale à un douzième du budget total estimé pour l’année en cours, pour payer les honoraires de disponibilité. Ce budget total est estimé lors de la fixation de la masse des honoraires pour les pharmaciens conjointement avec la détermination de l’objectif budgétaire global de l’assurance soins de santé.</w:t>
            </w:r>
          </w:p>
        </w:tc>
        <w:tc>
          <w:tcPr>
            <w:tcW w:w="4820" w:type="dxa"/>
            <w:tcBorders>
              <w:top w:val="nil"/>
              <w:left w:val="nil"/>
              <w:bottom w:val="nil"/>
              <w:right w:val="nil"/>
            </w:tcBorders>
          </w:tcPr>
          <w:p w:rsidR="00B445AF" w:rsidRPr="00B1671F" w:rsidRDefault="00B445AF" w:rsidP="00B445AF">
            <w:pPr>
              <w:autoSpaceDE w:val="0"/>
              <w:autoSpaceDN w:val="0"/>
              <w:adjustRightInd w:val="0"/>
              <w:jc w:val="both"/>
              <w:rPr>
                <w:rFonts w:ascii="Arial" w:hAnsi="Arial" w:cs="Arial"/>
                <w:b/>
                <w:spacing w:val="-2"/>
                <w:lang w:val="nl-BE"/>
              </w:rPr>
            </w:pPr>
            <w:r w:rsidRPr="00B1671F">
              <w:rPr>
                <w:rFonts w:ascii="Arial" w:hAnsi="Arial" w:cs="Arial"/>
                <w:b/>
                <w:spacing w:val="-2"/>
                <w:lang w:val="nl-BE"/>
              </w:rPr>
              <w:t>Art. 10.</w:t>
            </w:r>
          </w:p>
          <w:p w:rsidR="00B445AF" w:rsidRPr="00B1671F" w:rsidRDefault="00B445AF" w:rsidP="00B445AF">
            <w:pPr>
              <w:autoSpaceDE w:val="0"/>
              <w:autoSpaceDN w:val="0"/>
              <w:adjustRightInd w:val="0"/>
              <w:jc w:val="both"/>
              <w:rPr>
                <w:rFonts w:ascii="Arial" w:hAnsi="Arial" w:cs="Arial"/>
                <w:spacing w:val="-2"/>
                <w:lang w:val="nl-BE"/>
              </w:rPr>
            </w:pPr>
            <w:r w:rsidRPr="00B1671F">
              <w:rPr>
                <w:rFonts w:ascii="Arial" w:hAnsi="Arial" w:cs="Arial"/>
                <w:b/>
                <w:spacing w:val="-2"/>
                <w:lang w:val="nl-BE"/>
              </w:rPr>
              <w:t>§1.</w:t>
            </w:r>
            <w:r w:rsidRPr="00B1671F">
              <w:rPr>
                <w:rFonts w:ascii="Arial" w:hAnsi="Arial" w:cs="Arial"/>
                <w:spacing w:val="-2"/>
                <w:lang w:val="nl-BE"/>
              </w:rPr>
              <w:t xml:space="preserve"> </w:t>
            </w:r>
            <w:r w:rsidRPr="00B1671F">
              <w:rPr>
                <w:rFonts w:ascii="Arial" w:hAnsi="Arial" w:cs="Arial"/>
                <w:lang w:val="nl-BE"/>
              </w:rPr>
              <w:t xml:space="preserve">Het Instituut stort vóór het einde van de maand aan de HZIV een voorschot, gelijk aan een twaalfde van het geraamde totaal budget voor het lopende jaar, om de beschikbaarheidshonoraria te betalen. Dat totaal budget wordt geraamd bij de vaststelling van de honorariummassa van de apothekers samen met de vaststelling van de globale </w:t>
            </w:r>
            <w:r w:rsidRPr="00B1671F">
              <w:rPr>
                <w:rFonts w:ascii="Arial" w:hAnsi="Arial" w:cs="Arial"/>
                <w:lang w:val="nl-BE"/>
              </w:rPr>
              <w:lastRenderedPageBreak/>
              <w:t>begrotingsdoelstelling van de verzekering voor geneeskundige verzorging.</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spacing w:val="-2"/>
                <w:lang w:val="fr-BE"/>
              </w:rPr>
              <w:t>Lorsque le dernier jour du mois tombe un samedi, un dimanche ou un jour férié légal, le dernier versement visant à compléter le douzième budgétaire peut toutefois s’opérer le premier jour ouvrable du mois suivant.</w:t>
            </w:r>
          </w:p>
          <w:p w:rsidR="00B445AF" w:rsidRPr="00B1671F" w:rsidRDefault="00B445AF" w:rsidP="00B445AF">
            <w:pPr>
              <w:jc w:val="both"/>
              <w:rPr>
                <w:rFonts w:ascii="Arial" w:hAnsi="Arial" w:cs="Arial"/>
                <w:spacing w:val="-2"/>
                <w:lang w:val="fr-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spacing w:val="-2"/>
                <w:lang w:val="nl-BE"/>
              </w:rPr>
              <w:t>Wanneer de laatste dag van de maand een zaterdag, een zondag of een wettelijke feestdag is, mag de laatste storting met het oog op de volstorting van het begrotingstwaalfde evenwel worden gedaan op de eerste werkdag van de volgende maand.</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b/>
                <w:spacing w:val="-2"/>
                <w:lang w:val="fr-BE"/>
              </w:rPr>
              <w:t>§2</w:t>
            </w:r>
            <w:r w:rsidRPr="00B1671F">
              <w:rPr>
                <w:rFonts w:ascii="Arial" w:hAnsi="Arial" w:cs="Arial"/>
                <w:spacing w:val="-2"/>
                <w:lang w:val="fr-BE"/>
              </w:rPr>
              <w:t>. Le décompte d’une année est approuvé par  l’INAMI durant le second trimestre de l’année suivante.</w:t>
            </w:r>
          </w:p>
          <w:p w:rsidR="00B445AF" w:rsidRPr="00B1671F" w:rsidRDefault="00B445AF" w:rsidP="00B445AF">
            <w:pPr>
              <w:jc w:val="both"/>
              <w:rPr>
                <w:rFonts w:ascii="Arial" w:hAnsi="Arial" w:cs="Arial"/>
                <w:spacing w:val="-2"/>
                <w:lang w:val="fr-BE"/>
              </w:rPr>
            </w:pPr>
            <w:r w:rsidRPr="00B1671F">
              <w:rPr>
                <w:rFonts w:ascii="Arial" w:hAnsi="Arial" w:cs="Arial"/>
                <w:spacing w:val="-2"/>
                <w:lang w:val="fr-BE"/>
              </w:rPr>
              <w:t>Le solde du décompte à charge de la CAAMI est payé par l’INAMI.</w:t>
            </w:r>
          </w:p>
          <w:p w:rsidR="00B445AF" w:rsidRPr="00B1671F" w:rsidRDefault="00B445AF" w:rsidP="00B445AF">
            <w:pPr>
              <w:jc w:val="both"/>
              <w:rPr>
                <w:rFonts w:ascii="Arial" w:hAnsi="Arial" w:cs="Arial"/>
                <w:spacing w:val="-2"/>
                <w:lang w:val="fr-BE"/>
              </w:rPr>
            </w:pPr>
            <w:r w:rsidRPr="00B1671F">
              <w:rPr>
                <w:rFonts w:ascii="Arial" w:hAnsi="Arial" w:cs="Arial"/>
                <w:spacing w:val="-2"/>
                <w:lang w:val="fr-BE"/>
              </w:rPr>
              <w:t>Dans le cas où le solde serait négatif, la CAAMI rembourse à l’INAMI la différence</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spacing w:val="-2"/>
                <w:lang w:val="nl-BE"/>
              </w:rPr>
              <w:t>§2.</w:t>
            </w:r>
            <w:r w:rsidRPr="00B1671F">
              <w:rPr>
                <w:rFonts w:ascii="Arial" w:hAnsi="Arial" w:cs="Arial"/>
                <w:spacing w:val="-2"/>
                <w:lang w:val="nl-BE"/>
              </w:rPr>
              <w:t xml:space="preserve"> De afrekening van een jaar wordt goedgekeurd door het RIZIV in de loop van het tweede semester van het volgende jaar.</w:t>
            </w:r>
          </w:p>
          <w:p w:rsidR="00B445AF" w:rsidRPr="00B1671F" w:rsidRDefault="00B445AF" w:rsidP="00B445AF">
            <w:pPr>
              <w:autoSpaceDE w:val="0"/>
              <w:autoSpaceDN w:val="0"/>
              <w:adjustRightInd w:val="0"/>
              <w:rPr>
                <w:rFonts w:ascii="Arial" w:hAnsi="Arial" w:cs="Arial"/>
                <w:lang w:val="nl-BE"/>
              </w:rPr>
            </w:pPr>
            <w:r w:rsidRPr="00B1671F">
              <w:rPr>
                <w:rFonts w:ascii="Arial" w:hAnsi="Arial" w:cs="Arial"/>
                <w:lang w:val="nl-BE"/>
              </w:rPr>
              <w:t>Het bedrag van de afrekening ten laste van de HZIV wordt betaald door het RIZIV.</w:t>
            </w:r>
          </w:p>
          <w:p w:rsidR="00B445AF" w:rsidRPr="00B1671F" w:rsidRDefault="00B445AF" w:rsidP="00B445AF">
            <w:pPr>
              <w:autoSpaceDE w:val="0"/>
              <w:autoSpaceDN w:val="0"/>
              <w:adjustRightInd w:val="0"/>
              <w:rPr>
                <w:rFonts w:ascii="Arial" w:hAnsi="Arial" w:cs="Arial"/>
                <w:lang w:val="nl-BE"/>
              </w:rPr>
            </w:pPr>
            <w:r w:rsidRPr="00B1671F">
              <w:rPr>
                <w:rFonts w:ascii="Arial" w:hAnsi="Arial" w:cs="Arial"/>
                <w:lang w:val="nl-BE"/>
              </w:rPr>
              <w:t>Indien het saldo negatief zou zijn, betaalt de HZIV het verschil terug aan het RIZIV.</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autoSpaceDE w:val="0"/>
              <w:autoSpaceDN w:val="0"/>
              <w:adjustRightInd w:val="0"/>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lang w:val="fr-BE"/>
              </w:rPr>
            </w:pPr>
            <w:r w:rsidRPr="00B1671F">
              <w:rPr>
                <w:rFonts w:ascii="Arial" w:hAnsi="Arial" w:cs="Arial"/>
                <w:b/>
                <w:spacing w:val="-2"/>
                <w:lang w:val="fr-BE"/>
              </w:rPr>
              <w:t>Art. 11.</w:t>
            </w:r>
            <w:r w:rsidRPr="00B1671F">
              <w:rPr>
                <w:rFonts w:ascii="Arial" w:hAnsi="Arial" w:cs="Arial"/>
                <w:spacing w:val="-2"/>
                <w:lang w:val="fr-BE"/>
              </w:rPr>
              <w:t xml:space="preserve"> Pour l’exécution de ses missions, la CAAMI reçoit en 2019 une intervention unique de </w:t>
            </w:r>
            <w:r w:rsidRPr="00B1671F">
              <w:rPr>
                <w:rFonts w:ascii="Arial" w:hAnsi="Arial" w:cs="Arial"/>
                <w:lang w:val="fr-BE"/>
              </w:rPr>
              <w:t>10.000 euros pour la réalisation de l’organisation du paiement des honoraires de disponibilité et chaque année 10.000 euros pour les frais de gestion courante.</w:t>
            </w:r>
          </w:p>
          <w:p w:rsidR="00B445AF" w:rsidRPr="00B1671F" w:rsidRDefault="00B445AF" w:rsidP="00B445AF">
            <w:pPr>
              <w:jc w:val="both"/>
              <w:rPr>
                <w:rFonts w:ascii="Arial" w:hAnsi="Arial" w:cs="Arial"/>
                <w:spacing w:val="-2"/>
                <w:lang w:val="fr-BE"/>
              </w:rPr>
            </w:pPr>
            <w:r w:rsidRPr="00B1671F">
              <w:rPr>
                <w:rFonts w:ascii="Arial" w:hAnsi="Arial" w:cs="Arial"/>
                <w:lang w:val="fr-BE"/>
              </w:rPr>
              <w:t>Ces montants sont payés par l’INAMI avant la fin du premier trimestre de l’année.</w:t>
            </w:r>
          </w:p>
        </w:tc>
        <w:tc>
          <w:tcPr>
            <w:tcW w:w="4820" w:type="dxa"/>
            <w:tcBorders>
              <w:top w:val="nil"/>
              <w:left w:val="nil"/>
              <w:bottom w:val="nil"/>
              <w:right w:val="nil"/>
            </w:tcBorders>
          </w:tcPr>
          <w:p w:rsidR="00B445AF" w:rsidRPr="00B1671F" w:rsidRDefault="00B445AF" w:rsidP="00B445AF">
            <w:pPr>
              <w:autoSpaceDE w:val="0"/>
              <w:autoSpaceDN w:val="0"/>
              <w:adjustRightInd w:val="0"/>
              <w:jc w:val="both"/>
              <w:rPr>
                <w:rFonts w:ascii="Arial" w:hAnsi="Arial" w:cs="Arial"/>
                <w:lang w:val="nl-BE"/>
              </w:rPr>
            </w:pPr>
            <w:r w:rsidRPr="00B1671F">
              <w:rPr>
                <w:rFonts w:ascii="Arial" w:hAnsi="Arial" w:cs="Arial"/>
                <w:b/>
                <w:spacing w:val="-2"/>
                <w:lang w:val="nl-BE"/>
              </w:rPr>
              <w:t>Art.11.</w:t>
            </w:r>
            <w:r w:rsidRPr="00B1671F">
              <w:rPr>
                <w:rFonts w:ascii="Arial" w:hAnsi="Arial" w:cs="Arial"/>
                <w:spacing w:val="-2"/>
                <w:lang w:val="nl-BE"/>
              </w:rPr>
              <w:t xml:space="preserve"> </w:t>
            </w:r>
            <w:r w:rsidRPr="00B1671F">
              <w:rPr>
                <w:rFonts w:ascii="Arial" w:hAnsi="Arial" w:cs="Arial"/>
                <w:lang w:val="nl-BE"/>
              </w:rPr>
              <w:t>Voor de uitvoering van haar opdrachten krijgt de HZIV in het jaar 2019 een éénmalige vergoeding van 10.000 euro voor het verwezenlijken van het organiseren van de betaling van de beschikbaarheidshonoraria en jaarlijks telkens 10.000 euro voor het lopende beheer van de betaling.</w:t>
            </w:r>
          </w:p>
          <w:p w:rsidR="00B445AF" w:rsidRPr="00B1671F" w:rsidRDefault="00B445AF" w:rsidP="00B445AF">
            <w:pPr>
              <w:autoSpaceDE w:val="0"/>
              <w:autoSpaceDN w:val="0"/>
              <w:adjustRightInd w:val="0"/>
              <w:jc w:val="both"/>
              <w:rPr>
                <w:rFonts w:ascii="Arial" w:hAnsi="Arial" w:cs="Arial"/>
                <w:spacing w:val="-2"/>
                <w:lang w:val="nl-BE"/>
              </w:rPr>
            </w:pPr>
            <w:r w:rsidRPr="00B1671F">
              <w:rPr>
                <w:rFonts w:ascii="Arial" w:hAnsi="Arial" w:cs="Arial"/>
                <w:lang w:val="nl-BE"/>
              </w:rPr>
              <w:t>Deze bedragen worden voor het einde van het eerste kwartaal van het jaar betaald door het RIZIV.</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autoSpaceDE w:val="0"/>
              <w:autoSpaceDN w:val="0"/>
              <w:adjustRightInd w:val="0"/>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fr-BE"/>
              </w:rPr>
            </w:pPr>
            <w:r w:rsidRPr="00B1671F">
              <w:rPr>
                <w:rFonts w:ascii="Arial" w:hAnsi="Arial" w:cs="Arial"/>
                <w:lang w:val="fr-BE"/>
              </w:rPr>
              <w:t>Pour l’année 2019, le premier montant sera payé entièrement et le deuxième montant sera payé proportionnellement au nombre de trimestres restants, avant la fin du trimestre qui suit l’entrée en vigueur de ce présent arrêté.</w:t>
            </w:r>
          </w:p>
        </w:tc>
        <w:tc>
          <w:tcPr>
            <w:tcW w:w="4820" w:type="dxa"/>
            <w:tcBorders>
              <w:top w:val="nil"/>
              <w:left w:val="nil"/>
              <w:bottom w:val="nil"/>
              <w:right w:val="nil"/>
            </w:tcBorders>
          </w:tcPr>
          <w:p w:rsidR="00B445AF" w:rsidRPr="00B1671F" w:rsidRDefault="00B445AF" w:rsidP="00B445AF">
            <w:pPr>
              <w:autoSpaceDE w:val="0"/>
              <w:autoSpaceDN w:val="0"/>
              <w:adjustRightInd w:val="0"/>
              <w:jc w:val="both"/>
              <w:rPr>
                <w:rFonts w:ascii="Arial" w:hAnsi="Arial" w:cs="Arial"/>
                <w:spacing w:val="-2"/>
                <w:lang w:val="nl-BE"/>
              </w:rPr>
            </w:pPr>
            <w:r w:rsidRPr="00B1671F">
              <w:rPr>
                <w:rFonts w:ascii="Arial" w:hAnsi="Arial" w:cs="Arial"/>
                <w:spacing w:val="-2"/>
                <w:lang w:val="nl-BE"/>
              </w:rPr>
              <w:t>Voor 2019 zal het eerste bedrag volledig en het tweede bedrag proportioneel aan het aantal resterende trimesters, vóór het einde van het trimester dat volgt op de inwerkingtreding van dit besluit, betaald worden.</w:t>
            </w: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autoSpaceDE w:val="0"/>
              <w:autoSpaceDN w:val="0"/>
              <w:adjustRightInd w:val="0"/>
              <w:jc w:val="both"/>
              <w:rPr>
                <w:rFonts w:ascii="Arial" w:hAnsi="Arial" w:cs="Arial"/>
                <w:spacing w:val="-2"/>
                <w:lang w:val="nl-BE"/>
              </w:rPr>
            </w:pPr>
          </w:p>
        </w:tc>
      </w:tr>
      <w:tr w:rsidR="00B445AF" w:rsidRPr="00617458" w:rsidTr="0069379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r w:rsidRPr="00B1671F">
              <w:rPr>
                <w:rFonts w:ascii="Arial" w:hAnsi="Arial" w:cs="Arial"/>
                <w:b/>
                <w:spacing w:val="-2"/>
                <w:lang w:val="fr-BE"/>
              </w:rPr>
              <w:t xml:space="preserve">Art. 12. </w:t>
            </w:r>
            <w:r w:rsidRPr="00B1671F">
              <w:rPr>
                <w:rFonts w:ascii="Arial" w:hAnsi="Arial" w:cs="Arial"/>
                <w:spacing w:val="-2"/>
                <w:lang w:val="fr-BE"/>
              </w:rPr>
              <w:t>La liste des pharmacies de garde visée à l’article 3 est communiquée mensuellement par les unions professionnelles à la CAAMI, à l’Institut et aux offices de tarification agréés.</w:t>
            </w: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r w:rsidRPr="00B1671F">
              <w:rPr>
                <w:rFonts w:ascii="Arial" w:hAnsi="Arial" w:cs="Arial"/>
                <w:b/>
                <w:spacing w:val="-2"/>
                <w:lang w:val="nl-BE"/>
              </w:rPr>
              <w:t xml:space="preserve">Art. 12. </w:t>
            </w:r>
            <w:r w:rsidRPr="00B1671F">
              <w:rPr>
                <w:rFonts w:ascii="Arial" w:hAnsi="Arial" w:cs="Arial"/>
                <w:spacing w:val="-2"/>
                <w:lang w:val="nl-BE"/>
              </w:rPr>
              <w:t>De lijst van de apotheken van wacht bedoeld in</w:t>
            </w:r>
            <w:r w:rsidRPr="00B1671F">
              <w:rPr>
                <w:rFonts w:ascii="Arial" w:hAnsi="Arial" w:cs="Arial"/>
                <w:b/>
                <w:spacing w:val="-2"/>
                <w:lang w:val="nl-BE"/>
              </w:rPr>
              <w:t xml:space="preserve"> </w:t>
            </w:r>
            <w:r w:rsidRPr="00B1671F">
              <w:rPr>
                <w:rFonts w:ascii="Arial" w:hAnsi="Arial" w:cs="Arial"/>
                <w:spacing w:val="-2"/>
                <w:lang w:val="nl-BE"/>
              </w:rPr>
              <w:t>artikel 3 wordt maandelijks door de beroepsverenigingen</w:t>
            </w:r>
            <w:r w:rsidRPr="00B1671F">
              <w:rPr>
                <w:rFonts w:ascii="Arial" w:hAnsi="Arial" w:cs="Arial"/>
                <w:spacing w:val="-2"/>
                <w:lang w:val="nl-NL"/>
              </w:rPr>
              <w:t xml:space="preserve"> aan de HZIV, aan het Instituut en aan de erkende tariferingsdiensten overgemaakt.</w:t>
            </w:r>
          </w:p>
        </w:tc>
      </w:tr>
      <w:tr w:rsidR="0069379F" w:rsidRPr="00617458" w:rsidTr="0069379F">
        <w:tc>
          <w:tcPr>
            <w:tcW w:w="4820" w:type="dxa"/>
            <w:tcBorders>
              <w:top w:val="nil"/>
              <w:left w:val="nil"/>
              <w:bottom w:val="nil"/>
              <w:right w:val="nil"/>
            </w:tcBorders>
          </w:tcPr>
          <w:p w:rsidR="0069379F" w:rsidRPr="00B1671F" w:rsidRDefault="0069379F" w:rsidP="00B445AF">
            <w:pPr>
              <w:jc w:val="both"/>
              <w:rPr>
                <w:rFonts w:ascii="Arial" w:hAnsi="Arial" w:cs="Arial"/>
                <w:b/>
                <w:spacing w:val="-2"/>
                <w:lang w:val="nl-BE"/>
              </w:rPr>
            </w:pPr>
          </w:p>
        </w:tc>
        <w:tc>
          <w:tcPr>
            <w:tcW w:w="4820" w:type="dxa"/>
            <w:tcBorders>
              <w:top w:val="nil"/>
              <w:left w:val="nil"/>
              <w:bottom w:val="nil"/>
              <w:right w:val="nil"/>
            </w:tcBorders>
          </w:tcPr>
          <w:p w:rsidR="0069379F" w:rsidRPr="00B1671F" w:rsidRDefault="0069379F" w:rsidP="00B445AF">
            <w:pPr>
              <w:jc w:val="both"/>
              <w:rPr>
                <w:rFonts w:ascii="Arial" w:hAnsi="Arial" w:cs="Arial"/>
                <w:b/>
                <w:spacing w:val="-2"/>
                <w:lang w:val="nl-BE"/>
              </w:rPr>
            </w:pPr>
          </w:p>
        </w:tc>
      </w:tr>
      <w:tr w:rsidR="0069379F" w:rsidRPr="00617458" w:rsidTr="0069379F">
        <w:tc>
          <w:tcPr>
            <w:tcW w:w="4820" w:type="dxa"/>
            <w:tcBorders>
              <w:top w:val="nil"/>
              <w:left w:val="nil"/>
              <w:bottom w:val="nil"/>
              <w:right w:val="nil"/>
            </w:tcBorders>
          </w:tcPr>
          <w:p w:rsidR="0069379F" w:rsidRPr="00B1671F" w:rsidRDefault="0069379F" w:rsidP="00B445AF">
            <w:pPr>
              <w:jc w:val="both"/>
              <w:rPr>
                <w:rFonts w:ascii="Arial" w:hAnsi="Arial" w:cs="Arial"/>
                <w:b/>
                <w:spacing w:val="-2"/>
                <w:lang w:val="fr-BE"/>
              </w:rPr>
            </w:pPr>
            <w:r w:rsidRPr="00B1671F">
              <w:rPr>
                <w:rFonts w:ascii="Arial" w:hAnsi="Arial" w:cs="Arial"/>
                <w:b/>
                <w:spacing w:val="-2"/>
                <w:lang w:val="fr-BE"/>
              </w:rPr>
              <w:t xml:space="preserve">Art. 13. </w:t>
            </w:r>
            <w:r w:rsidRPr="00B1671F">
              <w:rPr>
                <w:rFonts w:ascii="Arial" w:hAnsi="Arial" w:cs="Arial"/>
                <w:spacing w:val="-2"/>
                <w:lang w:val="fr-BE"/>
              </w:rPr>
              <w:t>Les offices de tarifications facturent à la CAAMI via le circuit de facturation Pharmanet selon les instructions aux offices de tarifications, telles que définies par le comité de l’assurance, et sous un pseudocode de catégorie spécifique, ces honoraires de disponibilité pour leurs pharmaciens membres concernés.</w:t>
            </w:r>
          </w:p>
        </w:tc>
        <w:tc>
          <w:tcPr>
            <w:tcW w:w="4820" w:type="dxa"/>
            <w:tcBorders>
              <w:top w:val="nil"/>
              <w:left w:val="nil"/>
              <w:bottom w:val="nil"/>
              <w:right w:val="nil"/>
            </w:tcBorders>
          </w:tcPr>
          <w:p w:rsidR="0069379F" w:rsidRPr="00B1671F" w:rsidRDefault="0069379F" w:rsidP="00B445AF">
            <w:pPr>
              <w:jc w:val="both"/>
              <w:rPr>
                <w:rFonts w:ascii="Arial" w:hAnsi="Arial" w:cs="Arial"/>
                <w:b/>
                <w:spacing w:val="-2"/>
                <w:lang w:val="nl-BE"/>
              </w:rPr>
            </w:pPr>
            <w:r w:rsidRPr="00B1671F">
              <w:rPr>
                <w:rFonts w:ascii="Arial" w:hAnsi="Arial" w:cs="Arial"/>
                <w:b/>
                <w:spacing w:val="-2"/>
                <w:lang w:val="nl-BE"/>
              </w:rPr>
              <w:t>Art. 13.</w:t>
            </w:r>
            <w:r w:rsidRPr="00B1671F">
              <w:rPr>
                <w:rFonts w:ascii="Arial" w:hAnsi="Arial" w:cs="Arial"/>
                <w:spacing w:val="-2"/>
                <w:lang w:val="nl-BE"/>
              </w:rPr>
              <w:t xml:space="preserve"> </w:t>
            </w:r>
            <w:r w:rsidRPr="00B1671F">
              <w:rPr>
                <w:rFonts w:ascii="Arial" w:hAnsi="Arial" w:cs="Arial"/>
                <w:color w:val="222222"/>
                <w:lang w:val="nl-NL"/>
              </w:rPr>
              <w:t xml:space="preserve">De tariferingsdiensten factureren deze beschikbaarheidshonoraria voor hun aangesloten apothekers aan de HZIV, via </w:t>
            </w:r>
            <w:r w:rsidRPr="00B1671F">
              <w:rPr>
                <w:rFonts w:ascii="Arial" w:hAnsi="Arial" w:cs="Arial"/>
                <w:i/>
                <w:color w:val="222222"/>
                <w:lang w:val="nl-NL"/>
              </w:rPr>
              <w:t>het</w:t>
            </w:r>
            <w:r w:rsidRPr="00B1671F">
              <w:rPr>
                <w:rFonts w:ascii="Arial" w:hAnsi="Arial" w:cs="Arial"/>
                <w:color w:val="222222"/>
                <w:lang w:val="nl-NL"/>
              </w:rPr>
              <w:t xml:space="preserve"> circuit Farmanet , volgens de instructies voor de tariferingsdiensten (Farmanet) zoals goedgekeurd door het verzekeringscomité onder een specifieke categorie pseudocode.</w:t>
            </w:r>
          </w:p>
        </w:tc>
      </w:tr>
      <w:tr w:rsidR="0069379F" w:rsidRPr="00617458" w:rsidTr="0069379F">
        <w:tc>
          <w:tcPr>
            <w:tcW w:w="4820" w:type="dxa"/>
            <w:tcBorders>
              <w:top w:val="nil"/>
              <w:left w:val="nil"/>
              <w:bottom w:val="nil"/>
              <w:right w:val="nil"/>
            </w:tcBorders>
          </w:tcPr>
          <w:p w:rsidR="0069379F" w:rsidRPr="00B1671F" w:rsidRDefault="0069379F" w:rsidP="00B445AF">
            <w:pPr>
              <w:jc w:val="both"/>
              <w:rPr>
                <w:rFonts w:ascii="Arial" w:hAnsi="Arial" w:cs="Arial"/>
                <w:b/>
                <w:spacing w:val="-2"/>
                <w:lang w:val="nl-BE"/>
              </w:rPr>
            </w:pPr>
          </w:p>
        </w:tc>
        <w:tc>
          <w:tcPr>
            <w:tcW w:w="4820" w:type="dxa"/>
            <w:tcBorders>
              <w:top w:val="nil"/>
              <w:left w:val="nil"/>
              <w:bottom w:val="nil"/>
              <w:right w:val="nil"/>
            </w:tcBorders>
          </w:tcPr>
          <w:p w:rsidR="0069379F" w:rsidRPr="00B1671F" w:rsidRDefault="0069379F" w:rsidP="00B445AF">
            <w:pPr>
              <w:jc w:val="both"/>
              <w:rPr>
                <w:rFonts w:ascii="Arial" w:hAnsi="Arial" w:cs="Arial"/>
                <w:b/>
                <w:spacing w:val="-2"/>
                <w:lang w:val="nl-BE"/>
              </w:rPr>
            </w:pPr>
          </w:p>
        </w:tc>
      </w:tr>
      <w:tr w:rsidR="00AB1F3E" w:rsidRPr="00617458" w:rsidTr="0069379F">
        <w:tc>
          <w:tcPr>
            <w:tcW w:w="4820" w:type="dxa"/>
            <w:tcBorders>
              <w:top w:val="nil"/>
              <w:left w:val="nil"/>
              <w:bottom w:val="nil"/>
              <w:right w:val="nil"/>
            </w:tcBorders>
          </w:tcPr>
          <w:p w:rsidR="00AB1F3E" w:rsidRPr="00B1671F" w:rsidRDefault="0069379F" w:rsidP="00AB1F3E">
            <w:pPr>
              <w:jc w:val="both"/>
              <w:rPr>
                <w:rFonts w:ascii="Arial" w:hAnsi="Arial" w:cs="Arial"/>
                <w:spacing w:val="-2"/>
                <w:lang w:val="fr-BE"/>
              </w:rPr>
            </w:pPr>
            <w:r w:rsidRPr="00B1671F">
              <w:rPr>
                <w:rFonts w:ascii="Arial" w:hAnsi="Arial" w:cs="Arial"/>
                <w:b/>
                <w:spacing w:val="-2"/>
                <w:lang w:val="fr-BE"/>
              </w:rPr>
              <w:t>Art. 14.</w:t>
            </w:r>
            <w:r w:rsidRPr="00B1671F">
              <w:rPr>
                <w:rFonts w:ascii="Arial" w:hAnsi="Arial" w:cs="Arial"/>
                <w:spacing w:val="-2"/>
                <w:lang w:val="fr-BE"/>
              </w:rPr>
              <w:t xml:space="preserve"> Après vérification que la pharmacie était bien de garde et qu’il n’existe qu’un seul pseudocode par pharmacie pour la période de garde entière visée à l’article 9, 2</w:t>
            </w:r>
            <w:r w:rsidRPr="00B1671F">
              <w:rPr>
                <w:rFonts w:ascii="Arial" w:hAnsi="Arial" w:cs="Arial"/>
                <w:spacing w:val="-2"/>
                <w:vertAlign w:val="superscript"/>
                <w:lang w:val="fr-BE"/>
              </w:rPr>
              <w:t>ème</w:t>
            </w:r>
            <w:r w:rsidRPr="00B1671F">
              <w:rPr>
                <w:rFonts w:ascii="Arial" w:hAnsi="Arial" w:cs="Arial"/>
                <w:spacing w:val="-2"/>
                <w:lang w:val="fr-BE"/>
              </w:rPr>
              <w:t xml:space="preserve"> alinéa, la CAAMI paie les honoraires de disponibilité, visés dans l’article 10, aux offices de tarification conformément aux instructions Pharmanet telles qu’approuvées par le Comité de l’assurance.</w:t>
            </w:r>
          </w:p>
        </w:tc>
        <w:tc>
          <w:tcPr>
            <w:tcW w:w="4820" w:type="dxa"/>
            <w:tcBorders>
              <w:top w:val="nil"/>
              <w:left w:val="nil"/>
              <w:bottom w:val="nil"/>
              <w:right w:val="nil"/>
            </w:tcBorders>
          </w:tcPr>
          <w:p w:rsidR="00AB1F3E" w:rsidRPr="00B1671F" w:rsidRDefault="0069379F" w:rsidP="00AB1F3E">
            <w:pPr>
              <w:jc w:val="both"/>
              <w:rPr>
                <w:rFonts w:ascii="Arial" w:hAnsi="Arial" w:cs="Arial"/>
                <w:b/>
                <w:spacing w:val="-2"/>
                <w:lang w:val="nl-BE"/>
              </w:rPr>
            </w:pPr>
            <w:r w:rsidRPr="00B1671F">
              <w:rPr>
                <w:rFonts w:ascii="Arial" w:hAnsi="Arial" w:cs="Arial"/>
                <w:b/>
                <w:spacing w:val="-2"/>
                <w:lang w:val="nl-BE"/>
              </w:rPr>
              <w:t>Art. 14.</w:t>
            </w:r>
            <w:r w:rsidRPr="00B1671F">
              <w:rPr>
                <w:rFonts w:ascii="Arial" w:hAnsi="Arial" w:cs="Arial"/>
                <w:spacing w:val="-2"/>
                <w:lang w:val="nl-BE"/>
              </w:rPr>
              <w:t xml:space="preserve"> </w:t>
            </w:r>
            <w:r w:rsidRPr="00B1671F">
              <w:rPr>
                <w:rFonts w:ascii="Arial" w:hAnsi="Arial" w:cs="Arial"/>
                <w:color w:val="222222"/>
                <w:lang w:val="nl-NL"/>
              </w:rPr>
              <w:t>Na verificatie dat de apotheek aan de wachtdienst deelnam en dat er slechts één pseudo-code per apotheek voor de</w:t>
            </w:r>
            <w:r w:rsidRPr="00B1671F">
              <w:rPr>
                <w:rFonts w:ascii="Arial" w:hAnsi="Arial" w:cs="Arial"/>
                <w:spacing w:val="-2"/>
                <w:lang w:val="nl-BE"/>
              </w:rPr>
              <w:t xml:space="preserve"> volledige wachtperiode</w:t>
            </w:r>
            <w:r w:rsidRPr="00B1671F">
              <w:rPr>
                <w:rFonts w:ascii="Arial" w:hAnsi="Arial" w:cs="Arial"/>
                <w:color w:val="222222"/>
                <w:lang w:val="nl-NL"/>
              </w:rPr>
              <w:t xml:space="preserve"> zoals bedoeld in artikel 9, tweede lid is, </w:t>
            </w:r>
            <w:r w:rsidRPr="00B1671F">
              <w:rPr>
                <w:rFonts w:ascii="Arial" w:hAnsi="Arial" w:cs="Arial"/>
                <w:spacing w:val="-2"/>
                <w:lang w:val="nl-BE"/>
              </w:rPr>
              <w:t xml:space="preserve">betaalt de HZIV </w:t>
            </w:r>
            <w:r w:rsidRPr="00B1671F">
              <w:rPr>
                <w:rFonts w:ascii="Arial" w:hAnsi="Arial" w:cs="Arial"/>
                <w:color w:val="222222"/>
                <w:lang w:val="nl-NL"/>
              </w:rPr>
              <w:t>de beschikbaarheidshonoraria zoals bedoeld in artikel 10 aan de tariferingsdiensten volgens de Farmanet-instructies zoals goedgekeurd door het Verzekeringscomité.</w:t>
            </w:r>
          </w:p>
        </w:tc>
      </w:tr>
      <w:tr w:rsidR="00AB1F3E" w:rsidRPr="00617458" w:rsidTr="0069379F">
        <w:tc>
          <w:tcPr>
            <w:tcW w:w="4820" w:type="dxa"/>
            <w:tcBorders>
              <w:top w:val="nil"/>
              <w:left w:val="nil"/>
              <w:bottom w:val="nil"/>
              <w:right w:val="nil"/>
            </w:tcBorders>
          </w:tcPr>
          <w:p w:rsidR="00AB1F3E" w:rsidRPr="00B1671F" w:rsidRDefault="00AB1F3E" w:rsidP="00AB1F3E">
            <w:pPr>
              <w:jc w:val="both"/>
              <w:rPr>
                <w:rFonts w:ascii="Arial" w:hAnsi="Arial" w:cs="Arial"/>
                <w:spacing w:val="-2"/>
                <w:lang w:val="nl-BE"/>
              </w:rPr>
            </w:pPr>
          </w:p>
        </w:tc>
        <w:tc>
          <w:tcPr>
            <w:tcW w:w="4820" w:type="dxa"/>
            <w:tcBorders>
              <w:top w:val="nil"/>
              <w:left w:val="nil"/>
              <w:bottom w:val="nil"/>
              <w:right w:val="nil"/>
            </w:tcBorders>
          </w:tcPr>
          <w:p w:rsidR="00AB1F3E" w:rsidRPr="00B1671F" w:rsidRDefault="00AB1F3E" w:rsidP="00AB1F3E">
            <w:pPr>
              <w:rPr>
                <w:rFonts w:ascii="Arial" w:hAnsi="Arial" w:cs="Arial"/>
                <w:spacing w:val="-2"/>
                <w:lang w:val="nl-BE"/>
              </w:rPr>
            </w:pPr>
          </w:p>
        </w:tc>
      </w:tr>
    </w:tbl>
    <w:p w:rsidR="00A06F04" w:rsidRPr="00B1671F" w:rsidRDefault="00A06F04">
      <w:pPr>
        <w:rPr>
          <w:lang w:val="nl-BE"/>
        </w:rPr>
      </w:pP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20"/>
      </w:tblGrid>
      <w:tr w:rsidR="00B445AF" w:rsidRPr="00617458" w:rsidTr="00B445AF">
        <w:tc>
          <w:tcPr>
            <w:tcW w:w="4820" w:type="dxa"/>
            <w:tcBorders>
              <w:top w:val="nil"/>
              <w:left w:val="nil"/>
              <w:bottom w:val="nil"/>
              <w:right w:val="nil"/>
            </w:tcBorders>
          </w:tcPr>
          <w:p w:rsidR="00B445AF" w:rsidRPr="00B1671F" w:rsidRDefault="00B445AF" w:rsidP="00E418F0">
            <w:pPr>
              <w:jc w:val="both"/>
              <w:rPr>
                <w:rFonts w:ascii="Arial" w:hAnsi="Arial" w:cs="Arial"/>
                <w:b/>
                <w:spacing w:val="-2"/>
                <w:lang w:val="fr-BE"/>
              </w:rPr>
            </w:pPr>
            <w:r w:rsidRPr="00B1671F">
              <w:rPr>
                <w:rFonts w:ascii="Arial" w:hAnsi="Arial" w:cs="Arial"/>
                <w:b/>
                <w:spacing w:val="-2"/>
                <w:lang w:val="fr-BE"/>
              </w:rPr>
              <w:t xml:space="preserve">Art. 15. </w:t>
            </w:r>
            <w:r w:rsidRPr="00B1671F">
              <w:rPr>
                <w:rFonts w:ascii="Arial" w:hAnsi="Arial" w:cs="Arial"/>
                <w:spacing w:val="-2"/>
                <w:lang w:val="fr-BE"/>
              </w:rPr>
              <w:t xml:space="preserve">La CAAMI transmet par l’intermédiaire des statistiques Pharmanet piste unique les informations relatives aux honoraires payés, notamment le numéro d’identification INAMI de la pharmacie de garde et le </w:t>
            </w:r>
            <w:r w:rsidRPr="00B1671F">
              <w:rPr>
                <w:rFonts w:ascii="Arial" w:hAnsi="Arial" w:cs="Arial"/>
                <w:spacing w:val="-2"/>
                <w:lang w:val="fr-BE"/>
              </w:rPr>
              <w:lastRenderedPageBreak/>
              <w:t>nombre d’honoraires de disponibilité, au Service des soins de santé de l’INAMI.</w:t>
            </w: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r w:rsidRPr="00B1671F">
              <w:rPr>
                <w:rFonts w:ascii="Arial" w:hAnsi="Arial" w:cs="Arial"/>
                <w:b/>
                <w:spacing w:val="-2"/>
                <w:lang w:val="nl-BE"/>
              </w:rPr>
              <w:lastRenderedPageBreak/>
              <w:t>Art. 15.</w:t>
            </w:r>
            <w:r w:rsidRPr="00B1671F">
              <w:rPr>
                <w:rFonts w:ascii="Arial" w:hAnsi="Arial" w:cs="Arial"/>
                <w:spacing w:val="-2"/>
                <w:lang w:val="nl-BE"/>
              </w:rPr>
              <w:t xml:space="preserve"> De HZIV verstuurt via de statistieken Farmanet uniek spoor de informaties betreffende de betaalde honoraria, in het bijzonder het identificatienummer RIZIV van de apotheek en het </w:t>
            </w:r>
            <w:r w:rsidRPr="00B1671F">
              <w:rPr>
                <w:rFonts w:ascii="Arial" w:hAnsi="Arial" w:cs="Arial"/>
                <w:spacing w:val="-2"/>
                <w:lang w:val="nl-BE"/>
              </w:rPr>
              <w:lastRenderedPageBreak/>
              <w:t>aantal beschikbaarheidshonoraria naar de Dienst voor geneeskundige verzorging van het RIZIV.</w:t>
            </w: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B1671F" w:rsidTr="00B445AF">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fr-BE"/>
              </w:rPr>
            </w:pPr>
            <w:r w:rsidRPr="00B1671F">
              <w:rPr>
                <w:rFonts w:ascii="Arial" w:hAnsi="Arial" w:cs="Arial"/>
                <w:b/>
                <w:spacing w:val="-2"/>
                <w:lang w:val="fr-BE"/>
              </w:rPr>
              <w:t>CHAPITRE 4. Dispositions finales.</w:t>
            </w:r>
          </w:p>
        </w:tc>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fr-BE"/>
              </w:rPr>
            </w:pPr>
            <w:r w:rsidRPr="00B1671F">
              <w:rPr>
                <w:rFonts w:ascii="Arial" w:hAnsi="Arial" w:cs="Arial"/>
                <w:b/>
                <w:spacing w:val="-2"/>
                <w:lang w:val="fr-BE"/>
              </w:rPr>
              <w:t>HOOFDSTUK 4. Slotbepalingen.</w:t>
            </w:r>
          </w:p>
        </w:tc>
      </w:tr>
      <w:tr w:rsidR="00B445AF" w:rsidRPr="00B1671F" w:rsidTr="00B445AF">
        <w:tc>
          <w:tcPr>
            <w:tcW w:w="4820" w:type="dxa"/>
            <w:tcBorders>
              <w:top w:val="nil"/>
              <w:left w:val="nil"/>
              <w:bottom w:val="nil"/>
              <w:right w:val="nil"/>
            </w:tcBorders>
          </w:tcPr>
          <w:p w:rsidR="00B445AF" w:rsidRPr="00B1671F" w:rsidRDefault="00B445AF" w:rsidP="00B445AF">
            <w:pPr>
              <w:jc w:val="both"/>
              <w:rPr>
                <w:rFonts w:ascii="Arial" w:hAnsi="Arial" w:cs="Arial"/>
                <w:b/>
                <w:spacing w:val="-3"/>
                <w:lang w:val="fr-BE"/>
              </w:rPr>
            </w:pP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p>
        </w:tc>
      </w:tr>
      <w:tr w:rsidR="00B445AF" w:rsidRPr="00617458" w:rsidTr="00B445AF">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fr-BE"/>
              </w:rPr>
            </w:pPr>
            <w:r w:rsidRPr="00B1671F">
              <w:rPr>
                <w:rFonts w:ascii="Arial" w:hAnsi="Arial" w:cs="Arial"/>
                <w:b/>
                <w:spacing w:val="-3"/>
                <w:lang w:val="fr-BE"/>
              </w:rPr>
              <w:t>Art. 16.</w:t>
            </w:r>
            <w:r w:rsidRPr="00B1671F">
              <w:rPr>
                <w:rFonts w:ascii="Arial" w:hAnsi="Arial" w:cs="Arial"/>
                <w:spacing w:val="-3"/>
                <w:lang w:val="fr-BE"/>
              </w:rPr>
              <w:t xml:space="preserve"> </w:t>
            </w:r>
            <w:r w:rsidRPr="00B1671F">
              <w:rPr>
                <w:rFonts w:ascii="Arial" w:hAnsi="Arial"/>
                <w:lang w:val="fr-BE" w:eastAsia="nl-NL"/>
              </w:rPr>
              <w:t>Le présent arrêté entre en vigueur le premier jour du mois qui suit celui de sa publication au Moniteur belge.</w:t>
            </w:r>
          </w:p>
        </w:tc>
        <w:tc>
          <w:tcPr>
            <w:tcW w:w="4820" w:type="dxa"/>
            <w:tcBorders>
              <w:top w:val="nil"/>
              <w:left w:val="nil"/>
              <w:bottom w:val="nil"/>
              <w:right w:val="nil"/>
            </w:tcBorders>
          </w:tcPr>
          <w:p w:rsidR="00B445AF" w:rsidRPr="00B1671F" w:rsidRDefault="00B445AF" w:rsidP="00B445AF">
            <w:pPr>
              <w:jc w:val="both"/>
              <w:rPr>
                <w:rFonts w:ascii="Arial" w:hAnsi="Arial" w:cs="Arial"/>
                <w:lang w:val="nl-BE"/>
              </w:rPr>
            </w:pPr>
            <w:r w:rsidRPr="00B1671F">
              <w:rPr>
                <w:rFonts w:ascii="Arial" w:hAnsi="Arial" w:cs="Arial"/>
                <w:b/>
                <w:spacing w:val="-2"/>
                <w:lang w:val="nl-BE"/>
              </w:rPr>
              <w:t>Art. 16.</w:t>
            </w:r>
            <w:r w:rsidRPr="00B1671F">
              <w:rPr>
                <w:rFonts w:ascii="Arial" w:hAnsi="Arial" w:cs="Arial"/>
                <w:spacing w:val="-2"/>
                <w:lang w:val="nl-BE"/>
              </w:rPr>
              <w:t xml:space="preserve"> </w:t>
            </w:r>
            <w:r w:rsidRPr="00B1671F">
              <w:rPr>
                <w:rFonts w:ascii="Arial" w:hAnsi="Arial"/>
                <w:spacing w:val="-2"/>
                <w:lang w:val="nl-BE" w:eastAsia="nl-NL"/>
              </w:rPr>
              <w:t>Dit besluit treedt in werking op de eerste dag van de maand na die waarin het is bekendgemaakt in het Belgisch Staatsblad.</w:t>
            </w: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c>
          <w:tcPr>
            <w:tcW w:w="4820" w:type="dxa"/>
            <w:tcBorders>
              <w:top w:val="nil"/>
              <w:left w:val="nil"/>
              <w:bottom w:val="nil"/>
              <w:right w:val="nil"/>
            </w:tcBorders>
          </w:tcPr>
          <w:p w:rsidR="00B445AF" w:rsidRPr="00B1671F" w:rsidRDefault="00B445AF" w:rsidP="00B445AF">
            <w:pPr>
              <w:jc w:val="both"/>
              <w:rPr>
                <w:rFonts w:ascii="Arial" w:hAnsi="Arial" w:cs="Arial"/>
                <w:spacing w:val="-2"/>
                <w:lang w:val="nl-BE"/>
              </w:rPr>
            </w:pP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b/>
                <w:spacing w:val="-2"/>
                <w:lang w:val="fr-BE"/>
              </w:rPr>
            </w:pPr>
            <w:r w:rsidRPr="00617458">
              <w:rPr>
                <w:lang w:val="fr-BE"/>
              </w:rPr>
              <w:br w:type="page"/>
            </w:r>
            <w:r w:rsidRPr="00B1671F">
              <w:rPr>
                <w:rFonts w:ascii="Arial" w:hAnsi="Arial" w:cs="Arial"/>
                <w:b/>
                <w:spacing w:val="-3"/>
                <w:lang w:val="fr-BE"/>
              </w:rPr>
              <w:t>Art. 17.</w:t>
            </w:r>
            <w:r w:rsidRPr="00B1671F">
              <w:rPr>
                <w:rFonts w:ascii="Arial" w:hAnsi="Arial" w:cs="Arial"/>
                <w:spacing w:val="-3"/>
                <w:lang w:val="fr-BE"/>
              </w:rPr>
              <w:t xml:space="preserve"> Le ministre qui a les Affaires sociales dans ses attributions est chargé de l’exécution du présent arrêté.</w:t>
            </w:r>
          </w:p>
        </w:tc>
        <w:tc>
          <w:tcPr>
            <w:tcW w:w="4820" w:type="dxa"/>
            <w:tcBorders>
              <w:top w:val="nil"/>
              <w:left w:val="nil"/>
              <w:bottom w:val="nil"/>
              <w:right w:val="nil"/>
            </w:tcBorders>
          </w:tcPr>
          <w:p w:rsidR="00B445AF" w:rsidRPr="00B1671F" w:rsidRDefault="00B445AF" w:rsidP="00B445AF">
            <w:pPr>
              <w:jc w:val="both"/>
              <w:rPr>
                <w:rFonts w:ascii="Arial" w:hAnsi="Arial" w:cs="Arial"/>
                <w:b/>
                <w:spacing w:val="-2"/>
                <w:lang w:val="nl-BE"/>
              </w:rPr>
            </w:pPr>
            <w:r w:rsidRPr="00B1671F">
              <w:rPr>
                <w:rFonts w:ascii="Arial" w:hAnsi="Arial" w:cs="Arial"/>
                <w:b/>
                <w:spacing w:val="-3"/>
                <w:lang w:val="nl-BE"/>
              </w:rPr>
              <w:t>Art. 17.</w:t>
            </w:r>
            <w:r w:rsidRPr="00B1671F">
              <w:rPr>
                <w:rFonts w:ascii="Arial" w:hAnsi="Arial" w:cs="Arial"/>
                <w:spacing w:val="-3"/>
                <w:lang w:val="nl-BE"/>
              </w:rPr>
              <w:t xml:space="preserve"> De minister bevoegd voor Sociale Zaken is belast met de uitvoering van dit besluit.</w:t>
            </w: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spacing w:val="-2"/>
                <w:lang w:val="nl-BE"/>
              </w:rPr>
            </w:pPr>
          </w:p>
        </w:tc>
        <w:tc>
          <w:tcPr>
            <w:tcW w:w="4820" w:type="dxa"/>
            <w:tcBorders>
              <w:top w:val="nil"/>
              <w:left w:val="nil"/>
              <w:bottom w:val="nil"/>
              <w:right w:val="nil"/>
            </w:tcBorders>
          </w:tcPr>
          <w:p w:rsidR="00B445AF" w:rsidRPr="000E2D49" w:rsidRDefault="00B445AF" w:rsidP="00B445AF">
            <w:pPr>
              <w:rPr>
                <w:rFonts w:ascii="Arial" w:hAnsi="Arial" w:cs="Arial"/>
                <w:spacing w:val="-2"/>
                <w:lang w:val="nl-BE"/>
              </w:rPr>
            </w:pPr>
          </w:p>
        </w:tc>
      </w:tr>
      <w:tr w:rsidR="00B445AF" w:rsidRPr="00617458" w:rsidTr="00B445AF">
        <w:tc>
          <w:tcPr>
            <w:tcW w:w="4820" w:type="dxa"/>
            <w:tcBorders>
              <w:top w:val="nil"/>
              <w:left w:val="nil"/>
              <w:bottom w:val="nil"/>
              <w:right w:val="nil"/>
            </w:tcBorders>
          </w:tcPr>
          <w:p w:rsidR="00B445AF" w:rsidRPr="00B1671F" w:rsidRDefault="00B445AF" w:rsidP="00617458">
            <w:pPr>
              <w:rPr>
                <w:rFonts w:ascii="Arial" w:hAnsi="Arial" w:cs="Arial"/>
                <w:b/>
                <w:spacing w:val="-2"/>
                <w:lang w:val="fr-BE"/>
              </w:rPr>
            </w:pPr>
            <w:r w:rsidRPr="00B1671F">
              <w:rPr>
                <w:rFonts w:ascii="Arial" w:hAnsi="Arial" w:cs="Arial"/>
                <w:spacing w:val="-3"/>
              </w:rPr>
              <w:t>Donné à</w:t>
            </w:r>
            <w:r w:rsidR="00617458">
              <w:rPr>
                <w:rFonts w:ascii="Arial" w:hAnsi="Arial" w:cs="Arial"/>
                <w:spacing w:val="-3"/>
              </w:rPr>
              <w:t xml:space="preserve"> Bruxelles</w:t>
            </w:r>
            <w:bookmarkStart w:id="0" w:name="_GoBack"/>
            <w:bookmarkEnd w:id="0"/>
            <w:r w:rsidRPr="00B1671F">
              <w:rPr>
                <w:rFonts w:ascii="Arial" w:hAnsi="Arial" w:cs="Arial"/>
                <w:spacing w:val="-3"/>
              </w:rPr>
              <w:t>, le</w:t>
            </w:r>
            <w:r w:rsidR="00E418F0">
              <w:rPr>
                <w:rFonts w:ascii="Arial" w:hAnsi="Arial" w:cs="Arial"/>
                <w:spacing w:val="-3"/>
              </w:rPr>
              <w:t xml:space="preserve"> 26 </w:t>
            </w:r>
            <w:r w:rsidR="000E2D49">
              <w:rPr>
                <w:rFonts w:ascii="Arial" w:hAnsi="Arial" w:cs="Arial"/>
                <w:spacing w:val="-3"/>
              </w:rPr>
              <w:t>octobre 2019</w:t>
            </w:r>
          </w:p>
        </w:tc>
        <w:tc>
          <w:tcPr>
            <w:tcW w:w="4820" w:type="dxa"/>
            <w:tcBorders>
              <w:top w:val="nil"/>
              <w:left w:val="nil"/>
              <w:bottom w:val="nil"/>
              <w:right w:val="nil"/>
            </w:tcBorders>
          </w:tcPr>
          <w:p w:rsidR="00B445AF" w:rsidRPr="000E2D49" w:rsidRDefault="00B445AF" w:rsidP="00617458">
            <w:pPr>
              <w:rPr>
                <w:rFonts w:ascii="Arial" w:hAnsi="Arial" w:cs="Arial"/>
                <w:b/>
                <w:spacing w:val="-2"/>
                <w:lang w:val="nl-BE"/>
              </w:rPr>
            </w:pPr>
            <w:r w:rsidRPr="000E2D49">
              <w:rPr>
                <w:rFonts w:ascii="Arial" w:hAnsi="Arial" w:cs="Arial"/>
                <w:spacing w:val="-3"/>
                <w:lang w:val="nl-BE"/>
              </w:rPr>
              <w:t xml:space="preserve">Gegeven te </w:t>
            </w:r>
            <w:r w:rsidR="00617458">
              <w:rPr>
                <w:rFonts w:ascii="Arial" w:hAnsi="Arial" w:cs="Arial"/>
                <w:spacing w:val="-3"/>
                <w:lang w:val="nl-BE"/>
              </w:rPr>
              <w:t>Brussel,</w:t>
            </w:r>
            <w:r w:rsidRPr="000E2D49">
              <w:rPr>
                <w:rFonts w:ascii="Arial" w:hAnsi="Arial" w:cs="Arial"/>
                <w:spacing w:val="-3"/>
                <w:lang w:val="nl-BE"/>
              </w:rPr>
              <w:t xml:space="preserve"> op</w:t>
            </w:r>
            <w:r w:rsidR="00E418F0">
              <w:rPr>
                <w:rFonts w:ascii="Arial" w:hAnsi="Arial" w:cs="Arial"/>
                <w:spacing w:val="-3"/>
                <w:lang w:val="nl-BE"/>
              </w:rPr>
              <w:t xml:space="preserve"> 26 </w:t>
            </w:r>
            <w:r w:rsidR="000E2D49" w:rsidRPr="000E2D49">
              <w:rPr>
                <w:rFonts w:ascii="Arial" w:hAnsi="Arial" w:cs="Arial"/>
                <w:spacing w:val="-3"/>
                <w:lang w:val="nl-BE"/>
              </w:rPr>
              <w:t>oktober 2019</w:t>
            </w:r>
          </w:p>
        </w:tc>
      </w:tr>
      <w:tr w:rsidR="00B445AF" w:rsidRPr="00617458" w:rsidTr="00B445AF">
        <w:tc>
          <w:tcPr>
            <w:tcW w:w="4820" w:type="dxa"/>
            <w:tcBorders>
              <w:top w:val="nil"/>
              <w:left w:val="nil"/>
              <w:bottom w:val="nil"/>
              <w:right w:val="nil"/>
            </w:tcBorders>
          </w:tcPr>
          <w:p w:rsidR="00B445AF" w:rsidRPr="00617458"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0E2D49" w:rsidRDefault="00B445AF" w:rsidP="00B445AF">
            <w:pPr>
              <w:rPr>
                <w:rFonts w:ascii="Arial" w:hAnsi="Arial" w:cs="Arial"/>
                <w:b/>
                <w:spacing w:val="-2"/>
                <w:lang w:val="nl-BE"/>
              </w:rPr>
            </w:pP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p w:rsidR="00B445AF" w:rsidRPr="00B1671F" w:rsidRDefault="00B445AF" w:rsidP="00B445AF">
            <w:pPr>
              <w:rPr>
                <w:rFonts w:ascii="Arial" w:hAnsi="Arial" w:cs="Arial"/>
                <w:b/>
                <w:spacing w:val="-2"/>
                <w:lang w:val="nl-NL"/>
              </w:rPr>
            </w:pPr>
          </w:p>
        </w:tc>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nl-NL"/>
              </w:rPr>
            </w:pPr>
          </w:p>
        </w:tc>
      </w:tr>
      <w:tr w:rsidR="00B445AF" w:rsidRPr="00B1671F" w:rsidTr="00B445AF">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fr-BE"/>
              </w:rPr>
            </w:pPr>
            <w:r w:rsidRPr="00B1671F">
              <w:rPr>
                <w:rFonts w:ascii="Arial" w:hAnsi="Arial" w:cs="Arial"/>
                <w:spacing w:val="-3"/>
              </w:rPr>
              <w:t>PAR LE ROI</w:t>
            </w:r>
            <w:r w:rsidRPr="00B1671F">
              <w:rPr>
                <w:rFonts w:ascii="Arial" w:hAnsi="Arial" w:cs="Arial"/>
                <w:spacing w:val="-3"/>
                <w:lang w:val="nl-NL"/>
              </w:rPr>
              <w:t xml:space="preserve"> :</w:t>
            </w:r>
          </w:p>
        </w:tc>
        <w:tc>
          <w:tcPr>
            <w:tcW w:w="4820" w:type="dxa"/>
            <w:tcBorders>
              <w:top w:val="nil"/>
              <w:left w:val="nil"/>
              <w:bottom w:val="nil"/>
              <w:right w:val="nil"/>
            </w:tcBorders>
          </w:tcPr>
          <w:p w:rsidR="00B445AF" w:rsidRPr="00B1671F" w:rsidRDefault="00B445AF" w:rsidP="00B445AF">
            <w:pPr>
              <w:jc w:val="center"/>
              <w:rPr>
                <w:rFonts w:ascii="Arial" w:hAnsi="Arial" w:cs="Arial"/>
                <w:b/>
                <w:spacing w:val="-2"/>
                <w:lang w:val="nl-NL"/>
              </w:rPr>
            </w:pPr>
            <w:r w:rsidRPr="00B1671F">
              <w:rPr>
                <w:rFonts w:ascii="Arial" w:hAnsi="Arial" w:cs="Arial"/>
                <w:spacing w:val="-3"/>
                <w:lang w:val="nl-NL"/>
              </w:rPr>
              <w:t>VAN KONINGSWEGE :</w:t>
            </w:r>
          </w:p>
        </w:tc>
      </w:tr>
      <w:tr w:rsidR="00B445AF" w:rsidRPr="00B1671F" w:rsidTr="00B445AF">
        <w:tc>
          <w:tcPr>
            <w:tcW w:w="4820" w:type="dxa"/>
            <w:tcBorders>
              <w:top w:val="nil"/>
              <w:left w:val="nil"/>
              <w:bottom w:val="nil"/>
              <w:right w:val="nil"/>
            </w:tcBorders>
          </w:tcPr>
          <w:p w:rsidR="00B445AF" w:rsidRPr="00B1671F" w:rsidRDefault="00B445AF" w:rsidP="00B445AF">
            <w:pPr>
              <w:rPr>
                <w:rFonts w:ascii="Arial" w:hAnsi="Arial" w:cs="Arial"/>
                <w:b/>
                <w:spacing w:val="-2"/>
                <w:lang w:val="nl-BE"/>
              </w:rPr>
            </w:pPr>
          </w:p>
        </w:tc>
        <w:tc>
          <w:tcPr>
            <w:tcW w:w="4820" w:type="dxa"/>
            <w:tcBorders>
              <w:top w:val="nil"/>
              <w:left w:val="nil"/>
              <w:bottom w:val="nil"/>
              <w:right w:val="nil"/>
            </w:tcBorders>
          </w:tcPr>
          <w:p w:rsidR="00B445AF" w:rsidRPr="00B1671F" w:rsidRDefault="00B445AF" w:rsidP="00B445AF">
            <w:pPr>
              <w:rPr>
                <w:rFonts w:ascii="Arial" w:hAnsi="Arial" w:cs="Arial"/>
                <w:b/>
                <w:spacing w:val="-2"/>
                <w:lang w:val="nl-NL"/>
              </w:rPr>
            </w:pP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b/>
                <w:spacing w:val="-2"/>
                <w:lang w:val="fr-BE"/>
              </w:rPr>
            </w:pPr>
            <w:r w:rsidRPr="00B1671F">
              <w:rPr>
                <w:rFonts w:ascii="Arial" w:hAnsi="Arial" w:cs="Arial"/>
                <w:spacing w:val="-3"/>
              </w:rPr>
              <w:t>La Ministre des Affaires sociales et de la Santé publique,</w:t>
            </w:r>
            <w:r w:rsidRPr="00B1671F">
              <w:rPr>
                <w:rFonts w:ascii="Arial" w:hAnsi="Arial" w:cs="Arial"/>
              </w:rPr>
              <w:t xml:space="preserve"> </w:t>
            </w: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r w:rsidRPr="00B1671F">
              <w:rPr>
                <w:rFonts w:ascii="Arial" w:hAnsi="Arial" w:cs="Arial"/>
                <w:spacing w:val="-3"/>
                <w:lang w:val="nl-BE"/>
              </w:rPr>
              <w:t>De Minister van Sociale Zaken en Volksgezondheid,</w:t>
            </w: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617458" w:rsidTr="00B445AF">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p w:rsidR="00B445AF" w:rsidRPr="00B1671F" w:rsidRDefault="00B445AF" w:rsidP="00B445AF">
            <w:pPr>
              <w:rPr>
                <w:rFonts w:ascii="Arial" w:hAnsi="Arial" w:cs="Arial"/>
                <w:spacing w:val="-3"/>
                <w:lang w:val="nl-BE"/>
              </w:rPr>
            </w:pPr>
          </w:p>
        </w:tc>
        <w:tc>
          <w:tcPr>
            <w:tcW w:w="4820" w:type="dxa"/>
            <w:tcBorders>
              <w:top w:val="nil"/>
              <w:left w:val="nil"/>
              <w:bottom w:val="nil"/>
              <w:right w:val="nil"/>
            </w:tcBorders>
          </w:tcPr>
          <w:p w:rsidR="00B445AF" w:rsidRPr="00B1671F" w:rsidRDefault="00B445AF" w:rsidP="00B445AF">
            <w:pPr>
              <w:rPr>
                <w:rFonts w:ascii="Arial" w:hAnsi="Arial" w:cs="Arial"/>
                <w:spacing w:val="-3"/>
                <w:lang w:val="nl-BE"/>
              </w:rPr>
            </w:pPr>
          </w:p>
        </w:tc>
      </w:tr>
      <w:tr w:rsidR="00B445AF" w:rsidRPr="00AB1F3E" w:rsidTr="00506661">
        <w:tc>
          <w:tcPr>
            <w:tcW w:w="9640" w:type="dxa"/>
            <w:gridSpan w:val="2"/>
            <w:tcBorders>
              <w:top w:val="nil"/>
              <w:left w:val="nil"/>
              <w:bottom w:val="nil"/>
              <w:right w:val="nil"/>
            </w:tcBorders>
          </w:tcPr>
          <w:p w:rsidR="00B445AF" w:rsidRPr="00AB1F3E" w:rsidRDefault="00B445AF" w:rsidP="00B445AF">
            <w:pPr>
              <w:jc w:val="center"/>
              <w:rPr>
                <w:rFonts w:ascii="Arial" w:hAnsi="Arial" w:cs="Arial"/>
                <w:spacing w:val="-3"/>
                <w:lang w:val="fr-BE"/>
              </w:rPr>
            </w:pPr>
            <w:r w:rsidRPr="00B1671F">
              <w:rPr>
                <w:rFonts w:ascii="Arial" w:hAnsi="Arial" w:cs="Arial"/>
                <w:spacing w:val="-3"/>
                <w:lang w:val="fr-BE"/>
              </w:rPr>
              <w:t>M. DE BLOCK</w:t>
            </w:r>
          </w:p>
        </w:tc>
      </w:tr>
    </w:tbl>
    <w:p w:rsidR="00AB1F3E" w:rsidRPr="00AB1F3E" w:rsidRDefault="00AB1F3E" w:rsidP="00AB1F3E">
      <w:pPr>
        <w:spacing w:line="276" w:lineRule="auto"/>
        <w:rPr>
          <w:rFonts w:ascii="Arial" w:hAnsi="Arial" w:cs="Arial"/>
        </w:rPr>
      </w:pPr>
    </w:p>
    <w:p w:rsidR="00FF3D61" w:rsidRPr="00AB1F3E" w:rsidRDefault="00FF3D61" w:rsidP="005E0731">
      <w:pPr>
        <w:spacing w:line="276" w:lineRule="auto"/>
        <w:jc w:val="right"/>
        <w:rPr>
          <w:lang w:val="nl-BE"/>
        </w:rPr>
      </w:pPr>
    </w:p>
    <w:sectPr w:rsidR="00FF3D61" w:rsidRPr="00AB1F3E" w:rsidSect="00AB1F3E">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3E" w:rsidRDefault="00AB1F3E">
      <w:r>
        <w:separator/>
      </w:r>
    </w:p>
  </w:endnote>
  <w:endnote w:type="continuationSeparator" w:id="0">
    <w:p w:rsidR="00AB1F3E" w:rsidRDefault="00AB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Bold">
    <w:altName w:val="Palatino Linotype"/>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3E" w:rsidRDefault="00AB1F3E">
      <w:r>
        <w:separator/>
      </w:r>
    </w:p>
  </w:footnote>
  <w:footnote w:type="continuationSeparator" w:id="0">
    <w:p w:rsidR="00AB1F3E" w:rsidRDefault="00AB1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A6E91"/>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302E17CA"/>
    <w:multiLevelType w:val="hybridMultilevel"/>
    <w:tmpl w:val="A454D8C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2D25BD8"/>
    <w:multiLevelType w:val="hybridMultilevel"/>
    <w:tmpl w:val="228478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5016B99"/>
    <w:multiLevelType w:val="hybridMultilevel"/>
    <w:tmpl w:val="2896556A"/>
    <w:lvl w:ilvl="0" w:tplc="EDD2559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6E9"/>
    <w:rsid w:val="000005F0"/>
    <w:rsid w:val="00002934"/>
    <w:rsid w:val="00004C5D"/>
    <w:rsid w:val="00005822"/>
    <w:rsid w:val="00010B7F"/>
    <w:rsid w:val="000145BA"/>
    <w:rsid w:val="00015526"/>
    <w:rsid w:val="000210BF"/>
    <w:rsid w:val="00024B16"/>
    <w:rsid w:val="000321D7"/>
    <w:rsid w:val="00032317"/>
    <w:rsid w:val="00040C87"/>
    <w:rsid w:val="00042BB7"/>
    <w:rsid w:val="000508ED"/>
    <w:rsid w:val="00053D86"/>
    <w:rsid w:val="00062057"/>
    <w:rsid w:val="000663FA"/>
    <w:rsid w:val="000669CC"/>
    <w:rsid w:val="00074A6B"/>
    <w:rsid w:val="00074B8A"/>
    <w:rsid w:val="00081F87"/>
    <w:rsid w:val="0008282D"/>
    <w:rsid w:val="00082856"/>
    <w:rsid w:val="00082B1E"/>
    <w:rsid w:val="00083992"/>
    <w:rsid w:val="00090ED6"/>
    <w:rsid w:val="00094DF1"/>
    <w:rsid w:val="000A2AEA"/>
    <w:rsid w:val="000A5661"/>
    <w:rsid w:val="000A7FAF"/>
    <w:rsid w:val="000B05A9"/>
    <w:rsid w:val="000B79FA"/>
    <w:rsid w:val="000C5189"/>
    <w:rsid w:val="000C51CB"/>
    <w:rsid w:val="000D2F1D"/>
    <w:rsid w:val="000D2FAE"/>
    <w:rsid w:val="000D3B7D"/>
    <w:rsid w:val="000D59D9"/>
    <w:rsid w:val="000D5B65"/>
    <w:rsid w:val="000E2D49"/>
    <w:rsid w:val="000E45B9"/>
    <w:rsid w:val="000E51E1"/>
    <w:rsid w:val="000E7377"/>
    <w:rsid w:val="000F4043"/>
    <w:rsid w:val="000F6C11"/>
    <w:rsid w:val="000F7E9D"/>
    <w:rsid w:val="00100A2F"/>
    <w:rsid w:val="00102BB2"/>
    <w:rsid w:val="00106D15"/>
    <w:rsid w:val="001113B4"/>
    <w:rsid w:val="001143DE"/>
    <w:rsid w:val="00114F6F"/>
    <w:rsid w:val="00117510"/>
    <w:rsid w:val="0012052D"/>
    <w:rsid w:val="00133BC2"/>
    <w:rsid w:val="00135675"/>
    <w:rsid w:val="00137A2D"/>
    <w:rsid w:val="00137A3E"/>
    <w:rsid w:val="00141A15"/>
    <w:rsid w:val="00142B3C"/>
    <w:rsid w:val="00143428"/>
    <w:rsid w:val="00144415"/>
    <w:rsid w:val="0014464C"/>
    <w:rsid w:val="00145EF9"/>
    <w:rsid w:val="00147451"/>
    <w:rsid w:val="00151F45"/>
    <w:rsid w:val="001561EA"/>
    <w:rsid w:val="001638FF"/>
    <w:rsid w:val="001708E4"/>
    <w:rsid w:val="00171E3C"/>
    <w:rsid w:val="00172822"/>
    <w:rsid w:val="00184994"/>
    <w:rsid w:val="00186E77"/>
    <w:rsid w:val="00191D6F"/>
    <w:rsid w:val="0019212C"/>
    <w:rsid w:val="00195D86"/>
    <w:rsid w:val="00195FDF"/>
    <w:rsid w:val="001A502D"/>
    <w:rsid w:val="001A6D7E"/>
    <w:rsid w:val="001A7C32"/>
    <w:rsid w:val="001B3202"/>
    <w:rsid w:val="001C64BD"/>
    <w:rsid w:val="001C6A80"/>
    <w:rsid w:val="001D08E9"/>
    <w:rsid w:val="001D3D40"/>
    <w:rsid w:val="001D4389"/>
    <w:rsid w:val="001D65AF"/>
    <w:rsid w:val="001E3515"/>
    <w:rsid w:val="001E49A2"/>
    <w:rsid w:val="001E6935"/>
    <w:rsid w:val="001E6DB0"/>
    <w:rsid w:val="001F05A0"/>
    <w:rsid w:val="001F2DE1"/>
    <w:rsid w:val="001F44D4"/>
    <w:rsid w:val="001F6AD1"/>
    <w:rsid w:val="001F7234"/>
    <w:rsid w:val="001F7A1C"/>
    <w:rsid w:val="0020081A"/>
    <w:rsid w:val="002021D5"/>
    <w:rsid w:val="0021056C"/>
    <w:rsid w:val="002107CB"/>
    <w:rsid w:val="002145AA"/>
    <w:rsid w:val="00216A71"/>
    <w:rsid w:val="00216AE9"/>
    <w:rsid w:val="00221F1A"/>
    <w:rsid w:val="00225FA8"/>
    <w:rsid w:val="00225FAB"/>
    <w:rsid w:val="00227F20"/>
    <w:rsid w:val="00231AC7"/>
    <w:rsid w:val="00234356"/>
    <w:rsid w:val="00237977"/>
    <w:rsid w:val="00241CE6"/>
    <w:rsid w:val="00246EB0"/>
    <w:rsid w:val="00252F1C"/>
    <w:rsid w:val="00253219"/>
    <w:rsid w:val="00256E9D"/>
    <w:rsid w:val="002765BC"/>
    <w:rsid w:val="00277BEE"/>
    <w:rsid w:val="002815D0"/>
    <w:rsid w:val="0029024F"/>
    <w:rsid w:val="00296DC9"/>
    <w:rsid w:val="00296FDE"/>
    <w:rsid w:val="002A26CF"/>
    <w:rsid w:val="002A6732"/>
    <w:rsid w:val="002B317A"/>
    <w:rsid w:val="002B4090"/>
    <w:rsid w:val="002B5A05"/>
    <w:rsid w:val="002C42AE"/>
    <w:rsid w:val="002C5613"/>
    <w:rsid w:val="002D0FE7"/>
    <w:rsid w:val="002D7BD8"/>
    <w:rsid w:val="002E2697"/>
    <w:rsid w:val="002E3FCD"/>
    <w:rsid w:val="002E61B3"/>
    <w:rsid w:val="002F2B79"/>
    <w:rsid w:val="002F35DC"/>
    <w:rsid w:val="002F3B1D"/>
    <w:rsid w:val="003011C6"/>
    <w:rsid w:val="003012AB"/>
    <w:rsid w:val="003037A1"/>
    <w:rsid w:val="00310D5F"/>
    <w:rsid w:val="003167A3"/>
    <w:rsid w:val="00335E51"/>
    <w:rsid w:val="003401B6"/>
    <w:rsid w:val="0034060C"/>
    <w:rsid w:val="00340972"/>
    <w:rsid w:val="00343F6A"/>
    <w:rsid w:val="0036282C"/>
    <w:rsid w:val="00363C43"/>
    <w:rsid w:val="00365DD6"/>
    <w:rsid w:val="003671BC"/>
    <w:rsid w:val="003722D3"/>
    <w:rsid w:val="003737F7"/>
    <w:rsid w:val="00383697"/>
    <w:rsid w:val="00386254"/>
    <w:rsid w:val="00386AAD"/>
    <w:rsid w:val="003A1937"/>
    <w:rsid w:val="003A39D9"/>
    <w:rsid w:val="003A4CE2"/>
    <w:rsid w:val="003A5288"/>
    <w:rsid w:val="003B1268"/>
    <w:rsid w:val="003B26A1"/>
    <w:rsid w:val="003B3FCD"/>
    <w:rsid w:val="003B7D68"/>
    <w:rsid w:val="003C136E"/>
    <w:rsid w:val="003C1C45"/>
    <w:rsid w:val="003C41D4"/>
    <w:rsid w:val="003C7094"/>
    <w:rsid w:val="003D0DA3"/>
    <w:rsid w:val="003D4245"/>
    <w:rsid w:val="003D6551"/>
    <w:rsid w:val="003E2237"/>
    <w:rsid w:val="003E4E15"/>
    <w:rsid w:val="003E63CD"/>
    <w:rsid w:val="003F114D"/>
    <w:rsid w:val="003F13DA"/>
    <w:rsid w:val="003F239F"/>
    <w:rsid w:val="003F4739"/>
    <w:rsid w:val="003F7130"/>
    <w:rsid w:val="00402869"/>
    <w:rsid w:val="00404F81"/>
    <w:rsid w:val="00414684"/>
    <w:rsid w:val="00420C4A"/>
    <w:rsid w:val="00424A65"/>
    <w:rsid w:val="004264F1"/>
    <w:rsid w:val="0043311C"/>
    <w:rsid w:val="00436808"/>
    <w:rsid w:val="00440D1A"/>
    <w:rsid w:val="00444EF6"/>
    <w:rsid w:val="00447A0B"/>
    <w:rsid w:val="004629FD"/>
    <w:rsid w:val="004650F5"/>
    <w:rsid w:val="0046569E"/>
    <w:rsid w:val="00473469"/>
    <w:rsid w:val="00480853"/>
    <w:rsid w:val="00487166"/>
    <w:rsid w:val="0049798B"/>
    <w:rsid w:val="004A2946"/>
    <w:rsid w:val="004A2D70"/>
    <w:rsid w:val="004A59F8"/>
    <w:rsid w:val="004A7BCD"/>
    <w:rsid w:val="004B37F5"/>
    <w:rsid w:val="004B45C6"/>
    <w:rsid w:val="004C44B2"/>
    <w:rsid w:val="004C5815"/>
    <w:rsid w:val="004D37E9"/>
    <w:rsid w:val="004E1531"/>
    <w:rsid w:val="004E2F16"/>
    <w:rsid w:val="004E3BCD"/>
    <w:rsid w:val="004E54D5"/>
    <w:rsid w:val="004F024D"/>
    <w:rsid w:val="004F1B2A"/>
    <w:rsid w:val="004F330A"/>
    <w:rsid w:val="004F3953"/>
    <w:rsid w:val="004F3BE4"/>
    <w:rsid w:val="004F4967"/>
    <w:rsid w:val="004F79E3"/>
    <w:rsid w:val="00500113"/>
    <w:rsid w:val="005002C9"/>
    <w:rsid w:val="005111A3"/>
    <w:rsid w:val="00517C55"/>
    <w:rsid w:val="00522F92"/>
    <w:rsid w:val="00525249"/>
    <w:rsid w:val="005360BB"/>
    <w:rsid w:val="005363CC"/>
    <w:rsid w:val="00541FB6"/>
    <w:rsid w:val="005551A0"/>
    <w:rsid w:val="005603B5"/>
    <w:rsid w:val="00562074"/>
    <w:rsid w:val="00570120"/>
    <w:rsid w:val="00571FCE"/>
    <w:rsid w:val="00575D03"/>
    <w:rsid w:val="00583554"/>
    <w:rsid w:val="005931F1"/>
    <w:rsid w:val="00597B9B"/>
    <w:rsid w:val="005A0EE7"/>
    <w:rsid w:val="005A1036"/>
    <w:rsid w:val="005A2945"/>
    <w:rsid w:val="005A4858"/>
    <w:rsid w:val="005A5123"/>
    <w:rsid w:val="005A5A8B"/>
    <w:rsid w:val="005A68F0"/>
    <w:rsid w:val="005B1F17"/>
    <w:rsid w:val="005B74A7"/>
    <w:rsid w:val="005C0C63"/>
    <w:rsid w:val="005C32C3"/>
    <w:rsid w:val="005C3820"/>
    <w:rsid w:val="005C4AF5"/>
    <w:rsid w:val="005C5644"/>
    <w:rsid w:val="005D2B91"/>
    <w:rsid w:val="005D5409"/>
    <w:rsid w:val="005D77C7"/>
    <w:rsid w:val="005D7C02"/>
    <w:rsid w:val="005E0731"/>
    <w:rsid w:val="005E129D"/>
    <w:rsid w:val="005E4B14"/>
    <w:rsid w:val="005E6CF6"/>
    <w:rsid w:val="005F3C84"/>
    <w:rsid w:val="005F485E"/>
    <w:rsid w:val="005F4C82"/>
    <w:rsid w:val="005F6B2E"/>
    <w:rsid w:val="00601F33"/>
    <w:rsid w:val="00606D4E"/>
    <w:rsid w:val="006070B8"/>
    <w:rsid w:val="00613C35"/>
    <w:rsid w:val="00617047"/>
    <w:rsid w:val="00617458"/>
    <w:rsid w:val="00617840"/>
    <w:rsid w:val="00617DCB"/>
    <w:rsid w:val="00620CED"/>
    <w:rsid w:val="0062144A"/>
    <w:rsid w:val="00623C78"/>
    <w:rsid w:val="00624E3C"/>
    <w:rsid w:val="006324D4"/>
    <w:rsid w:val="00635557"/>
    <w:rsid w:val="00641AE5"/>
    <w:rsid w:val="00643B62"/>
    <w:rsid w:val="00643FE5"/>
    <w:rsid w:val="00644E67"/>
    <w:rsid w:val="00647561"/>
    <w:rsid w:val="006525EB"/>
    <w:rsid w:val="00653D94"/>
    <w:rsid w:val="00663F67"/>
    <w:rsid w:val="006673DA"/>
    <w:rsid w:val="00672FAD"/>
    <w:rsid w:val="0068575B"/>
    <w:rsid w:val="00687D1A"/>
    <w:rsid w:val="0069379F"/>
    <w:rsid w:val="00693876"/>
    <w:rsid w:val="006A40E8"/>
    <w:rsid w:val="006B0E1C"/>
    <w:rsid w:val="006B1A1D"/>
    <w:rsid w:val="006C1884"/>
    <w:rsid w:val="006D33BE"/>
    <w:rsid w:val="006D33E1"/>
    <w:rsid w:val="006D5CE1"/>
    <w:rsid w:val="006E1426"/>
    <w:rsid w:val="006E2460"/>
    <w:rsid w:val="006E288A"/>
    <w:rsid w:val="006E7073"/>
    <w:rsid w:val="006F0785"/>
    <w:rsid w:val="006F144B"/>
    <w:rsid w:val="006F4BC0"/>
    <w:rsid w:val="00702790"/>
    <w:rsid w:val="0070504F"/>
    <w:rsid w:val="00711773"/>
    <w:rsid w:val="00711977"/>
    <w:rsid w:val="00715E19"/>
    <w:rsid w:val="007222F0"/>
    <w:rsid w:val="00725962"/>
    <w:rsid w:val="00726CE8"/>
    <w:rsid w:val="00727529"/>
    <w:rsid w:val="00731070"/>
    <w:rsid w:val="007311DF"/>
    <w:rsid w:val="00734A2D"/>
    <w:rsid w:val="007412D5"/>
    <w:rsid w:val="007428A2"/>
    <w:rsid w:val="00743F7B"/>
    <w:rsid w:val="007477EB"/>
    <w:rsid w:val="00750D45"/>
    <w:rsid w:val="007517A5"/>
    <w:rsid w:val="00752E3C"/>
    <w:rsid w:val="007547B1"/>
    <w:rsid w:val="00761AA2"/>
    <w:rsid w:val="00764474"/>
    <w:rsid w:val="007669B0"/>
    <w:rsid w:val="00772DFE"/>
    <w:rsid w:val="00772F5D"/>
    <w:rsid w:val="00773A35"/>
    <w:rsid w:val="007822BC"/>
    <w:rsid w:val="0078282F"/>
    <w:rsid w:val="00784F55"/>
    <w:rsid w:val="007925C4"/>
    <w:rsid w:val="007A0F53"/>
    <w:rsid w:val="007A137C"/>
    <w:rsid w:val="007A2260"/>
    <w:rsid w:val="007A46A0"/>
    <w:rsid w:val="007A7E48"/>
    <w:rsid w:val="007B7084"/>
    <w:rsid w:val="007C1152"/>
    <w:rsid w:val="007C54AC"/>
    <w:rsid w:val="007C64AE"/>
    <w:rsid w:val="007C6D11"/>
    <w:rsid w:val="007D27A3"/>
    <w:rsid w:val="007D27E1"/>
    <w:rsid w:val="007F1D01"/>
    <w:rsid w:val="008044A5"/>
    <w:rsid w:val="008066E9"/>
    <w:rsid w:val="00814FC6"/>
    <w:rsid w:val="00816180"/>
    <w:rsid w:val="00817625"/>
    <w:rsid w:val="00827365"/>
    <w:rsid w:val="0083029F"/>
    <w:rsid w:val="00835841"/>
    <w:rsid w:val="0084043C"/>
    <w:rsid w:val="008431F4"/>
    <w:rsid w:val="00843536"/>
    <w:rsid w:val="008442AA"/>
    <w:rsid w:val="00844710"/>
    <w:rsid w:val="00844FF1"/>
    <w:rsid w:val="00847791"/>
    <w:rsid w:val="00856577"/>
    <w:rsid w:val="00861FCD"/>
    <w:rsid w:val="00862F44"/>
    <w:rsid w:val="008671B9"/>
    <w:rsid w:val="00871418"/>
    <w:rsid w:val="0087262F"/>
    <w:rsid w:val="00873C9A"/>
    <w:rsid w:val="008805EA"/>
    <w:rsid w:val="008920CE"/>
    <w:rsid w:val="008A31CD"/>
    <w:rsid w:val="008A4673"/>
    <w:rsid w:val="008B114B"/>
    <w:rsid w:val="008B2467"/>
    <w:rsid w:val="008B4B17"/>
    <w:rsid w:val="008B5169"/>
    <w:rsid w:val="008B64B8"/>
    <w:rsid w:val="008B6E4F"/>
    <w:rsid w:val="008C00AB"/>
    <w:rsid w:val="008D42B5"/>
    <w:rsid w:val="008D46CF"/>
    <w:rsid w:val="008E6925"/>
    <w:rsid w:val="008F14AA"/>
    <w:rsid w:val="00906928"/>
    <w:rsid w:val="00910131"/>
    <w:rsid w:val="009121E3"/>
    <w:rsid w:val="00913332"/>
    <w:rsid w:val="0091458D"/>
    <w:rsid w:val="0092437D"/>
    <w:rsid w:val="00926C74"/>
    <w:rsid w:val="009321C6"/>
    <w:rsid w:val="009343DC"/>
    <w:rsid w:val="009443AB"/>
    <w:rsid w:val="00945083"/>
    <w:rsid w:val="0095511E"/>
    <w:rsid w:val="00961DF4"/>
    <w:rsid w:val="009641A1"/>
    <w:rsid w:val="009700CA"/>
    <w:rsid w:val="00976CFE"/>
    <w:rsid w:val="00984280"/>
    <w:rsid w:val="00986874"/>
    <w:rsid w:val="00987F88"/>
    <w:rsid w:val="00991452"/>
    <w:rsid w:val="0099226D"/>
    <w:rsid w:val="00992A3E"/>
    <w:rsid w:val="009939FA"/>
    <w:rsid w:val="0099495A"/>
    <w:rsid w:val="009B2250"/>
    <w:rsid w:val="009B33AC"/>
    <w:rsid w:val="009B5146"/>
    <w:rsid w:val="009C15E6"/>
    <w:rsid w:val="009C1934"/>
    <w:rsid w:val="009D3B7E"/>
    <w:rsid w:val="009D5E50"/>
    <w:rsid w:val="009E0015"/>
    <w:rsid w:val="009F4A86"/>
    <w:rsid w:val="009F5346"/>
    <w:rsid w:val="00A00170"/>
    <w:rsid w:val="00A00E62"/>
    <w:rsid w:val="00A01165"/>
    <w:rsid w:val="00A01DFA"/>
    <w:rsid w:val="00A06F04"/>
    <w:rsid w:val="00A116E7"/>
    <w:rsid w:val="00A2310C"/>
    <w:rsid w:val="00A24BC4"/>
    <w:rsid w:val="00A2511A"/>
    <w:rsid w:val="00A255DA"/>
    <w:rsid w:val="00A307B9"/>
    <w:rsid w:val="00A318F6"/>
    <w:rsid w:val="00A32057"/>
    <w:rsid w:val="00A32C37"/>
    <w:rsid w:val="00A35594"/>
    <w:rsid w:val="00A35B21"/>
    <w:rsid w:val="00A45C81"/>
    <w:rsid w:val="00A53877"/>
    <w:rsid w:val="00A618D9"/>
    <w:rsid w:val="00A62347"/>
    <w:rsid w:val="00A62C43"/>
    <w:rsid w:val="00A667C8"/>
    <w:rsid w:val="00A70557"/>
    <w:rsid w:val="00A70603"/>
    <w:rsid w:val="00A74D21"/>
    <w:rsid w:val="00A8121D"/>
    <w:rsid w:val="00A81E97"/>
    <w:rsid w:val="00A82E06"/>
    <w:rsid w:val="00A918BB"/>
    <w:rsid w:val="00A925D9"/>
    <w:rsid w:val="00A92840"/>
    <w:rsid w:val="00A94347"/>
    <w:rsid w:val="00A956D4"/>
    <w:rsid w:val="00A9675F"/>
    <w:rsid w:val="00A97DF7"/>
    <w:rsid w:val="00AA22DE"/>
    <w:rsid w:val="00AA2856"/>
    <w:rsid w:val="00AA3109"/>
    <w:rsid w:val="00AA5D02"/>
    <w:rsid w:val="00AB1F3E"/>
    <w:rsid w:val="00AC0676"/>
    <w:rsid w:val="00AD243C"/>
    <w:rsid w:val="00AD4641"/>
    <w:rsid w:val="00AD569F"/>
    <w:rsid w:val="00AE173A"/>
    <w:rsid w:val="00AE4C9E"/>
    <w:rsid w:val="00AF1163"/>
    <w:rsid w:val="00AF2EF9"/>
    <w:rsid w:val="00AF550A"/>
    <w:rsid w:val="00AF5EA6"/>
    <w:rsid w:val="00AF670A"/>
    <w:rsid w:val="00B115A2"/>
    <w:rsid w:val="00B13178"/>
    <w:rsid w:val="00B1466A"/>
    <w:rsid w:val="00B16229"/>
    <w:rsid w:val="00B1671F"/>
    <w:rsid w:val="00B1688B"/>
    <w:rsid w:val="00B16A16"/>
    <w:rsid w:val="00B21885"/>
    <w:rsid w:val="00B22A5B"/>
    <w:rsid w:val="00B309A1"/>
    <w:rsid w:val="00B33AB4"/>
    <w:rsid w:val="00B40396"/>
    <w:rsid w:val="00B4338C"/>
    <w:rsid w:val="00B445AF"/>
    <w:rsid w:val="00B478F3"/>
    <w:rsid w:val="00B505AC"/>
    <w:rsid w:val="00B528F9"/>
    <w:rsid w:val="00B5495F"/>
    <w:rsid w:val="00B66C3E"/>
    <w:rsid w:val="00B66E11"/>
    <w:rsid w:val="00B757C5"/>
    <w:rsid w:val="00B959E9"/>
    <w:rsid w:val="00BA1EEF"/>
    <w:rsid w:val="00BA577C"/>
    <w:rsid w:val="00BA62BA"/>
    <w:rsid w:val="00BB0F3F"/>
    <w:rsid w:val="00BC2C86"/>
    <w:rsid w:val="00BD5D9E"/>
    <w:rsid w:val="00BE3E9F"/>
    <w:rsid w:val="00BE7A35"/>
    <w:rsid w:val="00BF2E85"/>
    <w:rsid w:val="00C01DD7"/>
    <w:rsid w:val="00C02EAF"/>
    <w:rsid w:val="00C05D6A"/>
    <w:rsid w:val="00C06DF3"/>
    <w:rsid w:val="00C101A8"/>
    <w:rsid w:val="00C1286F"/>
    <w:rsid w:val="00C13D5E"/>
    <w:rsid w:val="00C14447"/>
    <w:rsid w:val="00C221C3"/>
    <w:rsid w:val="00C32D78"/>
    <w:rsid w:val="00C3617E"/>
    <w:rsid w:val="00C47F20"/>
    <w:rsid w:val="00C52974"/>
    <w:rsid w:val="00C625EC"/>
    <w:rsid w:val="00C6351B"/>
    <w:rsid w:val="00C66E03"/>
    <w:rsid w:val="00C67682"/>
    <w:rsid w:val="00C67E25"/>
    <w:rsid w:val="00C7258A"/>
    <w:rsid w:val="00C7358B"/>
    <w:rsid w:val="00C827CB"/>
    <w:rsid w:val="00C87138"/>
    <w:rsid w:val="00C9309B"/>
    <w:rsid w:val="00CA2AE9"/>
    <w:rsid w:val="00CA3780"/>
    <w:rsid w:val="00CB35B3"/>
    <w:rsid w:val="00CB4097"/>
    <w:rsid w:val="00CB502F"/>
    <w:rsid w:val="00CB73C9"/>
    <w:rsid w:val="00CC2FB1"/>
    <w:rsid w:val="00CC4079"/>
    <w:rsid w:val="00CC7A52"/>
    <w:rsid w:val="00CF1328"/>
    <w:rsid w:val="00CF4D0B"/>
    <w:rsid w:val="00CF4EBE"/>
    <w:rsid w:val="00CF73A9"/>
    <w:rsid w:val="00D03B15"/>
    <w:rsid w:val="00D10957"/>
    <w:rsid w:val="00D124F2"/>
    <w:rsid w:val="00D13A5D"/>
    <w:rsid w:val="00D144F1"/>
    <w:rsid w:val="00D1551D"/>
    <w:rsid w:val="00D169FE"/>
    <w:rsid w:val="00D17F5B"/>
    <w:rsid w:val="00D220C4"/>
    <w:rsid w:val="00D2300D"/>
    <w:rsid w:val="00D26CD8"/>
    <w:rsid w:val="00D34994"/>
    <w:rsid w:val="00D3629D"/>
    <w:rsid w:val="00D36A40"/>
    <w:rsid w:val="00D4607D"/>
    <w:rsid w:val="00D471DC"/>
    <w:rsid w:val="00D47D4A"/>
    <w:rsid w:val="00D513F5"/>
    <w:rsid w:val="00D51CA7"/>
    <w:rsid w:val="00D5274E"/>
    <w:rsid w:val="00D6765E"/>
    <w:rsid w:val="00D75D41"/>
    <w:rsid w:val="00D8018E"/>
    <w:rsid w:val="00D82531"/>
    <w:rsid w:val="00D82DC1"/>
    <w:rsid w:val="00D87603"/>
    <w:rsid w:val="00D949B2"/>
    <w:rsid w:val="00D9738F"/>
    <w:rsid w:val="00DB10E3"/>
    <w:rsid w:val="00DB4036"/>
    <w:rsid w:val="00DB7E06"/>
    <w:rsid w:val="00DC5EC1"/>
    <w:rsid w:val="00DC7892"/>
    <w:rsid w:val="00DE01A6"/>
    <w:rsid w:val="00DE0468"/>
    <w:rsid w:val="00DE1C45"/>
    <w:rsid w:val="00DE2593"/>
    <w:rsid w:val="00DE5765"/>
    <w:rsid w:val="00DE69F0"/>
    <w:rsid w:val="00DF58FB"/>
    <w:rsid w:val="00E01187"/>
    <w:rsid w:val="00E012C9"/>
    <w:rsid w:val="00E0589E"/>
    <w:rsid w:val="00E1635E"/>
    <w:rsid w:val="00E1640D"/>
    <w:rsid w:val="00E21085"/>
    <w:rsid w:val="00E22D16"/>
    <w:rsid w:val="00E2732B"/>
    <w:rsid w:val="00E31445"/>
    <w:rsid w:val="00E418F0"/>
    <w:rsid w:val="00E41B1A"/>
    <w:rsid w:val="00E4471C"/>
    <w:rsid w:val="00E44C55"/>
    <w:rsid w:val="00E518A3"/>
    <w:rsid w:val="00E559B9"/>
    <w:rsid w:val="00E611A8"/>
    <w:rsid w:val="00E64A22"/>
    <w:rsid w:val="00E73381"/>
    <w:rsid w:val="00E74878"/>
    <w:rsid w:val="00E9063B"/>
    <w:rsid w:val="00E91BDC"/>
    <w:rsid w:val="00E9356A"/>
    <w:rsid w:val="00E9797D"/>
    <w:rsid w:val="00EA28C6"/>
    <w:rsid w:val="00EA4674"/>
    <w:rsid w:val="00EB026D"/>
    <w:rsid w:val="00EB1027"/>
    <w:rsid w:val="00EB1A9C"/>
    <w:rsid w:val="00EB3435"/>
    <w:rsid w:val="00EB51AA"/>
    <w:rsid w:val="00EB54B6"/>
    <w:rsid w:val="00EC4608"/>
    <w:rsid w:val="00EC63CD"/>
    <w:rsid w:val="00ED70E0"/>
    <w:rsid w:val="00EE24C7"/>
    <w:rsid w:val="00EE4022"/>
    <w:rsid w:val="00EE70D5"/>
    <w:rsid w:val="00EF676A"/>
    <w:rsid w:val="00F03A7F"/>
    <w:rsid w:val="00F0576F"/>
    <w:rsid w:val="00F1195C"/>
    <w:rsid w:val="00F22AF2"/>
    <w:rsid w:val="00F24DE7"/>
    <w:rsid w:val="00F26082"/>
    <w:rsid w:val="00F27321"/>
    <w:rsid w:val="00F37D7F"/>
    <w:rsid w:val="00F515C4"/>
    <w:rsid w:val="00F6111F"/>
    <w:rsid w:val="00F62492"/>
    <w:rsid w:val="00F64197"/>
    <w:rsid w:val="00F755D6"/>
    <w:rsid w:val="00F812E3"/>
    <w:rsid w:val="00F81AD8"/>
    <w:rsid w:val="00F82702"/>
    <w:rsid w:val="00F834B2"/>
    <w:rsid w:val="00F85BD1"/>
    <w:rsid w:val="00F900F3"/>
    <w:rsid w:val="00F90653"/>
    <w:rsid w:val="00F91C33"/>
    <w:rsid w:val="00FA25A1"/>
    <w:rsid w:val="00FB4822"/>
    <w:rsid w:val="00FB72C6"/>
    <w:rsid w:val="00FC2FF2"/>
    <w:rsid w:val="00FC7A87"/>
    <w:rsid w:val="00FD29DA"/>
    <w:rsid w:val="00FD379A"/>
    <w:rsid w:val="00FD39E6"/>
    <w:rsid w:val="00FD5C57"/>
    <w:rsid w:val="00FD6A1D"/>
    <w:rsid w:val="00FE1C8F"/>
    <w:rsid w:val="00FE2564"/>
    <w:rsid w:val="00FE2953"/>
    <w:rsid w:val="00FF1897"/>
    <w:rsid w:val="00FF3D61"/>
    <w:rsid w:val="00FF3F52"/>
    <w:rsid w:val="00FF6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5C768"/>
  <w15:docId w15:val="{CCB0D0CA-E77B-4B92-AB49-C197AF64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81"/>
    <w:rPr>
      <w:lang w:val="fr-FR"/>
    </w:rPr>
  </w:style>
  <w:style w:type="paragraph" w:styleId="Heading1">
    <w:name w:val="heading 1"/>
    <w:basedOn w:val="Normal"/>
    <w:next w:val="Normal"/>
    <w:link w:val="Heading1Char"/>
    <w:qFormat/>
    <w:rsid w:val="00404F81"/>
    <w:pPr>
      <w:widowControl w:val="0"/>
      <w:tabs>
        <w:tab w:val="left" w:pos="-720"/>
      </w:tabs>
      <w:suppressAutoHyphens/>
      <w:outlineLvl w:val="0"/>
    </w:pPr>
    <w:rPr>
      <w:rFonts w:ascii="Arial" w:hAnsi="Arial"/>
      <w:b/>
      <w:snapToGrid w:val="0"/>
      <w:u w:val="single"/>
    </w:rPr>
  </w:style>
  <w:style w:type="paragraph" w:styleId="Heading2">
    <w:name w:val="heading 2"/>
    <w:basedOn w:val="Normal"/>
    <w:next w:val="Normal"/>
    <w:link w:val="Heading2Char"/>
    <w:qFormat/>
    <w:rsid w:val="00404F81"/>
    <w:pPr>
      <w:keepNext/>
      <w:widowControl w:val="0"/>
      <w:suppressAutoHyphens/>
      <w:outlineLvl w:val="1"/>
    </w:pPr>
    <w:rPr>
      <w:rFonts w:ascii="Courier New" w:hAnsi="Courier New"/>
      <w:b/>
      <w:snapToGrid w:val="0"/>
      <w:lang w:val="nl-NL"/>
    </w:rPr>
  </w:style>
  <w:style w:type="paragraph" w:styleId="Heading3">
    <w:name w:val="heading 3"/>
    <w:basedOn w:val="Normal"/>
    <w:next w:val="Normal"/>
    <w:link w:val="Heading3Char"/>
    <w:qFormat/>
    <w:rsid w:val="00404F81"/>
    <w:pPr>
      <w:keepNext/>
      <w:outlineLvl w:val="2"/>
    </w:pPr>
    <w:rPr>
      <w:rFonts w:ascii="Courier New" w:hAnsi="Courier New"/>
      <w:b/>
      <w:sz w:val="24"/>
      <w:u w:val="single"/>
      <w:lang w:val="nl-BE"/>
    </w:rPr>
  </w:style>
  <w:style w:type="paragraph" w:styleId="Heading4">
    <w:name w:val="heading 4"/>
    <w:basedOn w:val="Normal"/>
    <w:next w:val="Normal"/>
    <w:link w:val="Heading4Char"/>
    <w:qFormat/>
    <w:rsid w:val="00404F81"/>
    <w:pPr>
      <w:keepNext/>
      <w:outlineLvl w:val="3"/>
    </w:pPr>
    <w:rPr>
      <w:rFonts w:ascii="Courier New" w:hAnsi="Courier New"/>
      <w:b/>
      <w:sz w:val="24"/>
      <w:lang w:val="nl-BE"/>
    </w:rPr>
  </w:style>
  <w:style w:type="paragraph" w:styleId="Heading5">
    <w:name w:val="heading 5"/>
    <w:basedOn w:val="Normal"/>
    <w:next w:val="Normal"/>
    <w:link w:val="Heading5Char"/>
    <w:qFormat/>
    <w:rsid w:val="00404F81"/>
    <w:pPr>
      <w:keepNext/>
      <w:spacing w:after="120"/>
      <w:outlineLvl w:val="4"/>
    </w:pPr>
    <w:rPr>
      <w:rFonts w:ascii="Arial" w:hAnsi="Arial"/>
      <w:b/>
      <w:sz w:val="22"/>
      <w:u w:val="single"/>
    </w:rPr>
  </w:style>
  <w:style w:type="paragraph" w:styleId="Heading6">
    <w:name w:val="heading 6"/>
    <w:basedOn w:val="Normal"/>
    <w:next w:val="Normal"/>
    <w:link w:val="Heading6Char"/>
    <w:qFormat/>
    <w:rsid w:val="00404F81"/>
    <w:pPr>
      <w:keepNext/>
      <w:outlineLvl w:val="5"/>
    </w:pPr>
    <w:rPr>
      <w:rFonts w:ascii="Arial" w:hAnsi="Arial"/>
      <w:b/>
      <w:sz w:val="22"/>
    </w:rPr>
  </w:style>
  <w:style w:type="paragraph" w:styleId="Heading7">
    <w:name w:val="heading 7"/>
    <w:basedOn w:val="Normal"/>
    <w:next w:val="Normal"/>
    <w:link w:val="Heading7Char"/>
    <w:qFormat/>
    <w:rsid w:val="00404F81"/>
    <w:pPr>
      <w:keepNext/>
      <w:spacing w:after="120"/>
      <w:jc w:val="center"/>
      <w:outlineLvl w:val="6"/>
    </w:pPr>
    <w:rPr>
      <w:rFonts w:ascii="Arial" w:hAnsi="Arial"/>
      <w:b/>
      <w:sz w:val="22"/>
    </w:rPr>
  </w:style>
  <w:style w:type="paragraph" w:styleId="Heading8">
    <w:name w:val="heading 8"/>
    <w:basedOn w:val="Normal"/>
    <w:next w:val="Normal"/>
    <w:link w:val="Heading8Char"/>
    <w:qFormat/>
    <w:rsid w:val="00404F81"/>
    <w:pPr>
      <w:keepNext/>
      <w:jc w:val="center"/>
      <w:outlineLvl w:val="7"/>
    </w:pPr>
    <w:rPr>
      <w:rFonts w:ascii="Arial" w:hAnsi="Arial"/>
      <w:b/>
      <w:sz w:val="22"/>
      <w:u w:val="single"/>
    </w:rPr>
  </w:style>
  <w:style w:type="paragraph" w:styleId="Heading9">
    <w:name w:val="heading 9"/>
    <w:basedOn w:val="Normal"/>
    <w:next w:val="Normal"/>
    <w:link w:val="Heading9Char"/>
    <w:unhideWhenUsed/>
    <w:qFormat/>
    <w:rsid w:val="00B4039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04F81"/>
    <w:pPr>
      <w:spacing w:after="120"/>
      <w:jc w:val="both"/>
    </w:pPr>
    <w:rPr>
      <w:rFonts w:ascii="Arial" w:hAnsi="Arial"/>
      <w:sz w:val="22"/>
    </w:rPr>
  </w:style>
  <w:style w:type="paragraph" w:styleId="Header">
    <w:name w:val="header"/>
    <w:basedOn w:val="Normal"/>
    <w:link w:val="HeaderChar"/>
    <w:rsid w:val="00404F81"/>
    <w:pPr>
      <w:tabs>
        <w:tab w:val="center" w:pos="4153"/>
        <w:tab w:val="right" w:pos="8306"/>
      </w:tabs>
    </w:pPr>
  </w:style>
  <w:style w:type="paragraph" w:styleId="Footer">
    <w:name w:val="footer"/>
    <w:basedOn w:val="Normal"/>
    <w:link w:val="FooterChar"/>
    <w:rsid w:val="00404F81"/>
    <w:pPr>
      <w:tabs>
        <w:tab w:val="center" w:pos="4153"/>
        <w:tab w:val="right" w:pos="8306"/>
      </w:tabs>
    </w:pPr>
  </w:style>
  <w:style w:type="table" w:styleId="TableGrid">
    <w:name w:val="Table Grid"/>
    <w:basedOn w:val="TableNormal"/>
    <w:rsid w:val="00440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40C87"/>
    <w:rPr>
      <w:rFonts w:ascii="Tahoma" w:hAnsi="Tahoma" w:cs="Tahoma"/>
      <w:sz w:val="16"/>
      <w:szCs w:val="16"/>
    </w:rPr>
  </w:style>
  <w:style w:type="character" w:customStyle="1" w:styleId="Heading7Char">
    <w:name w:val="Heading 7 Char"/>
    <w:basedOn w:val="DefaultParagraphFont"/>
    <w:link w:val="Heading7"/>
    <w:rsid w:val="00784F55"/>
    <w:rPr>
      <w:rFonts w:ascii="Arial" w:hAnsi="Arial"/>
      <w:b/>
      <w:sz w:val="22"/>
      <w:lang w:val="fr-FR"/>
    </w:rPr>
  </w:style>
  <w:style w:type="character" w:customStyle="1" w:styleId="Heading8Char">
    <w:name w:val="Heading 8 Char"/>
    <w:basedOn w:val="DefaultParagraphFont"/>
    <w:link w:val="Heading8"/>
    <w:rsid w:val="00784F55"/>
    <w:rPr>
      <w:rFonts w:ascii="Arial" w:hAnsi="Arial"/>
      <w:b/>
      <w:sz w:val="22"/>
      <w:u w:val="single"/>
      <w:lang w:val="fr-FR"/>
    </w:rPr>
  </w:style>
  <w:style w:type="character" w:customStyle="1" w:styleId="HeaderChar">
    <w:name w:val="Header Char"/>
    <w:basedOn w:val="DefaultParagraphFont"/>
    <w:link w:val="Header"/>
    <w:rsid w:val="00784F55"/>
    <w:rPr>
      <w:lang w:val="fr-FR"/>
    </w:rPr>
  </w:style>
  <w:style w:type="paragraph" w:styleId="BodyText2">
    <w:name w:val="Body Text 2"/>
    <w:basedOn w:val="Normal"/>
    <w:link w:val="BodyText2Char"/>
    <w:rsid w:val="00473469"/>
    <w:pPr>
      <w:spacing w:after="120" w:line="480" w:lineRule="auto"/>
    </w:pPr>
  </w:style>
  <w:style w:type="character" w:customStyle="1" w:styleId="BodyText2Char">
    <w:name w:val="Body Text 2 Char"/>
    <w:basedOn w:val="DefaultParagraphFont"/>
    <w:link w:val="BodyText2"/>
    <w:rsid w:val="00473469"/>
    <w:rPr>
      <w:lang w:val="fr-FR"/>
    </w:rPr>
  </w:style>
  <w:style w:type="character" w:customStyle="1" w:styleId="BodyTextChar">
    <w:name w:val="Body Text Char"/>
    <w:basedOn w:val="DefaultParagraphFont"/>
    <w:link w:val="BodyText"/>
    <w:rsid w:val="00772DFE"/>
    <w:rPr>
      <w:rFonts w:ascii="Arial" w:hAnsi="Arial"/>
      <w:sz w:val="22"/>
      <w:lang w:val="fr-FR"/>
    </w:rPr>
  </w:style>
  <w:style w:type="character" w:customStyle="1" w:styleId="Heading9Char">
    <w:name w:val="Heading 9 Char"/>
    <w:basedOn w:val="DefaultParagraphFont"/>
    <w:link w:val="Heading9"/>
    <w:rsid w:val="00B40396"/>
    <w:rPr>
      <w:rFonts w:asciiTheme="majorHAnsi" w:eastAsiaTheme="majorEastAsia" w:hAnsiTheme="majorHAnsi" w:cstheme="majorBidi"/>
      <w:i/>
      <w:iCs/>
      <w:color w:val="404040" w:themeColor="text1" w:themeTint="BF"/>
      <w:lang w:val="fr-FR"/>
    </w:rPr>
  </w:style>
  <w:style w:type="character" w:customStyle="1" w:styleId="Heading1Char">
    <w:name w:val="Heading 1 Char"/>
    <w:basedOn w:val="DefaultParagraphFont"/>
    <w:link w:val="Heading1"/>
    <w:rsid w:val="00B40396"/>
    <w:rPr>
      <w:rFonts w:ascii="Arial" w:hAnsi="Arial"/>
      <w:b/>
      <w:snapToGrid w:val="0"/>
      <w:u w:val="single"/>
      <w:lang w:val="fr-FR"/>
    </w:rPr>
  </w:style>
  <w:style w:type="character" w:customStyle="1" w:styleId="Heading2Char">
    <w:name w:val="Heading 2 Char"/>
    <w:basedOn w:val="DefaultParagraphFont"/>
    <w:link w:val="Heading2"/>
    <w:rsid w:val="00B40396"/>
    <w:rPr>
      <w:rFonts w:ascii="Courier New" w:hAnsi="Courier New"/>
      <w:b/>
      <w:snapToGrid w:val="0"/>
      <w:lang w:val="nl-NL"/>
    </w:rPr>
  </w:style>
  <w:style w:type="character" w:customStyle="1" w:styleId="Heading3Char">
    <w:name w:val="Heading 3 Char"/>
    <w:basedOn w:val="DefaultParagraphFont"/>
    <w:link w:val="Heading3"/>
    <w:rsid w:val="00B40396"/>
    <w:rPr>
      <w:rFonts w:ascii="Courier New" w:hAnsi="Courier New"/>
      <w:b/>
      <w:sz w:val="24"/>
      <w:u w:val="single"/>
      <w:lang w:val="nl-BE"/>
    </w:rPr>
  </w:style>
  <w:style w:type="character" w:customStyle="1" w:styleId="Heading4Char">
    <w:name w:val="Heading 4 Char"/>
    <w:basedOn w:val="DefaultParagraphFont"/>
    <w:link w:val="Heading4"/>
    <w:rsid w:val="00B40396"/>
    <w:rPr>
      <w:rFonts w:ascii="Courier New" w:hAnsi="Courier New"/>
      <w:b/>
      <w:sz w:val="24"/>
      <w:lang w:val="nl-BE"/>
    </w:rPr>
  </w:style>
  <w:style w:type="character" w:customStyle="1" w:styleId="Heading5Char">
    <w:name w:val="Heading 5 Char"/>
    <w:basedOn w:val="DefaultParagraphFont"/>
    <w:link w:val="Heading5"/>
    <w:rsid w:val="00B40396"/>
    <w:rPr>
      <w:rFonts w:ascii="Arial" w:hAnsi="Arial"/>
      <w:b/>
      <w:sz w:val="22"/>
      <w:u w:val="single"/>
      <w:lang w:val="fr-FR"/>
    </w:rPr>
  </w:style>
  <w:style w:type="character" w:customStyle="1" w:styleId="Heading6Char">
    <w:name w:val="Heading 6 Char"/>
    <w:basedOn w:val="DefaultParagraphFont"/>
    <w:link w:val="Heading6"/>
    <w:rsid w:val="00B40396"/>
    <w:rPr>
      <w:rFonts w:ascii="Arial" w:hAnsi="Arial"/>
      <w:b/>
      <w:sz w:val="22"/>
      <w:lang w:val="fr-FR"/>
    </w:rPr>
  </w:style>
  <w:style w:type="paragraph" w:styleId="Title">
    <w:name w:val="Title"/>
    <w:basedOn w:val="Normal"/>
    <w:link w:val="TitleChar"/>
    <w:qFormat/>
    <w:rsid w:val="00B40396"/>
    <w:pPr>
      <w:jc w:val="center"/>
    </w:pPr>
    <w:rPr>
      <w:rFonts w:ascii="Arial" w:hAnsi="Arial"/>
      <w:b/>
      <w:sz w:val="22"/>
    </w:rPr>
  </w:style>
  <w:style w:type="character" w:customStyle="1" w:styleId="TitleChar">
    <w:name w:val="Title Char"/>
    <w:basedOn w:val="DefaultParagraphFont"/>
    <w:link w:val="Title"/>
    <w:rsid w:val="00B40396"/>
    <w:rPr>
      <w:rFonts w:ascii="Arial" w:hAnsi="Arial"/>
      <w:b/>
      <w:sz w:val="22"/>
      <w:lang w:val="fr-FR"/>
    </w:rPr>
  </w:style>
  <w:style w:type="character" w:customStyle="1" w:styleId="FooterChar">
    <w:name w:val="Footer Char"/>
    <w:basedOn w:val="DefaultParagraphFont"/>
    <w:link w:val="Footer"/>
    <w:rsid w:val="00B40396"/>
    <w:rPr>
      <w:lang w:val="fr-FR"/>
    </w:rPr>
  </w:style>
  <w:style w:type="character" w:customStyle="1" w:styleId="BalloonTextChar">
    <w:name w:val="Balloon Text Char"/>
    <w:basedOn w:val="DefaultParagraphFont"/>
    <w:link w:val="BalloonText"/>
    <w:rsid w:val="00B40396"/>
    <w:rPr>
      <w:rFonts w:ascii="Tahoma" w:hAnsi="Tahoma" w:cs="Tahoma"/>
      <w:sz w:val="16"/>
      <w:szCs w:val="16"/>
      <w:lang w:val="fr-FR"/>
    </w:rPr>
  </w:style>
  <w:style w:type="paragraph" w:styleId="ListParagraph">
    <w:name w:val="List Paragraph"/>
    <w:basedOn w:val="Normal"/>
    <w:uiPriority w:val="34"/>
    <w:qFormat/>
    <w:rsid w:val="00B40396"/>
    <w:pPr>
      <w:ind w:left="720"/>
      <w:contextualSpacing/>
    </w:pPr>
  </w:style>
  <w:style w:type="paragraph" w:styleId="BodyTextIndent3">
    <w:name w:val="Body Text Indent 3"/>
    <w:basedOn w:val="Normal"/>
    <w:link w:val="BodyTextIndent3Char"/>
    <w:rsid w:val="00B40396"/>
    <w:pPr>
      <w:tabs>
        <w:tab w:val="left" w:pos="-851"/>
      </w:tabs>
      <w:ind w:left="426" w:hanging="426"/>
      <w:jc w:val="both"/>
    </w:pPr>
    <w:rPr>
      <w:rFonts w:ascii="Arial" w:hAnsi="Arial"/>
      <w:spacing w:val="-2"/>
      <w:lang w:val="nl-NL" w:eastAsia="nl-NL"/>
    </w:rPr>
  </w:style>
  <w:style w:type="character" w:customStyle="1" w:styleId="BodyTextIndent3Char">
    <w:name w:val="Body Text Indent 3 Char"/>
    <w:basedOn w:val="DefaultParagraphFont"/>
    <w:link w:val="BodyTextIndent3"/>
    <w:rsid w:val="00B40396"/>
    <w:rPr>
      <w:rFonts w:ascii="Arial" w:hAnsi="Arial"/>
      <w:spacing w:val="-2"/>
      <w:lang w:val="nl-NL" w:eastAsia="nl-NL"/>
    </w:rPr>
  </w:style>
  <w:style w:type="paragraph" w:styleId="BodyTextIndent">
    <w:name w:val="Body Text Indent"/>
    <w:basedOn w:val="Normal"/>
    <w:link w:val="BodyTextIndentChar"/>
    <w:rsid w:val="00B40396"/>
    <w:pPr>
      <w:ind w:left="426"/>
    </w:pPr>
    <w:rPr>
      <w:rFonts w:ascii="Arial" w:hAnsi="Arial"/>
      <w:lang w:val="nl-NL" w:eastAsia="nl-NL"/>
    </w:rPr>
  </w:style>
  <w:style w:type="character" w:customStyle="1" w:styleId="BodyTextIndentChar">
    <w:name w:val="Body Text Indent Char"/>
    <w:basedOn w:val="DefaultParagraphFont"/>
    <w:link w:val="BodyTextIndent"/>
    <w:rsid w:val="00B40396"/>
    <w:rPr>
      <w:rFonts w:ascii="Arial" w:hAnsi="Arial"/>
      <w:lang w:val="nl-NL" w:eastAsia="nl-NL"/>
    </w:rPr>
  </w:style>
  <w:style w:type="paragraph" w:styleId="EndnoteText">
    <w:name w:val="endnote text"/>
    <w:basedOn w:val="Normal"/>
    <w:link w:val="EndnoteTextChar"/>
    <w:rsid w:val="00B40396"/>
    <w:pPr>
      <w:widowControl w:val="0"/>
    </w:pPr>
    <w:rPr>
      <w:rFonts w:ascii="Courier" w:hAnsi="Courier"/>
      <w:snapToGrid w:val="0"/>
      <w:sz w:val="24"/>
      <w:lang w:val="en-GB"/>
    </w:rPr>
  </w:style>
  <w:style w:type="character" w:customStyle="1" w:styleId="EndnoteTextChar">
    <w:name w:val="Endnote Text Char"/>
    <w:basedOn w:val="DefaultParagraphFont"/>
    <w:link w:val="EndnoteText"/>
    <w:rsid w:val="00B40396"/>
    <w:rPr>
      <w:rFonts w:ascii="Courier" w:hAnsi="Courier"/>
      <w:snapToGrid w:val="0"/>
      <w:sz w:val="24"/>
      <w:lang w:val="en-GB"/>
    </w:rPr>
  </w:style>
  <w:style w:type="character" w:styleId="PageNumber">
    <w:name w:val="page number"/>
    <w:basedOn w:val="DefaultParagraphFont"/>
    <w:rsid w:val="00B40396"/>
  </w:style>
  <w:style w:type="paragraph" w:customStyle="1" w:styleId="Document1">
    <w:name w:val="Document 1"/>
    <w:rsid w:val="00B40396"/>
    <w:pPr>
      <w:keepNext/>
      <w:keepLines/>
      <w:widowControl w:val="0"/>
      <w:tabs>
        <w:tab w:val="left" w:pos="-720"/>
      </w:tabs>
      <w:suppressAutoHyphens/>
    </w:pPr>
    <w:rPr>
      <w:rFonts w:ascii="Courier" w:hAnsi="Courier"/>
      <w:snapToGrid w:val="0"/>
    </w:rPr>
  </w:style>
  <w:style w:type="character" w:styleId="EndnoteReference">
    <w:name w:val="endnote reference"/>
    <w:basedOn w:val="DefaultParagraphFont"/>
    <w:rsid w:val="00B40396"/>
    <w:rPr>
      <w:vertAlign w:val="superscript"/>
    </w:rPr>
  </w:style>
  <w:style w:type="paragraph" w:styleId="BodyTextIndent2">
    <w:name w:val="Body Text Indent 2"/>
    <w:basedOn w:val="Normal"/>
    <w:link w:val="BodyTextIndent2Char"/>
    <w:rsid w:val="00B40396"/>
    <w:pPr>
      <w:ind w:left="426"/>
    </w:pPr>
    <w:rPr>
      <w:rFonts w:ascii="Arial" w:hAnsi="Arial"/>
      <w:i/>
      <w:lang w:val="nl-NL" w:eastAsia="nl-NL"/>
    </w:rPr>
  </w:style>
  <w:style w:type="character" w:customStyle="1" w:styleId="BodyTextIndent2Char">
    <w:name w:val="Body Text Indent 2 Char"/>
    <w:basedOn w:val="DefaultParagraphFont"/>
    <w:link w:val="BodyTextIndent2"/>
    <w:rsid w:val="00B40396"/>
    <w:rPr>
      <w:rFonts w:ascii="Arial" w:hAnsi="Arial"/>
      <w:i/>
      <w:lang w:val="nl-NL" w:eastAsia="nl-NL"/>
    </w:rPr>
  </w:style>
  <w:style w:type="paragraph" w:styleId="BodyText3">
    <w:name w:val="Body Text 3"/>
    <w:basedOn w:val="Normal"/>
    <w:link w:val="BodyText3Char"/>
    <w:rsid w:val="00B40396"/>
    <w:pPr>
      <w:suppressAutoHyphens/>
    </w:pPr>
    <w:rPr>
      <w:rFonts w:ascii="Arial" w:hAnsi="Arial"/>
      <w:b/>
      <w:lang w:val="nl-NL" w:eastAsia="nl-NL"/>
    </w:rPr>
  </w:style>
  <w:style w:type="character" w:customStyle="1" w:styleId="BodyText3Char">
    <w:name w:val="Body Text 3 Char"/>
    <w:basedOn w:val="DefaultParagraphFont"/>
    <w:link w:val="BodyText3"/>
    <w:rsid w:val="00B40396"/>
    <w:rPr>
      <w:rFonts w:ascii="Arial" w:hAnsi="Arial"/>
      <w:b/>
      <w:lang w:val="nl-NL" w:eastAsia="nl-NL"/>
    </w:rPr>
  </w:style>
  <w:style w:type="paragraph" w:styleId="PlainText">
    <w:name w:val="Plain Text"/>
    <w:basedOn w:val="Normal"/>
    <w:link w:val="PlainTextChar"/>
    <w:rsid w:val="00B40396"/>
    <w:rPr>
      <w:rFonts w:ascii="Courier New" w:hAnsi="Courier New"/>
      <w:lang w:val="fr-BE" w:eastAsia="nl-NL"/>
    </w:rPr>
  </w:style>
  <w:style w:type="character" w:customStyle="1" w:styleId="PlainTextChar">
    <w:name w:val="Plain Text Char"/>
    <w:basedOn w:val="DefaultParagraphFont"/>
    <w:link w:val="PlainText"/>
    <w:rsid w:val="00B40396"/>
    <w:rPr>
      <w:rFonts w:ascii="Courier New" w:hAnsi="Courier New"/>
      <w:lang w:val="fr-BE" w:eastAsia="nl-NL"/>
    </w:rPr>
  </w:style>
  <w:style w:type="character" w:customStyle="1" w:styleId="longtext">
    <w:name w:val="long_text"/>
    <w:basedOn w:val="DefaultParagraphFont"/>
    <w:rsid w:val="00B40396"/>
  </w:style>
  <w:style w:type="character" w:customStyle="1" w:styleId="hps">
    <w:name w:val="hps"/>
    <w:basedOn w:val="DefaultParagraphFont"/>
    <w:rsid w:val="00B40396"/>
  </w:style>
  <w:style w:type="character" w:customStyle="1" w:styleId="Hyperlink1">
    <w:name w:val="Hyperlink1"/>
    <w:basedOn w:val="DefaultParagraphFont"/>
    <w:rsid w:val="00133BC2"/>
    <w:rPr>
      <w:color w:val="0000FF"/>
      <w:u w:val="single"/>
    </w:rPr>
  </w:style>
  <w:style w:type="character" w:customStyle="1" w:styleId="Policepardfaut1">
    <w:name w:val="Police par défaut1"/>
    <w:rsid w:val="00133BC2"/>
  </w:style>
  <w:style w:type="character" w:styleId="Hyperlink">
    <w:name w:val="Hyperlink"/>
    <w:basedOn w:val="DefaultParagraphFont"/>
    <w:rsid w:val="00133BC2"/>
    <w:rPr>
      <w:color w:val="0000FF" w:themeColor="hyperlink"/>
      <w:u w:val="single"/>
    </w:rPr>
  </w:style>
  <w:style w:type="character" w:customStyle="1" w:styleId="shorttext">
    <w:name w:val="short_text"/>
    <w:basedOn w:val="DefaultParagraphFont"/>
    <w:rsid w:val="005A0EE7"/>
  </w:style>
  <w:style w:type="numbering" w:customStyle="1" w:styleId="NoList1">
    <w:name w:val="No List1"/>
    <w:next w:val="NoList"/>
    <w:uiPriority w:val="99"/>
    <w:semiHidden/>
    <w:unhideWhenUsed/>
    <w:rsid w:val="009443AB"/>
  </w:style>
  <w:style w:type="table" w:customStyle="1" w:styleId="TableGrid1">
    <w:name w:val="Table Grid1"/>
    <w:basedOn w:val="TableNormal"/>
    <w:next w:val="TableGrid"/>
    <w:rsid w:val="0094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443AB"/>
  </w:style>
  <w:style w:type="table" w:customStyle="1" w:styleId="TableGrid2">
    <w:name w:val="Table Grid2"/>
    <w:basedOn w:val="TableNormal"/>
    <w:next w:val="TableGrid"/>
    <w:rsid w:val="0094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443AB"/>
  </w:style>
  <w:style w:type="table" w:customStyle="1" w:styleId="TableGrid3">
    <w:name w:val="Table Grid3"/>
    <w:basedOn w:val="TableNormal"/>
    <w:next w:val="TableGrid"/>
    <w:rsid w:val="0094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443AB"/>
  </w:style>
  <w:style w:type="table" w:customStyle="1" w:styleId="TableGrid4">
    <w:name w:val="Table Grid4"/>
    <w:basedOn w:val="TableNormal"/>
    <w:next w:val="TableGrid"/>
    <w:rsid w:val="00944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43AB"/>
    <w:pPr>
      <w:autoSpaceDE w:val="0"/>
      <w:autoSpaceDN w:val="0"/>
      <w:adjustRightInd w:val="0"/>
    </w:pPr>
    <w:rPr>
      <w:rFonts w:ascii="Arial" w:hAnsi="Arial" w:cs="Arial"/>
      <w:color w:val="000000"/>
      <w:sz w:val="24"/>
      <w:szCs w:val="24"/>
    </w:rPr>
  </w:style>
  <w:style w:type="table" w:customStyle="1" w:styleId="TableGrid5">
    <w:name w:val="Table Grid5"/>
    <w:basedOn w:val="TableNormal"/>
    <w:next w:val="TableGrid"/>
    <w:rsid w:val="00147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47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B1F3E"/>
    <w:pPr>
      <w:jc w:val="both"/>
    </w:pPr>
    <w:rPr>
      <w:rFonts w:ascii="Arial" w:eastAsia="Arial" w:hAnsi="Arial" w:cs="Arial"/>
      <w:color w:val="000000"/>
      <w:lang w:val="fr-BE" w:eastAsia="nl-NL"/>
    </w:rPr>
  </w:style>
  <w:style w:type="character" w:customStyle="1" w:styleId="FootnoteTextChar">
    <w:name w:val="Footnote Text Char"/>
    <w:basedOn w:val="DefaultParagraphFont"/>
    <w:link w:val="FootnoteText"/>
    <w:uiPriority w:val="99"/>
    <w:rsid w:val="00AB1F3E"/>
    <w:rPr>
      <w:rFonts w:ascii="Arial" w:eastAsia="Arial" w:hAnsi="Arial" w:cs="Arial"/>
      <w:color w:val="000000"/>
      <w:lang w:val="fr-BE" w:eastAsia="nl-NL"/>
    </w:rPr>
  </w:style>
  <w:style w:type="character" w:styleId="FootnoteReference">
    <w:name w:val="footnote reference"/>
    <w:basedOn w:val="DefaultParagraphFont"/>
    <w:uiPriority w:val="99"/>
    <w:unhideWhenUsed/>
    <w:rsid w:val="00AB1F3E"/>
    <w:rPr>
      <w:vertAlign w:val="superscript"/>
    </w:rPr>
  </w:style>
  <w:style w:type="character" w:customStyle="1" w:styleId="st1">
    <w:name w:val="st1"/>
    <w:basedOn w:val="DefaultParagraphFont"/>
    <w:rsid w:val="00AB1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00078">
      <w:bodyDiv w:val="1"/>
      <w:marLeft w:val="0"/>
      <w:marRight w:val="0"/>
      <w:marTop w:val="0"/>
      <w:marBottom w:val="0"/>
      <w:divBdr>
        <w:top w:val="none" w:sz="0" w:space="0" w:color="auto"/>
        <w:left w:val="none" w:sz="0" w:space="0" w:color="auto"/>
        <w:bottom w:val="none" w:sz="0" w:space="0" w:color="auto"/>
        <w:right w:val="none" w:sz="0" w:space="0" w:color="auto"/>
      </w:divBdr>
    </w:div>
    <w:div w:id="457918290">
      <w:bodyDiv w:val="1"/>
      <w:marLeft w:val="0"/>
      <w:marRight w:val="0"/>
      <w:marTop w:val="0"/>
      <w:marBottom w:val="0"/>
      <w:divBdr>
        <w:top w:val="none" w:sz="0" w:space="0" w:color="auto"/>
        <w:left w:val="none" w:sz="0" w:space="0" w:color="auto"/>
        <w:bottom w:val="none" w:sz="0" w:space="0" w:color="auto"/>
        <w:right w:val="none" w:sz="0" w:space="0" w:color="auto"/>
      </w:divBdr>
    </w:div>
    <w:div w:id="596015475">
      <w:bodyDiv w:val="1"/>
      <w:marLeft w:val="0"/>
      <w:marRight w:val="0"/>
      <w:marTop w:val="0"/>
      <w:marBottom w:val="0"/>
      <w:divBdr>
        <w:top w:val="none" w:sz="0" w:space="0" w:color="auto"/>
        <w:left w:val="none" w:sz="0" w:space="0" w:color="auto"/>
        <w:bottom w:val="none" w:sz="0" w:space="0" w:color="auto"/>
        <w:right w:val="none" w:sz="0" w:space="0" w:color="auto"/>
      </w:divBdr>
    </w:div>
    <w:div w:id="597755707">
      <w:bodyDiv w:val="1"/>
      <w:marLeft w:val="0"/>
      <w:marRight w:val="0"/>
      <w:marTop w:val="0"/>
      <w:marBottom w:val="0"/>
      <w:divBdr>
        <w:top w:val="none" w:sz="0" w:space="0" w:color="auto"/>
        <w:left w:val="none" w:sz="0" w:space="0" w:color="auto"/>
        <w:bottom w:val="none" w:sz="0" w:space="0" w:color="auto"/>
        <w:right w:val="none" w:sz="0" w:space="0" w:color="auto"/>
      </w:divBdr>
    </w:div>
    <w:div w:id="707074252">
      <w:bodyDiv w:val="1"/>
      <w:marLeft w:val="0"/>
      <w:marRight w:val="0"/>
      <w:marTop w:val="0"/>
      <w:marBottom w:val="0"/>
      <w:divBdr>
        <w:top w:val="none" w:sz="0" w:space="0" w:color="auto"/>
        <w:left w:val="none" w:sz="0" w:space="0" w:color="auto"/>
        <w:bottom w:val="none" w:sz="0" w:space="0" w:color="auto"/>
        <w:right w:val="none" w:sz="0" w:space="0" w:color="auto"/>
      </w:divBdr>
    </w:div>
    <w:div w:id="736245475">
      <w:bodyDiv w:val="1"/>
      <w:marLeft w:val="0"/>
      <w:marRight w:val="0"/>
      <w:marTop w:val="0"/>
      <w:marBottom w:val="0"/>
      <w:divBdr>
        <w:top w:val="none" w:sz="0" w:space="0" w:color="auto"/>
        <w:left w:val="none" w:sz="0" w:space="0" w:color="auto"/>
        <w:bottom w:val="none" w:sz="0" w:space="0" w:color="auto"/>
        <w:right w:val="none" w:sz="0" w:space="0" w:color="auto"/>
      </w:divBdr>
    </w:div>
    <w:div w:id="760370180">
      <w:bodyDiv w:val="1"/>
      <w:marLeft w:val="0"/>
      <w:marRight w:val="0"/>
      <w:marTop w:val="0"/>
      <w:marBottom w:val="0"/>
      <w:divBdr>
        <w:top w:val="none" w:sz="0" w:space="0" w:color="auto"/>
        <w:left w:val="none" w:sz="0" w:space="0" w:color="auto"/>
        <w:bottom w:val="none" w:sz="0" w:space="0" w:color="auto"/>
        <w:right w:val="none" w:sz="0" w:space="0" w:color="auto"/>
      </w:divBdr>
    </w:div>
    <w:div w:id="939489853">
      <w:bodyDiv w:val="1"/>
      <w:marLeft w:val="0"/>
      <w:marRight w:val="0"/>
      <w:marTop w:val="0"/>
      <w:marBottom w:val="0"/>
      <w:divBdr>
        <w:top w:val="none" w:sz="0" w:space="0" w:color="auto"/>
        <w:left w:val="none" w:sz="0" w:space="0" w:color="auto"/>
        <w:bottom w:val="none" w:sz="0" w:space="0" w:color="auto"/>
        <w:right w:val="none" w:sz="0" w:space="0" w:color="auto"/>
      </w:divBdr>
    </w:div>
    <w:div w:id="1117799132">
      <w:bodyDiv w:val="1"/>
      <w:marLeft w:val="0"/>
      <w:marRight w:val="0"/>
      <w:marTop w:val="0"/>
      <w:marBottom w:val="0"/>
      <w:divBdr>
        <w:top w:val="none" w:sz="0" w:space="0" w:color="auto"/>
        <w:left w:val="none" w:sz="0" w:space="0" w:color="auto"/>
        <w:bottom w:val="none" w:sz="0" w:space="0" w:color="auto"/>
        <w:right w:val="none" w:sz="0" w:space="0" w:color="auto"/>
      </w:divBdr>
    </w:div>
    <w:div w:id="1193567855">
      <w:bodyDiv w:val="1"/>
      <w:marLeft w:val="0"/>
      <w:marRight w:val="0"/>
      <w:marTop w:val="0"/>
      <w:marBottom w:val="0"/>
      <w:divBdr>
        <w:top w:val="none" w:sz="0" w:space="0" w:color="auto"/>
        <w:left w:val="none" w:sz="0" w:space="0" w:color="auto"/>
        <w:bottom w:val="none" w:sz="0" w:space="0" w:color="auto"/>
        <w:right w:val="none" w:sz="0" w:space="0" w:color="auto"/>
      </w:divBdr>
    </w:div>
    <w:div w:id="1347634622">
      <w:bodyDiv w:val="1"/>
      <w:marLeft w:val="0"/>
      <w:marRight w:val="0"/>
      <w:marTop w:val="0"/>
      <w:marBottom w:val="0"/>
      <w:divBdr>
        <w:top w:val="none" w:sz="0" w:space="0" w:color="auto"/>
        <w:left w:val="none" w:sz="0" w:space="0" w:color="auto"/>
        <w:bottom w:val="none" w:sz="0" w:space="0" w:color="auto"/>
        <w:right w:val="none" w:sz="0" w:space="0" w:color="auto"/>
      </w:divBdr>
    </w:div>
    <w:div w:id="1385250702">
      <w:bodyDiv w:val="1"/>
      <w:marLeft w:val="0"/>
      <w:marRight w:val="0"/>
      <w:marTop w:val="0"/>
      <w:marBottom w:val="0"/>
      <w:divBdr>
        <w:top w:val="none" w:sz="0" w:space="0" w:color="auto"/>
        <w:left w:val="none" w:sz="0" w:space="0" w:color="auto"/>
        <w:bottom w:val="none" w:sz="0" w:space="0" w:color="auto"/>
        <w:right w:val="none" w:sz="0" w:space="0" w:color="auto"/>
      </w:divBdr>
    </w:div>
    <w:div w:id="1442454597">
      <w:bodyDiv w:val="1"/>
      <w:marLeft w:val="0"/>
      <w:marRight w:val="0"/>
      <w:marTop w:val="0"/>
      <w:marBottom w:val="0"/>
      <w:divBdr>
        <w:top w:val="none" w:sz="0" w:space="0" w:color="auto"/>
        <w:left w:val="none" w:sz="0" w:space="0" w:color="auto"/>
        <w:bottom w:val="none" w:sz="0" w:space="0" w:color="auto"/>
        <w:right w:val="none" w:sz="0" w:space="0" w:color="auto"/>
      </w:divBdr>
    </w:div>
    <w:div w:id="17710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2019-10-30T23:00:00+00:00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43</Value>
      <Value>8</Value>
      <Value>12</Value>
      <Value>111</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AR</TermName>
          <TermId xmlns="http://schemas.microsoft.com/office/infopath/2007/PartnerControls">3fb24eb5-133e-42c9-bfb7-9eb5d8a4dd7e</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39F584A-DE7D-4A47-8179-4B2782CC0D20}"/>
</file>

<file path=customXml/itemProps2.xml><?xml version="1.0" encoding="utf-8"?>
<ds:datastoreItem xmlns:ds="http://schemas.openxmlformats.org/officeDocument/2006/customXml" ds:itemID="{3B0CAE8D-A02A-483C-AA5A-DAC8B0761E0D}"/>
</file>

<file path=customXml/itemProps3.xml><?xml version="1.0" encoding="utf-8"?>
<ds:datastoreItem xmlns:ds="http://schemas.openxmlformats.org/officeDocument/2006/customXml" ds:itemID="{CE794484-75E0-4EFF-9CDB-4EEFB50D7713}"/>
</file>

<file path=customXml/itemProps4.xml><?xml version="1.0" encoding="utf-8"?>
<ds:datastoreItem xmlns:ds="http://schemas.openxmlformats.org/officeDocument/2006/customXml" ds:itemID="{F6718533-CB38-402D-AE77-F7E56A155F3D}"/>
</file>

<file path=docProps/app.xml><?xml version="1.0" encoding="utf-8"?>
<Properties xmlns="http://schemas.openxmlformats.org/officeDocument/2006/extended-properties" xmlns:vt="http://schemas.openxmlformats.org/officeDocument/2006/docPropsVTypes">
  <Template>9BFD718E.dotm</Template>
  <TotalTime>0</TotalTime>
  <Pages>6</Pages>
  <Words>3205</Words>
  <Characters>17921</Characters>
  <Application>Microsoft Office Word</Application>
  <DocSecurity>0</DocSecurity>
  <Lines>149</Lines>
  <Paragraphs>42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Nationaal Instituut voor ziekte-en invaliditeitsverzekering</vt:lpstr>
      <vt:lpstr>Nationaal Instituut voor ziekte-en invaliditeitsverzekering</vt:lpstr>
      <vt:lpstr>Nationaal Instituut voor ziekte-en invaliditeitsverzekering</vt:lpstr>
    </vt:vector>
  </TitlesOfParts>
  <Company>R.I.Z.I.V. - I.N.A.M.I.</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du 26 octobre 2019 - KB van 26 oktober 2019</dc:title>
  <dc:creator>Dominique Dethier</dc:creator>
  <cp:lastModifiedBy>Divry Blandine</cp:lastModifiedBy>
  <cp:revision>4</cp:revision>
  <cp:lastPrinted>2019-10-18T08:03:00Z</cp:lastPrinted>
  <dcterms:created xsi:type="dcterms:W3CDTF">2019-10-28T16:14:00Z</dcterms:created>
  <dcterms:modified xsi:type="dcterms:W3CDTF">2019-10-29T14:31:00Z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111;#AR|3fb24eb5-133e-42c9-bfb7-9eb5d8a4dd7e</vt:lpwstr>
  </property>
  <property fmtid="{D5CDD505-2E9C-101B-9397-08002B2CF9AE}" pid="7" name="Publication type for documents">
    <vt:lpwstr/>
  </property>
</Properties>
</file>