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3E1C" w14:textId="77777777" w:rsidR="00F2202F" w:rsidRPr="00555796" w:rsidRDefault="00F2202F" w:rsidP="00F2202F">
      <w:pPr>
        <w:rPr>
          <w:rFonts w:cs="Arial"/>
          <w:b/>
          <w:sz w:val="20"/>
          <w:lang w:val="fr-BE"/>
        </w:rPr>
      </w:pPr>
    </w:p>
    <w:p w14:paraId="74199109" w14:textId="77777777" w:rsidR="00F2202F" w:rsidRPr="00555796" w:rsidRDefault="00F2202F" w:rsidP="00F2202F">
      <w:pPr>
        <w:widowControl w:val="0"/>
        <w:autoSpaceDE w:val="0"/>
        <w:autoSpaceDN w:val="0"/>
        <w:spacing w:before="3"/>
        <w:rPr>
          <w:rFonts w:eastAsia="Arial" w:cs="Arial"/>
          <w:b/>
          <w:sz w:val="20"/>
          <w:lang w:val="fr-BE"/>
        </w:rPr>
      </w:pPr>
      <w:r w:rsidRPr="00555796">
        <w:rPr>
          <w:rFonts w:eastAsia="Arial" w:cs="Arial"/>
          <w:noProof/>
          <w:sz w:val="20"/>
          <w:lang w:val="fr-FR"/>
        </w:rPr>
        <mc:AlternateContent>
          <mc:Choice Requires="wps">
            <w:drawing>
              <wp:anchor distT="0" distB="0" distL="0" distR="0" simplePos="0" relativeHeight="251658240" behindDoc="1" locked="0" layoutInCell="1" allowOverlap="1" wp14:anchorId="499E7B05" wp14:editId="5FE25085">
                <wp:simplePos x="0" y="0"/>
                <wp:positionH relativeFrom="page">
                  <wp:posOffset>714375</wp:posOffset>
                </wp:positionH>
                <wp:positionV relativeFrom="paragraph">
                  <wp:posOffset>173990</wp:posOffset>
                </wp:positionV>
                <wp:extent cx="6132830" cy="1019175"/>
                <wp:effectExtent l="0" t="0" r="20320" b="28575"/>
                <wp:wrapTopAndBottom/>
                <wp:docPr id="7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0191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808CF2" w14:textId="4596575B" w:rsidR="00F2202F" w:rsidRPr="00910E0D" w:rsidRDefault="00F2202F" w:rsidP="00F2202F">
                            <w:pPr>
                              <w:pStyle w:val="BodyText"/>
                              <w:spacing w:before="121"/>
                              <w:ind w:left="103"/>
                              <w:rPr>
                                <w:rFonts w:ascii="Calibri Light" w:eastAsia="Yu Gothic Light" w:hAnsi="Calibri Light"/>
                                <w:b/>
                                <w:color w:val="2F5496"/>
                                <w:sz w:val="32"/>
                                <w:szCs w:val="32"/>
                                <w:lang w:val="fr-BE"/>
                              </w:rPr>
                            </w:pPr>
                            <w:r w:rsidRPr="00555796">
                              <w:rPr>
                                <w:rFonts w:ascii="Calibri Light" w:eastAsia="Yu Gothic Light" w:hAnsi="Calibri Light"/>
                                <w:b/>
                                <w:color w:val="2F5496"/>
                                <w:sz w:val="32"/>
                                <w:szCs w:val="32"/>
                                <w:lang w:val="fr-BE"/>
                              </w:rPr>
                              <w:t>AVENANT N°1 A LA CONVENTION COVID-19</w:t>
                            </w:r>
                            <w:r w:rsidR="00BB6B2E">
                              <w:rPr>
                                <w:rFonts w:ascii="Calibri Light" w:eastAsia="Yu Gothic Light" w:hAnsi="Calibri Light"/>
                                <w:b/>
                                <w:color w:val="2F5496"/>
                                <w:sz w:val="32"/>
                                <w:szCs w:val="32"/>
                                <w:lang w:val="fr-BE"/>
                              </w:rPr>
                              <w:t>-</w:t>
                            </w:r>
                            <w:r w:rsidRPr="00555796">
                              <w:rPr>
                                <w:rFonts w:ascii="Calibri Light" w:eastAsia="Yu Gothic Light" w:hAnsi="Calibri Light"/>
                                <w:b/>
                                <w:color w:val="2F5496"/>
                                <w:sz w:val="32"/>
                                <w:szCs w:val="32"/>
                                <w:lang w:val="fr-BE"/>
                              </w:rPr>
                              <w:t>LONG, APPROUVEE LORS DU COMITE DE L’ASSURANCE DU 10 JUIN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E7B05" id="_x0000_t202" coordsize="21600,21600" o:spt="202" path="m,l,21600r21600,l21600,xe">
                <v:stroke joinstyle="miter"/>
                <v:path gradientshapeok="t" o:connecttype="rect"/>
              </v:shapetype>
              <v:shape id="Text Box 53" o:spid="_x0000_s1026" type="#_x0000_t202" style="position:absolute;margin-left:56.25pt;margin-top:13.7pt;width:482.9pt;height:80.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" filled="f" strokeweight=".16936mm">
                <v:textbox inset="0,0,0,0">
                  <w:txbxContent>
                    <w:p w14:paraId="34808CF2" w14:textId="4596575B" w:rsidR="00F2202F" w:rsidRPr="00910E0D" w:rsidRDefault="00F2202F" w:rsidP="00F2202F">
                      <w:pPr>
                        <w:pStyle w:val="BodyText"/>
                        <w:spacing w:before="121"/>
                        <w:ind w:left="103"/>
                        <w:rPr>
                          <w:rFonts w:ascii="Calibri Light" w:eastAsia="Yu Gothic Light" w:hAnsi="Calibri Light"/>
                          <w:b/>
                          <w:color w:val="2F5496"/>
                          <w:sz w:val="32"/>
                          <w:szCs w:val="32"/>
                          <w:lang w:val="fr-BE"/>
                        </w:rPr>
                      </w:pPr>
                      <w:r w:rsidRPr="00555796">
                        <w:rPr>
                          <w:rFonts w:ascii="Calibri Light" w:eastAsia="Yu Gothic Light" w:hAnsi="Calibri Light"/>
                          <w:b/>
                          <w:color w:val="2F5496"/>
                          <w:sz w:val="32"/>
                          <w:szCs w:val="32"/>
                          <w:lang w:val="fr-BE"/>
                        </w:rPr>
                        <w:t>AVENANT N°1 A LA CONVENTION COVID-19</w:t>
                      </w:r>
                      <w:r w:rsidR="00BB6B2E">
                        <w:rPr>
                          <w:rFonts w:ascii="Calibri Light" w:eastAsia="Yu Gothic Light" w:hAnsi="Calibri Light"/>
                          <w:b/>
                          <w:color w:val="2F5496"/>
                          <w:sz w:val="32"/>
                          <w:szCs w:val="32"/>
                          <w:lang w:val="fr-BE"/>
                        </w:rPr>
                        <w:t>-</w:t>
                      </w:r>
                      <w:r w:rsidRPr="00555796">
                        <w:rPr>
                          <w:rFonts w:ascii="Calibri Light" w:eastAsia="Yu Gothic Light" w:hAnsi="Calibri Light"/>
                          <w:b/>
                          <w:color w:val="2F5496"/>
                          <w:sz w:val="32"/>
                          <w:szCs w:val="32"/>
                          <w:lang w:val="fr-BE"/>
                        </w:rPr>
                        <w:t>LONG, APPROUVEE LORS DU COMITE DE L’ASSURANCE DU 10 JUIN 2024.</w:t>
                      </w:r>
                    </w:p>
                  </w:txbxContent>
                </v:textbox>
                <w10:wrap type="topAndBottom" anchorx="page"/>
              </v:shape>
            </w:pict>
          </mc:Fallback>
        </mc:AlternateContent>
      </w:r>
    </w:p>
    <w:p w14:paraId="13DDF072" w14:textId="77777777" w:rsidR="00F2202F" w:rsidRPr="00555796" w:rsidRDefault="00F2202F" w:rsidP="00F2202F">
      <w:pPr>
        <w:widowControl w:val="0"/>
        <w:autoSpaceDE w:val="0"/>
        <w:autoSpaceDN w:val="0"/>
        <w:spacing w:before="1"/>
        <w:rPr>
          <w:rFonts w:eastAsia="Arial" w:cs="Arial"/>
          <w:b/>
          <w:sz w:val="13"/>
          <w:lang w:val="fr-BE"/>
        </w:rPr>
      </w:pPr>
    </w:p>
    <w:p w14:paraId="445E07BA" w14:textId="77777777" w:rsidR="00F2202F" w:rsidRPr="00555796" w:rsidRDefault="00F2202F" w:rsidP="00F2202F">
      <w:pPr>
        <w:widowControl w:val="0"/>
        <w:autoSpaceDE w:val="0"/>
        <w:autoSpaceDN w:val="0"/>
        <w:jc w:val="both"/>
        <w:rPr>
          <w:rFonts w:cs="Arial"/>
          <w:snapToGrid w:val="0"/>
          <w:spacing w:val="-2"/>
          <w:szCs w:val="22"/>
          <w:lang w:val="fr-FR"/>
        </w:rPr>
      </w:pPr>
      <w:r w:rsidRPr="00555796">
        <w:rPr>
          <w:rFonts w:cs="Arial"/>
          <w:snapToGrid w:val="0"/>
          <w:spacing w:val="-2"/>
          <w:szCs w:val="22"/>
          <w:lang w:val="fr-FR"/>
        </w:rPr>
        <w:t xml:space="preserve">Vu la loi du 13 juin 2021 </w:t>
      </w:r>
      <w:r>
        <w:rPr>
          <w:rFonts w:cs="Arial"/>
          <w:snapToGrid w:val="0"/>
          <w:spacing w:val="-2"/>
          <w:szCs w:val="22"/>
          <w:lang w:val="fr-FR"/>
        </w:rPr>
        <w:t xml:space="preserve">portant des mesures de gestion de la pandémie </w:t>
      </w:r>
      <w:r w:rsidRPr="00555796">
        <w:rPr>
          <w:rFonts w:cs="Arial"/>
          <w:snapToGrid w:val="0"/>
          <w:spacing w:val="-2"/>
          <w:szCs w:val="22"/>
          <w:lang w:val="fr-FR"/>
        </w:rPr>
        <w:t xml:space="preserve">COVID-19 et d'autres mesures urgentes dans le domaine des soins de santé, et notamment </w:t>
      </w:r>
      <w:r>
        <w:rPr>
          <w:rFonts w:cs="Arial"/>
          <w:snapToGrid w:val="0"/>
          <w:spacing w:val="-2"/>
          <w:szCs w:val="22"/>
          <w:lang w:val="fr-FR"/>
        </w:rPr>
        <w:t xml:space="preserve">son </w:t>
      </w:r>
      <w:r w:rsidRPr="00555796">
        <w:rPr>
          <w:rFonts w:cs="Arial"/>
          <w:snapToGrid w:val="0"/>
          <w:spacing w:val="-2"/>
          <w:szCs w:val="22"/>
          <w:lang w:val="fr-FR"/>
        </w:rPr>
        <w:t>article 43,</w:t>
      </w:r>
    </w:p>
    <w:p w14:paraId="665B3AE4" w14:textId="77777777" w:rsidR="00F2202F" w:rsidRPr="00555796" w:rsidRDefault="00F2202F" w:rsidP="00F2202F">
      <w:pPr>
        <w:widowControl w:val="0"/>
        <w:autoSpaceDE w:val="0"/>
        <w:autoSpaceDN w:val="0"/>
        <w:rPr>
          <w:rFonts w:cs="Arial"/>
          <w:snapToGrid w:val="0"/>
          <w:spacing w:val="-2"/>
          <w:szCs w:val="22"/>
          <w:lang w:val="fr-FR"/>
        </w:rPr>
      </w:pPr>
    </w:p>
    <w:p w14:paraId="54EF323D" w14:textId="77777777" w:rsidR="00F2202F" w:rsidRPr="00555796" w:rsidRDefault="00F2202F" w:rsidP="00F2202F">
      <w:pPr>
        <w:widowControl w:val="0"/>
        <w:autoSpaceDE w:val="0"/>
        <w:autoSpaceDN w:val="0"/>
        <w:rPr>
          <w:rFonts w:cs="Arial"/>
          <w:snapToGrid w:val="0"/>
          <w:spacing w:val="-2"/>
          <w:szCs w:val="22"/>
          <w:lang w:val="fr-FR"/>
        </w:rPr>
      </w:pPr>
      <w:r w:rsidRPr="00555796">
        <w:rPr>
          <w:rFonts w:cs="Arial"/>
          <w:snapToGrid w:val="0"/>
          <w:spacing w:val="-2"/>
          <w:szCs w:val="22"/>
          <w:lang w:val="fr"/>
        </w:rPr>
        <w:t>Il est convenu ce qui suit entre,</w:t>
      </w:r>
    </w:p>
    <w:p w14:paraId="77674033" w14:textId="77777777" w:rsidR="00F2202F" w:rsidRPr="00555796" w:rsidRDefault="00F2202F" w:rsidP="00F2202F">
      <w:pPr>
        <w:widowControl w:val="0"/>
        <w:autoSpaceDE w:val="0"/>
        <w:autoSpaceDN w:val="0"/>
        <w:rPr>
          <w:rFonts w:cs="Arial"/>
          <w:snapToGrid w:val="0"/>
          <w:spacing w:val="-2"/>
          <w:szCs w:val="22"/>
          <w:lang w:val="fr-FR"/>
        </w:rPr>
      </w:pPr>
    </w:p>
    <w:p w14:paraId="4F16CFE6" w14:textId="77777777" w:rsidR="00F2202F" w:rsidRPr="00555796" w:rsidRDefault="00F2202F" w:rsidP="00F2202F">
      <w:pPr>
        <w:widowControl w:val="0"/>
        <w:autoSpaceDE w:val="0"/>
        <w:autoSpaceDN w:val="0"/>
        <w:rPr>
          <w:rFonts w:cs="Arial"/>
          <w:snapToGrid w:val="0"/>
          <w:spacing w:val="-2"/>
          <w:szCs w:val="22"/>
          <w:lang w:val="fr-FR"/>
        </w:rPr>
      </w:pPr>
      <w:r w:rsidRPr="00555796">
        <w:rPr>
          <w:rFonts w:cs="Arial"/>
          <w:snapToGrid w:val="0"/>
          <w:spacing w:val="-2"/>
          <w:szCs w:val="22"/>
          <w:lang w:val="fr"/>
        </w:rPr>
        <w:t>d'une part,</w:t>
      </w:r>
    </w:p>
    <w:p w14:paraId="39328FA2" w14:textId="77777777" w:rsidR="00F2202F" w:rsidRPr="00555796" w:rsidRDefault="00F2202F" w:rsidP="00F2202F">
      <w:pPr>
        <w:widowControl w:val="0"/>
        <w:autoSpaceDE w:val="0"/>
        <w:autoSpaceDN w:val="0"/>
        <w:rPr>
          <w:rFonts w:cs="Arial"/>
          <w:snapToGrid w:val="0"/>
          <w:spacing w:val="-2"/>
          <w:szCs w:val="22"/>
          <w:lang w:val="fr-FR"/>
        </w:rPr>
      </w:pPr>
    </w:p>
    <w:p w14:paraId="63BD14F6" w14:textId="77777777" w:rsidR="00F2202F" w:rsidRPr="00555796" w:rsidRDefault="00F2202F" w:rsidP="00F2202F">
      <w:pPr>
        <w:widowControl w:val="0"/>
        <w:autoSpaceDE w:val="0"/>
        <w:autoSpaceDN w:val="0"/>
        <w:rPr>
          <w:rFonts w:cs="Arial"/>
          <w:snapToGrid w:val="0"/>
          <w:spacing w:val="-2"/>
          <w:szCs w:val="22"/>
          <w:lang w:val="fr-FR"/>
        </w:rPr>
      </w:pPr>
      <w:r w:rsidRPr="00555796">
        <w:rPr>
          <w:rFonts w:cs="Arial"/>
          <w:snapToGrid w:val="0"/>
          <w:spacing w:val="-2"/>
          <w:szCs w:val="22"/>
          <w:lang w:val="fr"/>
        </w:rPr>
        <w:tab/>
        <w:t>le Comité de l’assurance, premier contractant,</w:t>
      </w:r>
    </w:p>
    <w:p w14:paraId="67DA1CC6" w14:textId="77777777" w:rsidR="00F2202F" w:rsidRPr="00555796" w:rsidRDefault="00F2202F" w:rsidP="00F2202F">
      <w:pPr>
        <w:widowControl w:val="0"/>
        <w:autoSpaceDE w:val="0"/>
        <w:autoSpaceDN w:val="0"/>
        <w:rPr>
          <w:rFonts w:cs="Arial"/>
          <w:snapToGrid w:val="0"/>
          <w:spacing w:val="-2"/>
          <w:szCs w:val="22"/>
          <w:lang w:val="fr-FR"/>
        </w:rPr>
      </w:pPr>
    </w:p>
    <w:p w14:paraId="358EB7FD" w14:textId="77777777" w:rsidR="00F2202F" w:rsidRPr="00555796" w:rsidRDefault="00F2202F" w:rsidP="00F2202F">
      <w:pPr>
        <w:widowControl w:val="0"/>
        <w:autoSpaceDE w:val="0"/>
        <w:autoSpaceDN w:val="0"/>
        <w:rPr>
          <w:rFonts w:cs="Arial"/>
          <w:snapToGrid w:val="0"/>
          <w:spacing w:val="-2"/>
          <w:szCs w:val="22"/>
          <w:lang w:val="fr-FR"/>
        </w:rPr>
      </w:pPr>
      <w:r w:rsidRPr="00555796">
        <w:rPr>
          <w:rFonts w:cs="Arial"/>
          <w:snapToGrid w:val="0"/>
          <w:spacing w:val="-2"/>
          <w:szCs w:val="22"/>
          <w:lang w:val="fr"/>
        </w:rPr>
        <w:t>et, d'autre part,</w:t>
      </w:r>
    </w:p>
    <w:p w14:paraId="3F353981" w14:textId="77777777" w:rsidR="00F2202F" w:rsidRPr="00555796" w:rsidRDefault="00F2202F" w:rsidP="00F2202F">
      <w:pPr>
        <w:widowControl w:val="0"/>
        <w:autoSpaceDE w:val="0"/>
        <w:autoSpaceDN w:val="0"/>
        <w:rPr>
          <w:rFonts w:cs="Arial"/>
          <w:snapToGrid w:val="0"/>
          <w:spacing w:val="-2"/>
          <w:szCs w:val="22"/>
          <w:lang w:val="fr-FR"/>
        </w:rPr>
      </w:pPr>
    </w:p>
    <w:p w14:paraId="77EBE679" w14:textId="77777777" w:rsidR="00F2202F" w:rsidRPr="00555796" w:rsidRDefault="00F2202F" w:rsidP="00F2202F">
      <w:pPr>
        <w:widowControl w:val="0"/>
        <w:autoSpaceDE w:val="0"/>
        <w:autoSpaceDN w:val="0"/>
        <w:rPr>
          <w:rFonts w:cs="Arial"/>
          <w:snapToGrid w:val="0"/>
          <w:spacing w:val="-2"/>
          <w:szCs w:val="22"/>
          <w:lang w:val="fr-FR"/>
        </w:rPr>
      </w:pPr>
      <w:r w:rsidRPr="00555796">
        <w:rPr>
          <w:rFonts w:cs="Arial"/>
          <w:snapToGrid w:val="0"/>
          <w:spacing w:val="-2"/>
          <w:szCs w:val="22"/>
          <w:lang w:val="fr"/>
        </w:rPr>
        <w:tab/>
        <w:t>les organismes assureurs, deuxième contractant,</w:t>
      </w:r>
    </w:p>
    <w:p w14:paraId="2FF59D47" w14:textId="77777777" w:rsidR="00F2202F" w:rsidRPr="00555796" w:rsidRDefault="00F2202F" w:rsidP="00F2202F">
      <w:pPr>
        <w:widowControl w:val="0"/>
        <w:autoSpaceDE w:val="0"/>
        <w:autoSpaceDN w:val="0"/>
        <w:rPr>
          <w:rFonts w:cs="Arial"/>
          <w:snapToGrid w:val="0"/>
          <w:spacing w:val="-2"/>
          <w:szCs w:val="22"/>
          <w:lang w:val="fr-FR"/>
        </w:rPr>
      </w:pPr>
    </w:p>
    <w:p w14:paraId="7C9F873A" w14:textId="77777777" w:rsidR="00F2202F" w:rsidRPr="00555796" w:rsidRDefault="00F2202F" w:rsidP="00F2202F">
      <w:pPr>
        <w:widowControl w:val="0"/>
        <w:autoSpaceDE w:val="0"/>
        <w:autoSpaceDN w:val="0"/>
        <w:ind w:left="720"/>
        <w:rPr>
          <w:rFonts w:cs="Arial"/>
          <w:snapToGrid w:val="0"/>
          <w:spacing w:val="-2"/>
          <w:szCs w:val="22"/>
          <w:lang w:val="fr-FR"/>
        </w:rPr>
      </w:pPr>
      <w:r w:rsidRPr="00555796">
        <w:rPr>
          <w:rFonts w:cs="Arial"/>
          <w:snapToGrid w:val="0"/>
          <w:spacing w:val="-2"/>
          <w:szCs w:val="22"/>
          <w:lang w:val="fr-FR"/>
        </w:rPr>
        <w:t xml:space="preserve">le médecin généraliste détenteur du DMG et les dispensateurs de soins de première ligne, troisième contractant </w:t>
      </w:r>
    </w:p>
    <w:p w14:paraId="0F13C57E" w14:textId="77777777" w:rsidR="00F2202F" w:rsidRPr="00555796" w:rsidRDefault="00F2202F" w:rsidP="00F2202F">
      <w:pPr>
        <w:widowControl w:val="0"/>
        <w:autoSpaceDE w:val="0"/>
        <w:autoSpaceDN w:val="0"/>
        <w:rPr>
          <w:rFonts w:cs="Arial"/>
          <w:snapToGrid w:val="0"/>
          <w:spacing w:val="-2"/>
          <w:szCs w:val="22"/>
          <w:lang w:val="fr-FR"/>
        </w:rPr>
      </w:pPr>
    </w:p>
    <w:p w14:paraId="048C2B59" w14:textId="56B0F3FE" w:rsidR="00F2202F" w:rsidRPr="00555796" w:rsidRDefault="00F2202F" w:rsidP="5D490CF2">
      <w:pPr>
        <w:widowControl w:val="0"/>
        <w:autoSpaceDE w:val="0"/>
        <w:autoSpaceDN w:val="0"/>
        <w:ind w:firstLine="720"/>
        <w:rPr>
          <w:rFonts w:cs="Arial"/>
          <w:snapToGrid w:val="0"/>
          <w:spacing w:val="-2"/>
          <w:lang w:val="fr-FR"/>
        </w:rPr>
      </w:pPr>
      <w:r w:rsidRPr="5D490CF2">
        <w:rPr>
          <w:rFonts w:cs="Arial"/>
          <w:snapToGrid w:val="0"/>
          <w:spacing w:val="-2"/>
          <w:lang w:val="fr-FR"/>
        </w:rPr>
        <w:t xml:space="preserve">le neuropsychologue et l'ergothérapeute de deuxième ligne, quatrième </w:t>
      </w:r>
      <w:r w:rsidRPr="003A7159">
        <w:rPr>
          <w:lang w:val="fr-BE"/>
        </w:rPr>
        <w:tab/>
      </w:r>
      <w:r w:rsidR="0D41CB32" w:rsidRPr="5D490CF2">
        <w:rPr>
          <w:rFonts w:cs="Arial"/>
          <w:snapToGrid w:val="0"/>
          <w:spacing w:val="-2"/>
          <w:lang w:val="fr-FR"/>
        </w:rPr>
        <w:t xml:space="preserve">         </w:t>
      </w:r>
      <w:r w:rsidRPr="003A7159">
        <w:rPr>
          <w:lang w:val="fr-BE"/>
        </w:rPr>
        <w:tab/>
      </w:r>
      <w:r w:rsidR="6A70BF09" w:rsidRPr="5D490CF2">
        <w:rPr>
          <w:rFonts w:cs="Arial"/>
          <w:snapToGrid w:val="0"/>
          <w:spacing w:val="-2"/>
          <w:lang w:val="fr-FR"/>
        </w:rPr>
        <w:t>c</w:t>
      </w:r>
      <w:r w:rsidRPr="5D490CF2">
        <w:rPr>
          <w:rFonts w:cs="Arial"/>
          <w:snapToGrid w:val="0"/>
          <w:spacing w:val="-2"/>
          <w:lang w:val="fr-FR"/>
        </w:rPr>
        <w:t>ontractant</w:t>
      </w:r>
    </w:p>
    <w:p w14:paraId="1067AE22" w14:textId="77777777" w:rsidR="00F2202F" w:rsidRPr="00555796" w:rsidRDefault="00F2202F" w:rsidP="00F2202F">
      <w:pPr>
        <w:widowControl w:val="0"/>
        <w:autoSpaceDE w:val="0"/>
        <w:autoSpaceDN w:val="0"/>
        <w:rPr>
          <w:rFonts w:eastAsia="Arial" w:cs="Arial"/>
          <w:szCs w:val="22"/>
          <w:lang w:val="fr-FR"/>
        </w:rPr>
      </w:pPr>
    </w:p>
    <w:p w14:paraId="748FF5B0" w14:textId="77777777" w:rsidR="00F2202F" w:rsidRPr="00555796" w:rsidRDefault="00F2202F" w:rsidP="00F2202F">
      <w:pPr>
        <w:widowControl w:val="0"/>
        <w:autoSpaceDE w:val="0"/>
        <w:autoSpaceDN w:val="0"/>
        <w:rPr>
          <w:rFonts w:eastAsia="Arial" w:cs="Arial"/>
          <w:szCs w:val="22"/>
          <w:lang w:val="fr-BE"/>
        </w:rPr>
      </w:pPr>
    </w:p>
    <w:p w14:paraId="51D148A3" w14:textId="77777777" w:rsidR="00F2202F" w:rsidRPr="00555796" w:rsidRDefault="00F2202F" w:rsidP="00F2202F">
      <w:pPr>
        <w:widowControl w:val="0"/>
        <w:autoSpaceDE w:val="0"/>
        <w:autoSpaceDN w:val="0"/>
        <w:ind w:right="955"/>
        <w:jc w:val="both"/>
        <w:rPr>
          <w:rFonts w:eastAsia="Arial" w:cs="Arial"/>
          <w:b/>
          <w:szCs w:val="22"/>
          <w:lang w:val="fr-BE"/>
        </w:rPr>
      </w:pPr>
      <w:r w:rsidRPr="00555796">
        <w:rPr>
          <w:rFonts w:eastAsia="Arial" w:cs="Arial"/>
          <w:b/>
          <w:szCs w:val="22"/>
          <w:lang w:val="fr-FR"/>
        </w:rPr>
        <w:t xml:space="preserve">Article 7. </w:t>
      </w:r>
    </w:p>
    <w:p w14:paraId="64DC7E0A" w14:textId="77777777" w:rsidR="00F2202F" w:rsidRPr="00555796" w:rsidRDefault="00F2202F" w:rsidP="00F2202F">
      <w:pPr>
        <w:widowControl w:val="0"/>
        <w:autoSpaceDE w:val="0"/>
        <w:autoSpaceDN w:val="0"/>
        <w:ind w:right="955"/>
        <w:jc w:val="both"/>
        <w:rPr>
          <w:rFonts w:eastAsia="Arial" w:cs="Arial"/>
          <w:bCs/>
          <w:szCs w:val="22"/>
          <w:lang w:val="fr-BE"/>
        </w:rPr>
      </w:pPr>
      <w:r w:rsidRPr="00555796">
        <w:rPr>
          <w:rFonts w:eastAsia="Arial" w:cs="Arial"/>
          <w:bCs/>
          <w:szCs w:val="22"/>
          <w:lang w:val="fr-FR"/>
        </w:rPr>
        <w:t xml:space="preserve">L'article 7 de la convention du 10 juin 2024 est remplacé par ce qui suit : </w:t>
      </w:r>
    </w:p>
    <w:p w14:paraId="79DC23E4" w14:textId="77777777" w:rsidR="00F2202F" w:rsidRPr="00555796" w:rsidRDefault="00F2202F" w:rsidP="00F2202F">
      <w:pPr>
        <w:ind w:right="4"/>
        <w:rPr>
          <w:rFonts w:cs="Arial"/>
          <w:szCs w:val="22"/>
          <w:lang w:val="fr-BE"/>
        </w:rPr>
      </w:pPr>
    </w:p>
    <w:p w14:paraId="0D59CF01" w14:textId="77777777" w:rsidR="00F2202F" w:rsidRPr="00555796" w:rsidRDefault="00F2202F" w:rsidP="00F2202F">
      <w:pPr>
        <w:rPr>
          <w:rFonts w:eastAsia="Yu Gothic Light"/>
          <w:b/>
          <w:color w:val="2F5496"/>
          <w:sz w:val="24"/>
          <w:szCs w:val="26"/>
          <w:lang w:val="fr-BE"/>
        </w:rPr>
      </w:pPr>
      <w:r w:rsidRPr="00555796">
        <w:rPr>
          <w:rFonts w:eastAsia="Yu Gothic Light"/>
          <w:b/>
          <w:color w:val="2F5496"/>
          <w:sz w:val="24"/>
          <w:szCs w:val="26"/>
          <w:lang w:val="fr-FR"/>
        </w:rPr>
        <w:t>Art. 7. Durée</w:t>
      </w:r>
    </w:p>
    <w:p w14:paraId="4966FF80" w14:textId="77777777" w:rsidR="00F2202F" w:rsidRPr="00555796" w:rsidRDefault="00F2202F" w:rsidP="00F2202F">
      <w:pPr>
        <w:tabs>
          <w:tab w:val="right" w:pos="8080"/>
        </w:tabs>
        <w:ind w:right="4"/>
        <w:jc w:val="both"/>
        <w:rPr>
          <w:sz w:val="20"/>
          <w:lang w:val="fr-BE"/>
        </w:rPr>
      </w:pPr>
      <w:r w:rsidRPr="00555796">
        <w:rPr>
          <w:sz w:val="20"/>
          <w:lang w:val="fr-BE"/>
        </w:rPr>
        <w:t>La présente convention prend effet le 1</w:t>
      </w:r>
      <w:r w:rsidRPr="00555796">
        <w:rPr>
          <w:sz w:val="20"/>
          <w:vertAlign w:val="superscript"/>
          <w:lang w:val="fr-BE"/>
        </w:rPr>
        <w:t>er</w:t>
      </w:r>
      <w:r w:rsidRPr="00555796">
        <w:rPr>
          <w:sz w:val="20"/>
          <w:lang w:val="fr-BE"/>
        </w:rPr>
        <w:t xml:space="preserve"> juillet 2024 et arrive à échéance le 31 décembre </w:t>
      </w:r>
      <w:r w:rsidRPr="00555796">
        <w:rPr>
          <w:sz w:val="20"/>
          <w:lang w:val="fr-FR"/>
        </w:rPr>
        <w:t xml:space="preserve">2026. </w:t>
      </w:r>
    </w:p>
    <w:p w14:paraId="0F64BCCD" w14:textId="77777777" w:rsidR="00F2202F" w:rsidRPr="00555796" w:rsidRDefault="00F2202F" w:rsidP="00F2202F">
      <w:pPr>
        <w:tabs>
          <w:tab w:val="right" w:pos="8080"/>
        </w:tabs>
        <w:ind w:right="4"/>
        <w:jc w:val="both"/>
        <w:rPr>
          <w:sz w:val="20"/>
          <w:highlight w:val="yellow"/>
          <w:lang w:val="fr-BE"/>
        </w:rPr>
      </w:pPr>
    </w:p>
    <w:p w14:paraId="26ABBC25" w14:textId="06AD3D22" w:rsidR="00F2202F" w:rsidRPr="00555796" w:rsidRDefault="00F2202F" w:rsidP="3402E999">
      <w:pPr>
        <w:jc w:val="both"/>
        <w:rPr>
          <w:sz w:val="20"/>
          <w:lang w:val="fr-BE"/>
        </w:rPr>
      </w:pPr>
      <w:r w:rsidRPr="4499CC43">
        <w:rPr>
          <w:sz w:val="20"/>
          <w:lang w:val="fr-FR"/>
        </w:rPr>
        <w:t>Pour tout traitement commencé avant la fin de cette convention, les prestations effectuées au plus tard le 31 décembre 2026 seront prises en charge. Après le 1</w:t>
      </w:r>
      <w:r w:rsidRPr="4499CC43">
        <w:rPr>
          <w:sz w:val="20"/>
          <w:vertAlign w:val="superscript"/>
          <w:lang w:val="fr-FR"/>
        </w:rPr>
        <w:t>er</w:t>
      </w:r>
      <w:r w:rsidRPr="4499CC43">
        <w:rPr>
          <w:sz w:val="20"/>
          <w:lang w:val="fr-FR"/>
        </w:rPr>
        <w:t xml:space="preserve"> janvier 2027, aucun</w:t>
      </w:r>
      <w:r w:rsidR="29DA5375" w:rsidRPr="4499CC43">
        <w:rPr>
          <w:sz w:val="20"/>
          <w:lang w:val="fr-FR"/>
        </w:rPr>
        <w:t>e</w:t>
      </w:r>
      <w:r w:rsidRPr="4499CC43">
        <w:rPr>
          <w:sz w:val="20"/>
          <w:lang w:val="fr-FR"/>
        </w:rPr>
        <w:t xml:space="preserve"> prestation ne pourra être attestée en vertu de cette convention.</w:t>
      </w:r>
    </w:p>
    <w:p w14:paraId="255DAFB5" w14:textId="77777777" w:rsidR="00F2202F" w:rsidRPr="00555796" w:rsidRDefault="00F2202F" w:rsidP="00F2202F">
      <w:pPr>
        <w:jc w:val="both"/>
        <w:rPr>
          <w:sz w:val="20"/>
          <w:lang w:val="fr-BE"/>
        </w:rPr>
      </w:pPr>
    </w:p>
    <w:p w14:paraId="162A8B8C" w14:textId="6832328A" w:rsidR="00F2202F" w:rsidRPr="00555796" w:rsidRDefault="00F2202F" w:rsidP="76BFBE23">
      <w:pPr>
        <w:jc w:val="both"/>
        <w:rPr>
          <w:sz w:val="20"/>
          <w:lang w:val="fr-BE"/>
        </w:rPr>
      </w:pPr>
      <w:r w:rsidRPr="4FB5E54D">
        <w:rPr>
          <w:sz w:val="20"/>
          <w:lang w:val="fr-FR"/>
        </w:rPr>
        <w:t>S'il existe une nouvelle convention avant le 31 décembre 2026 dans lequel les patients atteints de Covid long peuvent être inclus, les nouveaux patients doivent être immédiatement intégrés dans cette nouvelle convention.</w:t>
      </w:r>
    </w:p>
    <w:p w14:paraId="793836B3" w14:textId="77777777" w:rsidR="00F2202F" w:rsidRPr="00555796" w:rsidRDefault="00F2202F" w:rsidP="00F2202F">
      <w:pPr>
        <w:rPr>
          <w:sz w:val="20"/>
          <w:lang w:val="fr-BE"/>
        </w:rPr>
      </w:pPr>
    </w:p>
    <w:p w14:paraId="7C975DBF" w14:textId="77777777" w:rsidR="00F2202F" w:rsidRPr="00555796" w:rsidRDefault="00F2202F" w:rsidP="00F2202F">
      <w:pPr>
        <w:rPr>
          <w:sz w:val="20"/>
          <w:lang w:val="fr-BE"/>
        </w:rPr>
      </w:pPr>
    </w:p>
    <w:p w14:paraId="55F457CE" w14:textId="77777777" w:rsidR="00F2202F" w:rsidRPr="00555796" w:rsidRDefault="00F2202F" w:rsidP="00F2202F">
      <w:pPr>
        <w:widowControl w:val="0"/>
        <w:autoSpaceDE w:val="0"/>
        <w:autoSpaceDN w:val="0"/>
        <w:ind w:right="955"/>
        <w:jc w:val="both"/>
        <w:rPr>
          <w:rFonts w:eastAsia="Arial" w:cs="Arial"/>
          <w:b/>
          <w:szCs w:val="22"/>
          <w:lang w:val="fr-BE"/>
        </w:rPr>
      </w:pPr>
      <w:r w:rsidRPr="00555796">
        <w:rPr>
          <w:rFonts w:eastAsia="Arial" w:cs="Arial"/>
          <w:b/>
          <w:szCs w:val="22"/>
          <w:lang w:val="fr-FR"/>
        </w:rPr>
        <w:t xml:space="preserve">Article 8. </w:t>
      </w:r>
    </w:p>
    <w:p w14:paraId="19D95793" w14:textId="77777777" w:rsidR="00F2202F" w:rsidRPr="00555796" w:rsidRDefault="00F2202F" w:rsidP="76BFBE23">
      <w:pPr>
        <w:widowControl w:val="0"/>
        <w:autoSpaceDE w:val="0"/>
        <w:autoSpaceDN w:val="0"/>
        <w:ind w:right="955"/>
        <w:jc w:val="both"/>
        <w:rPr>
          <w:sz w:val="20"/>
          <w:lang w:val="fr-BE"/>
        </w:rPr>
      </w:pPr>
      <w:r w:rsidRPr="4FB5E54D">
        <w:rPr>
          <w:sz w:val="20"/>
          <w:lang w:val="fr-FR"/>
        </w:rPr>
        <w:t xml:space="preserve">L'article 8 de la convention du 10 juin 2024 est supprimé. </w:t>
      </w:r>
    </w:p>
    <w:p w14:paraId="37DF4495" w14:textId="6BA52796" w:rsidR="000D6223" w:rsidRPr="00F2202F" w:rsidRDefault="000D6223" w:rsidP="36F0002B">
      <w:pPr>
        <w:rPr>
          <w:sz w:val="20"/>
          <w:lang w:val="fr-BE"/>
        </w:rPr>
      </w:pPr>
    </w:p>
    <w:sectPr w:rsidR="000D6223" w:rsidRPr="00F2202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2F"/>
    <w:rsid w:val="000D6223"/>
    <w:rsid w:val="001E00BA"/>
    <w:rsid w:val="00200730"/>
    <w:rsid w:val="0024368C"/>
    <w:rsid w:val="003A7159"/>
    <w:rsid w:val="004E56A4"/>
    <w:rsid w:val="00BB6B2E"/>
    <w:rsid w:val="00F2202F"/>
    <w:rsid w:val="095EDC5D"/>
    <w:rsid w:val="0AFFD5B3"/>
    <w:rsid w:val="0D41CB32"/>
    <w:rsid w:val="11B25D37"/>
    <w:rsid w:val="1A35EAA8"/>
    <w:rsid w:val="22AB74B7"/>
    <w:rsid w:val="29DA5375"/>
    <w:rsid w:val="2B5F7091"/>
    <w:rsid w:val="305C4160"/>
    <w:rsid w:val="3402E999"/>
    <w:rsid w:val="36F0002B"/>
    <w:rsid w:val="3AADFB57"/>
    <w:rsid w:val="4499CC43"/>
    <w:rsid w:val="4FB5E54D"/>
    <w:rsid w:val="5D490CF2"/>
    <w:rsid w:val="5EF49829"/>
    <w:rsid w:val="65A4862F"/>
    <w:rsid w:val="669E546E"/>
    <w:rsid w:val="6A42D5FA"/>
    <w:rsid w:val="6A70BF09"/>
    <w:rsid w:val="75B73AB9"/>
    <w:rsid w:val="76BFBE23"/>
    <w:rsid w:val="77EB90A1"/>
    <w:rsid w:val="7C4BA815"/>
    <w:rsid w:val="7D2FC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23A71"/>
  <w15:chartTrackingRefBased/>
  <w15:docId w15:val="{BB63E94B-DE92-485D-B7CE-29FDC4E9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02F"/>
    <w:rPr>
      <w:rFonts w:ascii="Arial" w:hAnsi="Arial"/>
      <w:kern w:val="0"/>
      <w:sz w:val="22"/>
      <w:lang w:val="nl-BE" w:eastAsia="en-US"/>
      <w14:ligatures w14:val="none"/>
    </w:rPr>
  </w:style>
  <w:style w:type="paragraph" w:styleId="Heading1">
    <w:name w:val="heading 1"/>
    <w:basedOn w:val="Normal"/>
    <w:next w:val="Normal"/>
    <w:link w:val="Heading1Char"/>
    <w:qFormat/>
    <w:rsid w:val="00F2202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semiHidden/>
    <w:unhideWhenUsed/>
    <w:qFormat/>
    <w:rsid w:val="00F2202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semiHidden/>
    <w:unhideWhenUsed/>
    <w:qFormat/>
    <w:rsid w:val="00F2202F"/>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semiHidden/>
    <w:unhideWhenUsed/>
    <w:qFormat/>
    <w:rsid w:val="00F2202F"/>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semiHidden/>
    <w:unhideWhenUsed/>
    <w:qFormat/>
    <w:rsid w:val="00F2202F"/>
    <w:pPr>
      <w:keepNext/>
      <w:keepLines/>
      <w:spacing w:before="80" w:after="40"/>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semiHidden/>
    <w:unhideWhenUsed/>
    <w:qFormat/>
    <w:rsid w:val="00F2202F"/>
    <w:pPr>
      <w:keepNext/>
      <w:keepLines/>
      <w:spacing w:before="40"/>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semiHidden/>
    <w:unhideWhenUsed/>
    <w:qFormat/>
    <w:rsid w:val="00F2202F"/>
    <w:pPr>
      <w:keepNext/>
      <w:keepLines/>
      <w:spacing w:before="40"/>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semiHidden/>
    <w:unhideWhenUsed/>
    <w:qFormat/>
    <w:rsid w:val="00F2202F"/>
    <w:pPr>
      <w:keepNext/>
      <w:keepLines/>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semiHidden/>
    <w:unhideWhenUsed/>
    <w:qFormat/>
    <w:rsid w:val="00F2202F"/>
    <w:pPr>
      <w:keepNext/>
      <w:keepLines/>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02F"/>
    <w:rPr>
      <w:rFonts w:asciiTheme="majorHAnsi" w:eastAsiaTheme="majorEastAsia" w:hAnsiTheme="majorHAnsi" w:cstheme="majorBidi"/>
      <w:color w:val="0F4761" w:themeColor="accent1" w:themeShade="BF"/>
      <w:sz w:val="40"/>
      <w:szCs w:val="40"/>
      <w:lang w:val="en-US" w:eastAsia="en-US"/>
    </w:rPr>
  </w:style>
  <w:style w:type="character" w:customStyle="1" w:styleId="Heading2Char">
    <w:name w:val="Heading 2 Char"/>
    <w:basedOn w:val="DefaultParagraphFont"/>
    <w:link w:val="Heading2"/>
    <w:semiHidden/>
    <w:rsid w:val="00F2202F"/>
    <w:rPr>
      <w:rFonts w:asciiTheme="majorHAnsi" w:eastAsiaTheme="majorEastAsia" w:hAnsiTheme="majorHAnsi" w:cstheme="majorBidi"/>
      <w:color w:val="0F4761" w:themeColor="accent1" w:themeShade="BF"/>
      <w:sz w:val="32"/>
      <w:szCs w:val="32"/>
      <w:lang w:val="en-US" w:eastAsia="en-US"/>
    </w:rPr>
  </w:style>
  <w:style w:type="character" w:customStyle="1" w:styleId="Heading3Char">
    <w:name w:val="Heading 3 Char"/>
    <w:basedOn w:val="DefaultParagraphFont"/>
    <w:link w:val="Heading3"/>
    <w:semiHidden/>
    <w:rsid w:val="00F2202F"/>
    <w:rPr>
      <w:rFonts w:asciiTheme="minorHAnsi" w:eastAsiaTheme="majorEastAsia" w:hAnsiTheme="minorHAnsi" w:cstheme="majorBidi"/>
      <w:color w:val="0F4761" w:themeColor="accent1" w:themeShade="BF"/>
      <w:sz w:val="28"/>
      <w:szCs w:val="28"/>
      <w:lang w:val="en-US" w:eastAsia="en-US"/>
    </w:rPr>
  </w:style>
  <w:style w:type="character" w:customStyle="1" w:styleId="Heading4Char">
    <w:name w:val="Heading 4 Char"/>
    <w:basedOn w:val="DefaultParagraphFont"/>
    <w:link w:val="Heading4"/>
    <w:semiHidden/>
    <w:rsid w:val="00F2202F"/>
    <w:rPr>
      <w:rFonts w:asciiTheme="minorHAnsi" w:eastAsiaTheme="majorEastAsia" w:hAnsiTheme="minorHAnsi" w:cstheme="majorBidi"/>
      <w:i/>
      <w:iCs/>
      <w:color w:val="0F4761" w:themeColor="accent1" w:themeShade="BF"/>
      <w:sz w:val="24"/>
      <w:szCs w:val="24"/>
      <w:lang w:val="en-US" w:eastAsia="en-US"/>
    </w:rPr>
  </w:style>
  <w:style w:type="character" w:customStyle="1" w:styleId="Heading5Char">
    <w:name w:val="Heading 5 Char"/>
    <w:basedOn w:val="DefaultParagraphFont"/>
    <w:link w:val="Heading5"/>
    <w:semiHidden/>
    <w:rsid w:val="00F2202F"/>
    <w:rPr>
      <w:rFonts w:asciiTheme="minorHAnsi" w:eastAsiaTheme="majorEastAsia" w:hAnsiTheme="minorHAnsi" w:cstheme="majorBidi"/>
      <w:color w:val="0F4761" w:themeColor="accent1" w:themeShade="BF"/>
      <w:sz w:val="24"/>
      <w:szCs w:val="24"/>
      <w:lang w:val="en-US" w:eastAsia="en-US"/>
    </w:rPr>
  </w:style>
  <w:style w:type="character" w:customStyle="1" w:styleId="Heading6Char">
    <w:name w:val="Heading 6 Char"/>
    <w:basedOn w:val="DefaultParagraphFont"/>
    <w:link w:val="Heading6"/>
    <w:semiHidden/>
    <w:rsid w:val="00F2202F"/>
    <w:rPr>
      <w:rFonts w:asciiTheme="minorHAnsi" w:eastAsiaTheme="majorEastAsia" w:hAnsiTheme="minorHAnsi" w:cstheme="majorBidi"/>
      <w:i/>
      <w:iCs/>
      <w:color w:val="595959" w:themeColor="text1" w:themeTint="A6"/>
      <w:sz w:val="24"/>
      <w:szCs w:val="24"/>
      <w:lang w:val="en-US" w:eastAsia="en-US"/>
    </w:rPr>
  </w:style>
  <w:style w:type="character" w:customStyle="1" w:styleId="Heading7Char">
    <w:name w:val="Heading 7 Char"/>
    <w:basedOn w:val="DefaultParagraphFont"/>
    <w:link w:val="Heading7"/>
    <w:semiHidden/>
    <w:rsid w:val="00F2202F"/>
    <w:rPr>
      <w:rFonts w:asciiTheme="minorHAnsi" w:eastAsiaTheme="majorEastAsia" w:hAnsiTheme="minorHAnsi" w:cstheme="majorBidi"/>
      <w:color w:val="595959" w:themeColor="text1" w:themeTint="A6"/>
      <w:sz w:val="24"/>
      <w:szCs w:val="24"/>
      <w:lang w:val="en-US" w:eastAsia="en-US"/>
    </w:rPr>
  </w:style>
  <w:style w:type="character" w:customStyle="1" w:styleId="Heading8Char">
    <w:name w:val="Heading 8 Char"/>
    <w:basedOn w:val="DefaultParagraphFont"/>
    <w:link w:val="Heading8"/>
    <w:semiHidden/>
    <w:rsid w:val="00F2202F"/>
    <w:rPr>
      <w:rFonts w:asciiTheme="minorHAnsi" w:eastAsiaTheme="majorEastAsia" w:hAnsiTheme="minorHAnsi" w:cstheme="majorBidi"/>
      <w:i/>
      <w:iCs/>
      <w:color w:val="272727" w:themeColor="text1" w:themeTint="D8"/>
      <w:sz w:val="24"/>
      <w:szCs w:val="24"/>
      <w:lang w:val="en-US" w:eastAsia="en-US"/>
    </w:rPr>
  </w:style>
  <w:style w:type="character" w:customStyle="1" w:styleId="Heading9Char">
    <w:name w:val="Heading 9 Char"/>
    <w:basedOn w:val="DefaultParagraphFont"/>
    <w:link w:val="Heading9"/>
    <w:semiHidden/>
    <w:rsid w:val="00F2202F"/>
    <w:rPr>
      <w:rFonts w:asciiTheme="minorHAnsi" w:eastAsiaTheme="majorEastAsia" w:hAnsiTheme="minorHAnsi" w:cstheme="majorBidi"/>
      <w:color w:val="272727" w:themeColor="text1" w:themeTint="D8"/>
      <w:sz w:val="24"/>
      <w:szCs w:val="24"/>
      <w:lang w:val="en-US" w:eastAsia="en-US"/>
    </w:rPr>
  </w:style>
  <w:style w:type="paragraph" w:styleId="Title">
    <w:name w:val="Title"/>
    <w:basedOn w:val="Normal"/>
    <w:next w:val="Normal"/>
    <w:link w:val="TitleChar"/>
    <w:qFormat/>
    <w:rsid w:val="00F2202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F2202F"/>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F2202F"/>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F2202F"/>
    <w:rPr>
      <w:rFonts w:asciiTheme="minorHAnsi" w:eastAsiaTheme="majorEastAsia" w:hAnsiTheme="minorHAnsi"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F2202F"/>
    <w:pPr>
      <w:spacing w:before="160" w:after="160"/>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2202F"/>
    <w:rPr>
      <w:rFonts w:ascii="Arial" w:hAnsi="Arial"/>
      <w:i/>
      <w:iCs/>
      <w:color w:val="404040" w:themeColor="text1" w:themeTint="BF"/>
      <w:sz w:val="24"/>
      <w:szCs w:val="24"/>
      <w:lang w:val="en-US" w:eastAsia="en-US"/>
    </w:rPr>
  </w:style>
  <w:style w:type="paragraph" w:styleId="ListParagraph">
    <w:name w:val="List Paragraph"/>
    <w:basedOn w:val="Normal"/>
    <w:uiPriority w:val="34"/>
    <w:qFormat/>
    <w:rsid w:val="00F2202F"/>
    <w:pPr>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2202F"/>
    <w:rPr>
      <w:i/>
      <w:iCs/>
      <w:color w:val="0F4761" w:themeColor="accent1" w:themeShade="BF"/>
    </w:rPr>
  </w:style>
  <w:style w:type="paragraph" w:styleId="IntenseQuote">
    <w:name w:val="Intense Quote"/>
    <w:basedOn w:val="Normal"/>
    <w:next w:val="Normal"/>
    <w:link w:val="IntenseQuoteChar"/>
    <w:uiPriority w:val="30"/>
    <w:qFormat/>
    <w:rsid w:val="00F22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2202F"/>
    <w:rPr>
      <w:rFonts w:ascii="Arial" w:hAnsi="Arial"/>
      <w:i/>
      <w:iCs/>
      <w:color w:val="0F4761" w:themeColor="accent1" w:themeShade="BF"/>
      <w:sz w:val="24"/>
      <w:szCs w:val="24"/>
      <w:lang w:val="en-US" w:eastAsia="en-US"/>
    </w:rPr>
  </w:style>
  <w:style w:type="character" w:styleId="IntenseReference">
    <w:name w:val="Intense Reference"/>
    <w:basedOn w:val="DefaultParagraphFont"/>
    <w:uiPriority w:val="32"/>
    <w:qFormat/>
    <w:rsid w:val="00F2202F"/>
    <w:rPr>
      <w:b/>
      <w:bCs/>
      <w:smallCaps/>
      <w:color w:val="0F4761" w:themeColor="accent1" w:themeShade="BF"/>
      <w:spacing w:val="5"/>
    </w:rPr>
  </w:style>
  <w:style w:type="paragraph" w:styleId="BodyText">
    <w:name w:val="Body Text"/>
    <w:basedOn w:val="Normal"/>
    <w:link w:val="BodyTextChar"/>
    <w:rsid w:val="00F2202F"/>
    <w:pPr>
      <w:spacing w:after="120"/>
    </w:pPr>
  </w:style>
  <w:style w:type="character" w:customStyle="1" w:styleId="BodyTextChar">
    <w:name w:val="Body Text Char"/>
    <w:basedOn w:val="DefaultParagraphFont"/>
    <w:link w:val="BodyText"/>
    <w:rsid w:val="00F2202F"/>
    <w:rPr>
      <w:rFonts w:ascii="Arial" w:hAnsi="Arial"/>
      <w:kern w:val="0"/>
      <w:sz w:val="22"/>
      <w:lang w:val="nl-BE"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53BD4-D3FA-4550-9A75-D73F9872C682}">
  <ds:schemaRefs>
    <ds:schemaRef ds:uri="http://schemas.microsoft.com/sharepoint/v3/contenttype/forms"/>
  </ds:schemaRefs>
</ds:datastoreItem>
</file>

<file path=customXml/itemProps2.xml><?xml version="1.0" encoding="utf-8"?>
<ds:datastoreItem xmlns:ds="http://schemas.openxmlformats.org/officeDocument/2006/customXml" ds:itemID="{26812435-208D-45EC-AB9E-A544D65A69EF}">
  <ds:schemaRefs>
    <ds:schemaRef ds:uri="http://schemas.microsoft.com/office/2006/metadata/properties"/>
    <ds:schemaRef ds:uri="http://schemas.microsoft.com/office/infopath/2007/PartnerControls"/>
    <ds:schemaRef ds:uri="38b3b89c-535a-463d-a80b-bad878142548"/>
    <ds:schemaRef ds:uri="52958594-2da7-401e-bef4-d71aadf473ce"/>
  </ds:schemaRefs>
</ds:datastoreItem>
</file>

<file path=customXml/itemProps3.xml><?xml version="1.0" encoding="utf-8"?>
<ds:datastoreItem xmlns:ds="http://schemas.openxmlformats.org/officeDocument/2006/customXml" ds:itemID="{7AD4387D-252C-432A-B134-E1DD52384A7F}"/>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Vertriest (RIZIV-INAMI)</dc:creator>
  <cp:keywords/>
  <dc:description/>
  <cp:lastModifiedBy>Sandrine Bingen (RIZIV-INAMI)</cp:lastModifiedBy>
  <cp:revision>10</cp:revision>
  <dcterms:created xsi:type="dcterms:W3CDTF">2026-01-06T15:55:00Z</dcterms:created>
  <dcterms:modified xsi:type="dcterms:W3CDTF">2026-01-19T11:01:00Z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