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F" w:rsidRPr="008F549A" w:rsidRDefault="0080201F">
      <w:pPr>
        <w:pStyle w:val="Titel"/>
        <w:ind w:right="-1"/>
        <w:rPr>
          <w:rFonts w:ascii="Arial" w:hAnsi="Arial" w:cs="Arial"/>
          <w:lang w:val="fr-BE"/>
        </w:rPr>
      </w:pPr>
      <w:bookmarkStart w:id="0" w:name="_GoBack"/>
      <w:bookmarkEnd w:id="0"/>
      <w:r w:rsidRPr="008F549A">
        <w:rPr>
          <w:rFonts w:ascii="Arial" w:hAnsi="Arial" w:cs="Arial"/>
          <w:lang w:val="fr-BE"/>
        </w:rPr>
        <w:t>INSTITUT NATIONAL D’ASSURANCE MALADIE-INVALIDITE</w:t>
      </w:r>
    </w:p>
    <w:p w:rsidR="0080201F" w:rsidRPr="008F549A" w:rsidRDefault="0080201F">
      <w:pPr>
        <w:ind w:right="-1"/>
        <w:jc w:val="center"/>
        <w:rPr>
          <w:rFonts w:ascii="Arial" w:hAnsi="Arial" w:cs="Arial"/>
          <w:lang w:val="fr-BE"/>
        </w:rPr>
      </w:pPr>
      <w:r w:rsidRPr="008F549A">
        <w:rPr>
          <w:rFonts w:ascii="Arial" w:hAnsi="Arial" w:cs="Arial"/>
          <w:sz w:val="24"/>
          <w:lang w:val="fr-BE"/>
        </w:rPr>
        <w:t>Etablissement</w:t>
      </w:r>
      <w:r w:rsidRPr="008F549A">
        <w:rPr>
          <w:rFonts w:ascii="Arial" w:hAnsi="Arial" w:cs="Arial"/>
          <w:lang w:val="fr-BE"/>
        </w:rPr>
        <w:t xml:space="preserve"> Public institué par la loi du 9 août 1963</w:t>
      </w:r>
    </w:p>
    <w:p w:rsidR="0080201F" w:rsidRPr="008F549A" w:rsidRDefault="0080201F">
      <w:pPr>
        <w:ind w:right="-1"/>
        <w:jc w:val="center"/>
        <w:rPr>
          <w:rFonts w:ascii="Arial" w:hAnsi="Arial" w:cs="Arial"/>
          <w:lang w:val="fr-BE"/>
        </w:rPr>
      </w:pPr>
    </w:p>
    <w:p w:rsidR="0080201F" w:rsidRPr="008F549A" w:rsidRDefault="0080201F">
      <w:pPr>
        <w:pStyle w:val="Kop4"/>
        <w:rPr>
          <w:rFonts w:ascii="Arial" w:hAnsi="Arial" w:cs="Arial"/>
          <w:lang w:val="fr-BE"/>
        </w:rPr>
      </w:pPr>
      <w:r w:rsidRPr="008F549A">
        <w:rPr>
          <w:rFonts w:ascii="Arial" w:hAnsi="Arial" w:cs="Arial"/>
          <w:lang w:val="fr-BE"/>
        </w:rPr>
        <w:t>AVENUE DE TERVUREN 211 – 1150 BRUXELLES</w:t>
      </w:r>
    </w:p>
    <w:p w:rsidR="0080201F" w:rsidRPr="008F549A" w:rsidRDefault="0080201F">
      <w:pPr>
        <w:ind w:right="-1"/>
        <w:jc w:val="center"/>
        <w:rPr>
          <w:rFonts w:ascii="Arial" w:hAnsi="Arial" w:cs="Arial"/>
          <w:b/>
          <w:lang w:val="fr-BE"/>
        </w:rPr>
      </w:pPr>
      <w:r w:rsidRPr="008F549A">
        <w:rPr>
          <w:rFonts w:ascii="Arial" w:hAnsi="Arial" w:cs="Arial"/>
          <w:b/>
          <w:lang w:val="fr-BE"/>
        </w:rPr>
        <w:t>_____________________</w:t>
      </w:r>
    </w:p>
    <w:p w:rsidR="0080201F" w:rsidRPr="008F549A" w:rsidRDefault="0080201F">
      <w:pPr>
        <w:pStyle w:val="Kop1"/>
        <w:ind w:right="-1"/>
        <w:rPr>
          <w:rFonts w:ascii="Arial" w:hAnsi="Arial" w:cs="Arial"/>
          <w:lang w:val="fr-BE"/>
        </w:rPr>
      </w:pPr>
    </w:p>
    <w:p w:rsidR="0080201F" w:rsidRPr="008F549A" w:rsidRDefault="0080201F">
      <w:pPr>
        <w:pStyle w:val="Kop1"/>
        <w:ind w:right="-1"/>
        <w:rPr>
          <w:rFonts w:ascii="Arial" w:hAnsi="Arial" w:cs="Arial"/>
          <w:lang w:val="fr-BE"/>
        </w:rPr>
      </w:pPr>
      <w:r w:rsidRPr="008F549A">
        <w:rPr>
          <w:rFonts w:ascii="Arial" w:hAnsi="Arial" w:cs="Arial"/>
          <w:sz w:val="24"/>
          <w:lang w:val="fr-BE"/>
        </w:rPr>
        <w:t>Service</w:t>
      </w:r>
      <w:r w:rsidRPr="008F549A">
        <w:rPr>
          <w:rFonts w:ascii="Arial" w:hAnsi="Arial" w:cs="Arial"/>
          <w:lang w:val="fr-BE"/>
        </w:rPr>
        <w:t xml:space="preserve"> </w:t>
      </w:r>
      <w:r w:rsidRPr="008F549A">
        <w:rPr>
          <w:rFonts w:ascii="Arial" w:hAnsi="Arial" w:cs="Arial"/>
          <w:sz w:val="24"/>
          <w:lang w:val="fr-BE"/>
        </w:rPr>
        <w:t>des</w:t>
      </w:r>
      <w:r w:rsidRPr="008F549A">
        <w:rPr>
          <w:rFonts w:ascii="Arial" w:hAnsi="Arial" w:cs="Arial"/>
          <w:lang w:val="fr-BE"/>
        </w:rPr>
        <w:t xml:space="preserve"> </w:t>
      </w:r>
      <w:r w:rsidRPr="008F549A">
        <w:rPr>
          <w:rFonts w:ascii="Arial" w:hAnsi="Arial" w:cs="Arial"/>
          <w:sz w:val="24"/>
          <w:lang w:val="fr-BE"/>
        </w:rPr>
        <w:t>soins</w:t>
      </w:r>
      <w:r w:rsidRPr="008F549A">
        <w:rPr>
          <w:rFonts w:ascii="Arial" w:hAnsi="Arial" w:cs="Arial"/>
          <w:lang w:val="fr-BE"/>
        </w:rPr>
        <w:t xml:space="preserve"> </w:t>
      </w:r>
      <w:r w:rsidRPr="008F549A">
        <w:rPr>
          <w:rFonts w:ascii="Arial" w:hAnsi="Arial" w:cs="Arial"/>
          <w:sz w:val="24"/>
          <w:lang w:val="fr-BE"/>
        </w:rPr>
        <w:t>de</w:t>
      </w:r>
      <w:r w:rsidRPr="008F549A">
        <w:rPr>
          <w:rFonts w:ascii="Arial" w:hAnsi="Arial" w:cs="Arial"/>
          <w:lang w:val="fr-BE"/>
        </w:rPr>
        <w:t xml:space="preserve"> </w:t>
      </w:r>
      <w:r w:rsidRPr="008F549A">
        <w:rPr>
          <w:rFonts w:ascii="Arial" w:hAnsi="Arial" w:cs="Arial"/>
          <w:sz w:val="24"/>
          <w:lang w:val="fr-BE"/>
        </w:rPr>
        <w:t>santé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b/>
          <w:lang w:val="fr-BE"/>
        </w:rPr>
      </w:pP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AVENANT </w:t>
      </w:r>
      <w:r w:rsidR="00C85AF5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CONCERNANT L’AUTOPSIE</w:t>
      </w:r>
      <w:r w:rsidR="00C85AF5" w:rsidRPr="008F549A">
        <w:rPr>
          <w:rFonts w:ascii="Arial" w:hAnsi="Arial" w:cs="Arial"/>
          <w:spacing w:val="-3"/>
          <w:sz w:val="24"/>
          <w:u w:val="single"/>
          <w:lang w:val="fr-BE"/>
        </w:rPr>
        <w:t xml:space="preserve"> </w:t>
      </w:r>
      <w:r w:rsidR="00236702">
        <w:rPr>
          <w:rFonts w:ascii="Arial" w:hAnsi="Arial" w:cs="Arial"/>
          <w:b/>
          <w:caps/>
          <w:spacing w:val="-3"/>
          <w:sz w:val="24"/>
          <w:szCs w:val="24"/>
          <w:u w:val="single"/>
          <w:lang w:val="fr-BE"/>
        </w:rPr>
        <w:t>après le décè</w:t>
      </w:r>
      <w:r w:rsidR="00C85AF5" w:rsidRPr="008F549A">
        <w:rPr>
          <w:rFonts w:ascii="Arial" w:hAnsi="Arial" w:cs="Arial"/>
          <w:b/>
          <w:caps/>
          <w:spacing w:val="-3"/>
          <w:sz w:val="24"/>
          <w:szCs w:val="24"/>
          <w:u w:val="single"/>
          <w:lang w:val="fr-BE"/>
        </w:rPr>
        <w:t>s inopiné et médical</w:t>
      </w:r>
      <w:r w:rsidR="00C85AF5" w:rsidRPr="008F549A">
        <w:rPr>
          <w:rFonts w:ascii="Arial" w:hAnsi="Arial" w:cs="Arial"/>
          <w:b/>
          <w:caps/>
          <w:spacing w:val="-3"/>
          <w:sz w:val="24"/>
          <w:szCs w:val="24"/>
          <w:u w:val="single"/>
          <w:lang w:val="fr-BE"/>
        </w:rPr>
        <w:t>e</w:t>
      </w:r>
      <w:r w:rsidR="00C85AF5" w:rsidRPr="008F549A">
        <w:rPr>
          <w:rFonts w:ascii="Arial" w:hAnsi="Arial" w:cs="Arial"/>
          <w:b/>
          <w:caps/>
          <w:spacing w:val="-3"/>
          <w:sz w:val="24"/>
          <w:szCs w:val="24"/>
          <w:u w:val="single"/>
          <w:lang w:val="fr-BE"/>
        </w:rPr>
        <w:t>ment inexpliqué</w:t>
      </w:r>
      <w:r w:rsidR="00C85AF5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</w:t>
      </w:r>
      <w:r w:rsidR="00C85AF5" w:rsidRPr="008F549A">
        <w:rPr>
          <w:rFonts w:ascii="Arial" w:hAnsi="Arial" w:cs="Arial"/>
          <w:b/>
          <w:caps/>
          <w:spacing w:val="-3"/>
          <w:sz w:val="24"/>
          <w:szCs w:val="24"/>
          <w:u w:val="single"/>
          <w:lang w:val="fr-BE"/>
        </w:rPr>
        <w:t>d’un enfant de moins de dix-huit mois</w:t>
      </w:r>
      <w:r w:rsidR="00C85AF5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A LA CONVENTION DE RE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E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DUCATION FONCTIONNELLE RELATIVE AU MONITORING CARDIORESPIR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A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TOIRE 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à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DOMICILE DE 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Nouveau-nés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et de nourrissons présentant un ri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s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que aCCRU de mort s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u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bite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, CONCLUE ENTRE LE COMITE DE L'ASSURANCE DU SERVICE DES SOINS DE SANTE DE L'INSTITUT NATIONAL D'ASS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U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RANCE MALADIE-INVALIDITE ET  </w:t>
      </w:r>
      <w:r w:rsidR="00A133B7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A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 DANS LE CADRE DUQUEL FONCTIONNE-LA SECTION DE DIAGNOSTIC ET DE TRA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I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TEMENT </w:t>
      </w:r>
      <w:r w:rsidRPr="008F549A">
        <w:rPr>
          <w:rFonts w:ascii="Arial" w:hAnsi="Arial" w:cs="Arial"/>
          <w:b/>
          <w:caps/>
          <w:spacing w:val="-3"/>
          <w:sz w:val="24"/>
          <w:u w:val="single"/>
          <w:lang w:val="fr-BE"/>
        </w:rPr>
        <w:t>Préventif de la mort subite du nourisson, visée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PAR LA PRESENTE CONVE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N</w:t>
      </w: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TION.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985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Vu la loi relative à l'assurance obligatoire soins de santé et indemnités, coordonnée le 14 juillet 1994,</w:t>
      </w:r>
      <w:r w:rsidR="00661405">
        <w:rPr>
          <w:rFonts w:ascii="Arial" w:hAnsi="Arial" w:cs="Arial"/>
          <w:spacing w:val="-3"/>
          <w:sz w:val="24"/>
          <w:lang w:val="fr-BE"/>
        </w:rPr>
        <w:t xml:space="preserve"> </w:t>
      </w:r>
      <w:r w:rsidRPr="008F549A">
        <w:rPr>
          <w:rFonts w:ascii="Arial" w:hAnsi="Arial" w:cs="Arial"/>
          <w:spacing w:val="-3"/>
          <w:sz w:val="24"/>
          <w:lang w:val="fr-BE"/>
        </w:rPr>
        <w:t>notamment les articles 22,6</w:t>
      </w:r>
      <w:r w:rsidRPr="008F549A">
        <w:rPr>
          <w:rFonts w:ascii="Arial" w:hAnsi="Arial" w:cs="Arial"/>
          <w:spacing w:val="-3"/>
          <w:sz w:val="24"/>
          <w:lang w:val="fr-BE"/>
        </w:rPr>
        <w:sym w:font="Symbol" w:char="F0B0"/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et 23, § 3 ;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Sur proposition du Collège des médecins-directeurs institué auprès du Service des soins de santé de l'Inst</w:t>
      </w:r>
      <w:r w:rsidRPr="008F549A">
        <w:rPr>
          <w:rFonts w:ascii="Arial" w:hAnsi="Arial" w:cs="Arial"/>
          <w:spacing w:val="-3"/>
          <w:sz w:val="24"/>
          <w:lang w:val="fr-BE"/>
        </w:rPr>
        <w:t>i</w:t>
      </w:r>
      <w:r w:rsidRPr="008F549A">
        <w:rPr>
          <w:rFonts w:ascii="Arial" w:hAnsi="Arial" w:cs="Arial"/>
          <w:spacing w:val="-3"/>
          <w:sz w:val="24"/>
          <w:lang w:val="fr-BE"/>
        </w:rPr>
        <w:t>tut national d'assurance maladie-invalidité ;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Il est convenu ce qui suit</w:t>
      </w:r>
      <w:r w:rsidRPr="008F549A">
        <w:rPr>
          <w:rFonts w:ascii="Arial" w:hAnsi="Arial" w:cs="Arial"/>
          <w:spacing w:val="-3"/>
          <w:sz w:val="24"/>
          <w:shd w:val="clear" w:color="auto" w:fill="FFFFFF"/>
          <w:lang w:val="fr-BE"/>
        </w:rPr>
        <w:t xml:space="preserve"> entre </w:t>
      </w:r>
      <w:r w:rsidRPr="008F549A">
        <w:rPr>
          <w:rFonts w:ascii="Arial" w:hAnsi="Arial" w:cs="Arial"/>
          <w:spacing w:val="-3"/>
          <w:sz w:val="24"/>
          <w:lang w:val="fr-BE"/>
        </w:rPr>
        <w:t>: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985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d'une part,</w:t>
      </w:r>
    </w:p>
    <w:p w:rsidR="0080201F" w:rsidRPr="008F549A" w:rsidRDefault="0080201F">
      <w:pPr>
        <w:tabs>
          <w:tab w:val="left" w:pos="-1440"/>
          <w:tab w:val="left" w:pos="-720"/>
          <w:tab w:val="left" w:pos="0"/>
          <w:tab w:val="left" w:pos="1360"/>
          <w:tab w:val="left" w:pos="5102"/>
          <w:tab w:val="center" w:pos="6236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pStyle w:val="Bloktekst"/>
        <w:ind w:left="1440" w:right="-1"/>
        <w:rPr>
          <w:rFonts w:ascii="Arial" w:hAnsi="Arial" w:cs="Arial"/>
          <w:sz w:val="24"/>
          <w:lang w:val="fr-BE"/>
        </w:rPr>
      </w:pPr>
      <w:r w:rsidRPr="008F549A">
        <w:rPr>
          <w:rFonts w:ascii="Arial" w:hAnsi="Arial" w:cs="Arial"/>
          <w:sz w:val="24"/>
          <w:lang w:val="fr-BE"/>
        </w:rPr>
        <w:t>le Comité de l'assurance soins de santé institué auprès du Service des soins de santé de l'Institut national d'assurance maladie-invalidité</w:t>
      </w:r>
    </w:p>
    <w:p w:rsidR="0080201F" w:rsidRPr="008F549A" w:rsidRDefault="0080201F">
      <w:pPr>
        <w:tabs>
          <w:tab w:val="left" w:pos="1843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et d'autre part,</w:t>
      </w: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A133B7">
      <w:pPr>
        <w:ind w:left="1440"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à</w:t>
      </w:r>
      <w:r w:rsidR="0080201F" w:rsidRPr="008F549A">
        <w:rPr>
          <w:rFonts w:ascii="Arial" w:hAnsi="Arial" w:cs="Arial"/>
          <w:i/>
          <w:spacing w:val="-3"/>
          <w:sz w:val="24"/>
          <w:lang w:val="fr-BE"/>
        </w:rPr>
        <w:t xml:space="preserve"> 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 xml:space="preserve"> dans le cadre duquel fonctionne la section visée  par la pr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é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sente convention.</w:t>
      </w: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Article 1.</w:t>
      </w:r>
      <w:r w:rsidRPr="008F549A">
        <w:rPr>
          <w:rFonts w:ascii="Arial" w:hAnsi="Arial" w:cs="Arial"/>
          <w:spacing w:val="-3"/>
          <w:sz w:val="24"/>
          <w:lang w:val="fr-BE"/>
        </w:rPr>
        <w:tab/>
        <w:t xml:space="preserve">Vu la loi du 26 mars réglementant la pratique de l’autopsie après le 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>décès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inopiné et médicalement inexpliqué d’un enfant de moins de dix-huit mois, modifiée par les lois du 5 août 2003 et du 22 décembre 2003, un chapitre « autopsie après </w:t>
      </w:r>
      <w:r w:rsidR="00412829" w:rsidRPr="008F549A">
        <w:rPr>
          <w:rFonts w:ascii="Arial" w:hAnsi="Arial" w:cs="Arial"/>
          <w:spacing w:val="-3"/>
          <w:sz w:val="24"/>
          <w:lang w:val="fr-BE"/>
        </w:rPr>
        <w:t xml:space="preserve">le 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>décès</w:t>
      </w:r>
      <w:r w:rsidR="00412829" w:rsidRPr="008F549A">
        <w:rPr>
          <w:rFonts w:ascii="Arial" w:hAnsi="Arial" w:cs="Arial"/>
          <w:spacing w:val="-3"/>
          <w:sz w:val="24"/>
          <w:lang w:val="fr-BE"/>
        </w:rPr>
        <w:t xml:space="preserve"> inopiné et médical</w:t>
      </w:r>
      <w:r w:rsidR="00412829" w:rsidRPr="008F549A">
        <w:rPr>
          <w:rFonts w:ascii="Arial" w:hAnsi="Arial" w:cs="Arial"/>
          <w:spacing w:val="-3"/>
          <w:sz w:val="24"/>
          <w:lang w:val="fr-BE"/>
        </w:rPr>
        <w:t>e</w:t>
      </w:r>
      <w:r w:rsidR="00412829" w:rsidRPr="008F549A">
        <w:rPr>
          <w:rFonts w:ascii="Arial" w:hAnsi="Arial" w:cs="Arial"/>
          <w:spacing w:val="-3"/>
          <w:sz w:val="24"/>
          <w:lang w:val="fr-BE"/>
        </w:rPr>
        <w:t>ment inexpliqué d’un enfant de moins de dix-huit mois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» 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 xml:space="preserve">libellé comme suit 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est 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>inséré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après le chapitre « l’intervention de l’assurance » de la conve</w:t>
      </w:r>
      <w:r w:rsidRPr="008F549A">
        <w:rPr>
          <w:rFonts w:ascii="Arial" w:hAnsi="Arial" w:cs="Arial"/>
          <w:spacing w:val="-3"/>
          <w:sz w:val="24"/>
          <w:lang w:val="fr-BE"/>
        </w:rPr>
        <w:t>n</w:t>
      </w:r>
      <w:r w:rsidRPr="008F549A">
        <w:rPr>
          <w:rFonts w:ascii="Arial" w:hAnsi="Arial" w:cs="Arial"/>
          <w:spacing w:val="-3"/>
          <w:sz w:val="24"/>
          <w:lang w:val="fr-BE"/>
        </w:rPr>
        <w:t>tion mention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>née sous rubrique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>:</w:t>
      </w:r>
    </w:p>
    <w:p w:rsidR="00BC6141" w:rsidRPr="008F549A" w:rsidRDefault="00BC6141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F549A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>
        <w:rPr>
          <w:rFonts w:ascii="Arial" w:hAnsi="Arial" w:cs="Arial"/>
          <w:spacing w:val="-3"/>
          <w:sz w:val="24"/>
          <w:lang w:val="fr-BE"/>
        </w:rPr>
        <w:br w:type="page"/>
      </w:r>
      <w:r w:rsidR="0080201F" w:rsidRPr="008F549A">
        <w:rPr>
          <w:rFonts w:ascii="Arial" w:hAnsi="Arial" w:cs="Arial"/>
          <w:spacing w:val="-3"/>
          <w:sz w:val="24"/>
          <w:lang w:val="fr-BE"/>
        </w:rPr>
        <w:lastRenderedPageBreak/>
        <w:t>« </w:t>
      </w:r>
    </w:p>
    <w:p w:rsidR="0080201F" w:rsidRPr="008F549A" w:rsidRDefault="0080201F">
      <w:pPr>
        <w:pStyle w:val="Kop2"/>
        <w:rPr>
          <w:rFonts w:ascii="Arial" w:hAnsi="Arial" w:cs="Arial"/>
          <w:lang w:val="fr-BE"/>
        </w:rPr>
      </w:pPr>
      <w:r w:rsidRPr="008F549A">
        <w:rPr>
          <w:rFonts w:ascii="Arial" w:hAnsi="Arial" w:cs="Arial"/>
          <w:lang w:val="fr-BE"/>
        </w:rPr>
        <w:t xml:space="preserve">AUTOPSIE APRES </w:t>
      </w:r>
      <w:r w:rsidR="00C85AF5" w:rsidRPr="008F549A">
        <w:rPr>
          <w:rFonts w:ascii="Arial" w:hAnsi="Arial" w:cs="Arial"/>
          <w:caps/>
          <w:szCs w:val="24"/>
          <w:lang w:val="fr-BE"/>
        </w:rPr>
        <w:t>le déces inopiné et médicalement inexpliqué d’un e</w:t>
      </w:r>
      <w:r w:rsidR="00C85AF5" w:rsidRPr="008F549A">
        <w:rPr>
          <w:rFonts w:ascii="Arial" w:hAnsi="Arial" w:cs="Arial"/>
          <w:caps/>
          <w:szCs w:val="24"/>
          <w:lang w:val="fr-BE"/>
        </w:rPr>
        <w:t>n</w:t>
      </w:r>
      <w:r w:rsidR="00C85AF5" w:rsidRPr="008F549A">
        <w:rPr>
          <w:rFonts w:ascii="Arial" w:hAnsi="Arial" w:cs="Arial"/>
          <w:caps/>
          <w:szCs w:val="24"/>
          <w:lang w:val="fr-BE"/>
        </w:rPr>
        <w:t>fant de moins de dix-huit mois</w:t>
      </w: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667984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5640AF">
        <w:rPr>
          <w:rFonts w:ascii="Arial" w:hAnsi="Arial" w:cs="Arial"/>
          <w:b/>
          <w:spacing w:val="-3"/>
          <w:sz w:val="24"/>
          <w:lang w:val="fr-BE"/>
        </w:rPr>
        <w:t>Art. 10bis.</w:t>
      </w:r>
      <w:r w:rsidRPr="005640AF">
        <w:rPr>
          <w:rFonts w:ascii="Arial" w:hAnsi="Arial" w:cs="Arial"/>
          <w:b/>
          <w:spacing w:val="-3"/>
          <w:sz w:val="24"/>
          <w:lang w:val="fr-BE"/>
        </w:rPr>
        <w:tab/>
        <w:t>§ 1.</w:t>
      </w:r>
      <w:r w:rsidRPr="005640AF">
        <w:rPr>
          <w:rFonts w:ascii="Arial" w:hAnsi="Arial" w:cs="Arial"/>
          <w:spacing w:val="-3"/>
          <w:sz w:val="24"/>
          <w:lang w:val="fr-BE"/>
        </w:rPr>
        <w:t xml:space="preserve">  Dans le cas d’un </w:t>
      </w:r>
      <w:r w:rsidR="00425D4C" w:rsidRPr="005640AF">
        <w:rPr>
          <w:rFonts w:ascii="Arial" w:hAnsi="Arial" w:cs="Arial"/>
          <w:spacing w:val="-3"/>
          <w:sz w:val="24"/>
          <w:lang w:val="fr-BE"/>
        </w:rPr>
        <w:t>décès</w:t>
      </w:r>
      <w:r w:rsidRPr="005640AF">
        <w:rPr>
          <w:rFonts w:ascii="Arial" w:hAnsi="Arial" w:cs="Arial"/>
          <w:spacing w:val="-3"/>
          <w:sz w:val="24"/>
          <w:lang w:val="fr-BE"/>
        </w:rPr>
        <w:t xml:space="preserve"> inopiné et médicalement inexpliqué d’un enfant de moins de dix-huit mois, 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>le transport de l’enfant décédé</w:t>
      </w:r>
      <w:r w:rsidR="00D0408E" w:rsidRPr="005640AF">
        <w:rPr>
          <w:rFonts w:ascii="Arial" w:hAnsi="Arial" w:cs="Arial"/>
          <w:spacing w:val="-3"/>
          <w:sz w:val="24"/>
          <w:lang w:val="fr-BE"/>
        </w:rPr>
        <w:t>,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 xml:space="preserve"> </w:t>
      </w:r>
      <w:r w:rsidR="00D0408E" w:rsidRPr="005640AF">
        <w:rPr>
          <w:rFonts w:ascii="Arial" w:hAnsi="Arial" w:cs="Arial"/>
          <w:spacing w:val="-3"/>
          <w:sz w:val="24"/>
          <w:lang w:val="fr-BE"/>
        </w:rPr>
        <w:t>du lieu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 xml:space="preserve"> du décès</w:t>
      </w:r>
      <w:r w:rsidR="00671A06">
        <w:rPr>
          <w:rFonts w:ascii="Arial" w:hAnsi="Arial" w:cs="Arial"/>
          <w:spacing w:val="-3"/>
          <w:sz w:val="24"/>
          <w:lang w:val="fr-BE"/>
        </w:rPr>
        <w:t>/de la v</w:t>
      </w:r>
      <w:r w:rsidR="00671A06">
        <w:rPr>
          <w:rFonts w:ascii="Arial" w:hAnsi="Arial" w:cs="Arial"/>
          <w:spacing w:val="-3"/>
          <w:sz w:val="24"/>
          <w:lang w:val="fr-BE"/>
        </w:rPr>
        <w:t>i</w:t>
      </w:r>
      <w:r w:rsidR="00671A06">
        <w:rPr>
          <w:rFonts w:ascii="Arial" w:hAnsi="Arial" w:cs="Arial"/>
          <w:spacing w:val="-3"/>
          <w:sz w:val="24"/>
          <w:lang w:val="fr-BE"/>
        </w:rPr>
        <w:t>site du corps</w:t>
      </w:r>
      <w:r w:rsidR="00D0408E" w:rsidRPr="005640AF">
        <w:rPr>
          <w:rFonts w:ascii="Arial" w:hAnsi="Arial" w:cs="Arial"/>
          <w:spacing w:val="-3"/>
          <w:sz w:val="24"/>
          <w:lang w:val="fr-BE"/>
        </w:rPr>
        <w:t xml:space="preserve"> jusqu’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>à l’établissement, en vue d’un autopsie, est remboursé à l’établissement sur base d’une facture détaillée</w:t>
      </w:r>
      <w:r w:rsidR="00D0408E" w:rsidRPr="005640AF">
        <w:rPr>
          <w:rFonts w:ascii="Arial" w:hAnsi="Arial" w:cs="Arial"/>
          <w:spacing w:val="-3"/>
          <w:sz w:val="24"/>
          <w:lang w:val="fr-BE"/>
        </w:rPr>
        <w:t xml:space="preserve"> établie par qui s’est chargé du transport et a été indemnisé par l’établissement pour ce faire. </w:t>
      </w:r>
      <w:r w:rsidR="00667984" w:rsidRPr="005640AF">
        <w:rPr>
          <w:rFonts w:ascii="Arial" w:hAnsi="Arial" w:cs="Arial"/>
          <w:spacing w:val="-3"/>
          <w:sz w:val="24"/>
          <w:lang w:val="fr-FR"/>
        </w:rPr>
        <w:t>Cette fa</w:t>
      </w:r>
      <w:r w:rsidR="00667984" w:rsidRPr="005640AF">
        <w:rPr>
          <w:rFonts w:ascii="Arial" w:hAnsi="Arial" w:cs="Arial"/>
          <w:spacing w:val="-3"/>
          <w:sz w:val="24"/>
          <w:lang w:val="fr-FR"/>
        </w:rPr>
        <w:t>c</w:t>
      </w:r>
      <w:r w:rsidR="00667984" w:rsidRPr="005640AF">
        <w:rPr>
          <w:rFonts w:ascii="Arial" w:hAnsi="Arial" w:cs="Arial"/>
          <w:spacing w:val="-3"/>
          <w:sz w:val="24"/>
          <w:lang w:val="fr-FR"/>
        </w:rPr>
        <w:t>ture concerne au maximum le</w:t>
      </w:r>
      <w:r w:rsidR="00BE15E9">
        <w:rPr>
          <w:rFonts w:ascii="Arial" w:hAnsi="Arial" w:cs="Arial"/>
          <w:spacing w:val="-3"/>
          <w:sz w:val="24"/>
          <w:lang w:val="fr-FR"/>
        </w:rPr>
        <w:t xml:space="preserve"> nombre de kilomètres</w:t>
      </w:r>
      <w:r w:rsidR="00667984" w:rsidRPr="005640AF">
        <w:rPr>
          <w:rFonts w:ascii="Arial" w:hAnsi="Arial" w:cs="Arial"/>
          <w:spacing w:val="-3"/>
          <w:sz w:val="24"/>
          <w:lang w:val="fr-FR"/>
        </w:rPr>
        <w:t xml:space="preserve"> aller-retour entre </w:t>
      </w:r>
      <w:r w:rsidR="00473176">
        <w:rPr>
          <w:rFonts w:ascii="Arial" w:hAnsi="Arial" w:cs="Arial"/>
          <w:spacing w:val="-3"/>
          <w:sz w:val="24"/>
          <w:lang w:val="fr-BE"/>
        </w:rPr>
        <w:t>le lieu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 xml:space="preserve"> du décès</w:t>
      </w:r>
      <w:r w:rsidR="00BE15E9">
        <w:rPr>
          <w:rFonts w:ascii="Arial" w:hAnsi="Arial" w:cs="Arial"/>
          <w:spacing w:val="-3"/>
          <w:sz w:val="24"/>
          <w:lang w:val="fr-BE"/>
        </w:rPr>
        <w:t>/</w:t>
      </w:r>
      <w:r w:rsidR="00473176">
        <w:rPr>
          <w:rFonts w:ascii="Arial" w:hAnsi="Arial" w:cs="Arial"/>
          <w:spacing w:val="-3"/>
          <w:sz w:val="24"/>
          <w:lang w:val="fr-BE"/>
        </w:rPr>
        <w:t>de la v</w:t>
      </w:r>
      <w:r w:rsidR="00473176">
        <w:rPr>
          <w:rFonts w:ascii="Arial" w:hAnsi="Arial" w:cs="Arial"/>
          <w:spacing w:val="-3"/>
          <w:sz w:val="24"/>
          <w:lang w:val="fr-BE"/>
        </w:rPr>
        <w:t>i</w:t>
      </w:r>
      <w:r w:rsidR="00473176">
        <w:rPr>
          <w:rFonts w:ascii="Arial" w:hAnsi="Arial" w:cs="Arial"/>
          <w:spacing w:val="-3"/>
          <w:sz w:val="24"/>
          <w:lang w:val="fr-BE"/>
        </w:rPr>
        <w:t>site du corps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 xml:space="preserve"> et l’établissement où l’autopsie a été effectué</w:t>
      </w:r>
      <w:r w:rsidR="00473176">
        <w:rPr>
          <w:rFonts w:ascii="Arial" w:hAnsi="Arial" w:cs="Arial"/>
          <w:spacing w:val="-3"/>
          <w:sz w:val="24"/>
          <w:lang w:val="fr-BE"/>
        </w:rPr>
        <w:t>e</w:t>
      </w:r>
      <w:r w:rsidR="00667984" w:rsidRPr="005640AF">
        <w:rPr>
          <w:rFonts w:ascii="Arial" w:hAnsi="Arial" w:cs="Arial"/>
          <w:spacing w:val="-3"/>
          <w:sz w:val="24"/>
          <w:lang w:val="fr-BE"/>
        </w:rPr>
        <w:t>.</w:t>
      </w:r>
    </w:p>
    <w:p w:rsidR="00667984" w:rsidRDefault="00667984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667984" w:rsidRDefault="00667984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667984" w:rsidRDefault="00667984" w:rsidP="00667984">
      <w:pPr>
        <w:tabs>
          <w:tab w:val="left" w:pos="1418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 w:rsidRPr="00D0408E">
        <w:rPr>
          <w:rFonts w:ascii="Arial" w:hAnsi="Arial" w:cs="Arial"/>
          <w:spacing w:val="-3"/>
          <w:sz w:val="24"/>
          <w:lang w:val="fr-FR"/>
        </w:rPr>
        <w:tab/>
      </w:r>
      <w:r w:rsidRPr="00C00172">
        <w:rPr>
          <w:rFonts w:ascii="Arial" w:hAnsi="Arial" w:cs="Arial"/>
          <w:b/>
          <w:spacing w:val="-3"/>
          <w:sz w:val="24"/>
          <w:lang w:val="fr-FR"/>
        </w:rPr>
        <w:t>§ 2.</w:t>
      </w:r>
      <w:r w:rsidRPr="00C00172">
        <w:rPr>
          <w:rFonts w:ascii="Arial" w:hAnsi="Arial" w:cs="Arial"/>
          <w:spacing w:val="-3"/>
          <w:sz w:val="24"/>
          <w:lang w:val="fr-FR"/>
        </w:rPr>
        <w:t xml:space="preserve"> </w:t>
      </w:r>
      <w:r w:rsidR="00C00172" w:rsidRPr="008F549A">
        <w:rPr>
          <w:rFonts w:ascii="Arial" w:hAnsi="Arial" w:cs="Arial"/>
          <w:spacing w:val="-3"/>
          <w:sz w:val="24"/>
          <w:lang w:val="fr-BE"/>
        </w:rPr>
        <w:t>Dans le cas d’un décès inopiné et médicalement inexpliqué d’un enfant de moins de dix-huit mois</w:t>
      </w:r>
      <w:r w:rsidR="00C00172">
        <w:rPr>
          <w:rFonts w:ascii="Arial" w:hAnsi="Arial" w:cs="Arial"/>
          <w:spacing w:val="-3"/>
          <w:sz w:val="24"/>
          <w:lang w:val="fr-BE"/>
        </w:rPr>
        <w:t xml:space="preserve">, l’établissement </w:t>
      </w:r>
      <w:r w:rsidR="00C00172">
        <w:rPr>
          <w:rFonts w:ascii="Arial" w:hAnsi="Arial" w:cs="Arial"/>
          <w:spacing w:val="-3"/>
          <w:sz w:val="24"/>
          <w:lang w:val="fr-FR"/>
        </w:rPr>
        <w:t>est chargé de l’autopsie</w:t>
      </w:r>
      <w:r w:rsidRPr="00C00172">
        <w:rPr>
          <w:rFonts w:ascii="Arial" w:hAnsi="Arial" w:cs="Arial"/>
          <w:spacing w:val="-3"/>
          <w:sz w:val="24"/>
          <w:lang w:val="fr-FR"/>
        </w:rPr>
        <w:t xml:space="preserve">. </w:t>
      </w:r>
    </w:p>
    <w:p w:rsidR="00C00172" w:rsidRDefault="00C00172" w:rsidP="00667984">
      <w:pPr>
        <w:tabs>
          <w:tab w:val="left" w:pos="1418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C00172" w:rsidRPr="00C00172" w:rsidRDefault="00C00172" w:rsidP="00C00172">
      <w:pPr>
        <w:tabs>
          <w:tab w:val="left" w:pos="1418"/>
        </w:tabs>
        <w:ind w:right="-1" w:firstLine="1985"/>
        <w:jc w:val="both"/>
        <w:rPr>
          <w:rFonts w:ascii="Arial" w:hAnsi="Arial" w:cs="Arial"/>
          <w:spacing w:val="-3"/>
          <w:sz w:val="24"/>
          <w:lang w:val="fr-FR"/>
        </w:rPr>
      </w:pPr>
      <w:r>
        <w:rPr>
          <w:rFonts w:ascii="Arial" w:hAnsi="Arial" w:cs="Arial"/>
          <w:spacing w:val="-3"/>
          <w:sz w:val="24"/>
          <w:lang w:val="fr-FR"/>
        </w:rPr>
        <w:t xml:space="preserve">Il le fait par moyen d’un « service d’anatomopathologie » </w:t>
      </w:r>
      <w:r w:rsidRPr="00C00172">
        <w:rPr>
          <w:rFonts w:ascii="Arial" w:hAnsi="Arial" w:cs="Arial"/>
          <w:spacing w:val="-3"/>
          <w:sz w:val="24"/>
          <w:lang w:val="fr-FR"/>
        </w:rPr>
        <w:t>qui</w:t>
      </w:r>
      <w:r>
        <w:rPr>
          <w:rFonts w:ascii="Arial" w:hAnsi="Arial" w:cs="Arial"/>
          <w:spacing w:val="-3"/>
          <w:sz w:val="24"/>
          <w:lang w:val="fr-FR"/>
        </w:rPr>
        <w:t>,</w:t>
      </w:r>
      <w:r w:rsidRPr="00C00172">
        <w:rPr>
          <w:rFonts w:ascii="Arial" w:hAnsi="Arial" w:cs="Arial"/>
          <w:spacing w:val="-3"/>
          <w:sz w:val="24"/>
          <w:lang w:val="fr-FR"/>
        </w:rPr>
        <w:t xml:space="preserve"> en vue de l’organisation d’une permanence, a conclu une convention avec des médecins spécialistes en anatomopathologie, qui ont effectué en première main des autopsies sur des enfants. La pe</w:t>
      </w:r>
      <w:r w:rsidRPr="00C00172">
        <w:rPr>
          <w:rFonts w:ascii="Arial" w:hAnsi="Arial" w:cs="Arial"/>
          <w:spacing w:val="-3"/>
          <w:sz w:val="24"/>
          <w:lang w:val="fr-FR"/>
        </w:rPr>
        <w:t>r</w:t>
      </w:r>
      <w:r w:rsidRPr="00C00172">
        <w:rPr>
          <w:rFonts w:ascii="Arial" w:hAnsi="Arial" w:cs="Arial"/>
          <w:spacing w:val="-3"/>
          <w:sz w:val="24"/>
          <w:lang w:val="fr-FR"/>
        </w:rPr>
        <w:t>manence est o</w:t>
      </w:r>
      <w:r w:rsidRPr="00C00172">
        <w:rPr>
          <w:rFonts w:ascii="Arial" w:hAnsi="Arial" w:cs="Arial"/>
          <w:spacing w:val="-3"/>
          <w:sz w:val="24"/>
          <w:lang w:val="fr-FR"/>
        </w:rPr>
        <w:t>r</w:t>
      </w:r>
      <w:r w:rsidRPr="00C00172">
        <w:rPr>
          <w:rFonts w:ascii="Arial" w:hAnsi="Arial" w:cs="Arial"/>
          <w:spacing w:val="-3"/>
          <w:sz w:val="24"/>
          <w:lang w:val="fr-FR"/>
        </w:rPr>
        <w:t>ganisée de telle manière qu’un médecin spécialiste en anatomopathologie est appelable en perm</w:t>
      </w:r>
      <w:r w:rsidRPr="00C00172">
        <w:rPr>
          <w:rFonts w:ascii="Arial" w:hAnsi="Arial" w:cs="Arial"/>
          <w:spacing w:val="-3"/>
          <w:sz w:val="24"/>
          <w:lang w:val="fr-FR"/>
        </w:rPr>
        <w:t>a</w:t>
      </w:r>
      <w:r w:rsidRPr="00C00172">
        <w:rPr>
          <w:rFonts w:ascii="Arial" w:hAnsi="Arial" w:cs="Arial"/>
          <w:spacing w:val="-3"/>
          <w:sz w:val="24"/>
          <w:lang w:val="fr-FR"/>
        </w:rPr>
        <w:t xml:space="preserve">nence, de sorte qu’il puisse être présent dans </w:t>
      </w:r>
      <w:r w:rsidR="00CD4461">
        <w:rPr>
          <w:rFonts w:ascii="Arial" w:hAnsi="Arial" w:cs="Arial"/>
          <w:spacing w:val="-3"/>
          <w:sz w:val="24"/>
          <w:lang w:val="fr-FR"/>
        </w:rPr>
        <w:t xml:space="preserve">l’établissement </w:t>
      </w:r>
      <w:r w:rsidRPr="00C00172">
        <w:rPr>
          <w:rFonts w:ascii="Arial" w:hAnsi="Arial" w:cs="Arial"/>
          <w:spacing w:val="-3"/>
          <w:sz w:val="24"/>
          <w:lang w:val="fr-FR"/>
        </w:rPr>
        <w:t>dans les plus brefs délais après l’appel.</w:t>
      </w:r>
    </w:p>
    <w:p w:rsidR="00667984" w:rsidRPr="00C00172" w:rsidRDefault="00667984" w:rsidP="00667984">
      <w:pPr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667984" w:rsidRDefault="005751C9" w:rsidP="00E533A1">
      <w:pPr>
        <w:tabs>
          <w:tab w:val="left" w:pos="1985"/>
        </w:tabs>
        <w:ind w:right="-1" w:firstLine="1985"/>
        <w:jc w:val="both"/>
        <w:rPr>
          <w:rFonts w:ascii="Arial" w:hAnsi="Arial" w:cs="Arial"/>
          <w:spacing w:val="-3"/>
          <w:sz w:val="24"/>
          <w:lang w:val="fr-FR"/>
        </w:rPr>
      </w:pPr>
      <w:r w:rsidRPr="005751C9">
        <w:rPr>
          <w:rFonts w:ascii="Arial" w:hAnsi="Arial" w:cs="Arial"/>
          <w:spacing w:val="-3"/>
          <w:sz w:val="24"/>
          <w:lang w:val="fr-FR"/>
        </w:rPr>
        <w:t>Dès que l’</w:t>
      </w:r>
      <w:r>
        <w:rPr>
          <w:rFonts w:ascii="Arial" w:hAnsi="Arial" w:cs="Arial"/>
          <w:spacing w:val="-3"/>
          <w:sz w:val="24"/>
          <w:lang w:val="fr-FR"/>
        </w:rPr>
        <w:t>établissement</w:t>
      </w:r>
      <w:r w:rsidRPr="005751C9">
        <w:rPr>
          <w:rFonts w:ascii="Arial" w:hAnsi="Arial" w:cs="Arial"/>
          <w:spacing w:val="-3"/>
          <w:sz w:val="24"/>
          <w:lang w:val="fr-FR"/>
        </w:rPr>
        <w:t xml:space="preserve"> où sera pratiquée l’autopsie, est informé de ce qu’un enfant décédé doit être transporté, le service d’anatomopathologie doit être averti. Le médecin spécialiste en anatomopathologie appelé se rend sans délai </w:t>
      </w:r>
      <w:r>
        <w:rPr>
          <w:rFonts w:ascii="Arial" w:hAnsi="Arial" w:cs="Arial"/>
          <w:spacing w:val="-3"/>
          <w:sz w:val="24"/>
          <w:lang w:val="fr-FR"/>
        </w:rPr>
        <w:t>à l’établissement</w:t>
      </w:r>
      <w:r w:rsidRPr="005751C9">
        <w:rPr>
          <w:rFonts w:ascii="Arial" w:hAnsi="Arial" w:cs="Arial"/>
          <w:spacing w:val="-3"/>
          <w:sz w:val="24"/>
          <w:lang w:val="fr-FR"/>
        </w:rPr>
        <w:t>.</w:t>
      </w:r>
    </w:p>
    <w:p w:rsidR="005751C9" w:rsidRPr="005751C9" w:rsidRDefault="005751C9" w:rsidP="00667984">
      <w:pPr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667984" w:rsidRPr="005751C9" w:rsidRDefault="005751C9" w:rsidP="00E533A1">
      <w:pPr>
        <w:tabs>
          <w:tab w:val="left" w:pos="1985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>
        <w:rPr>
          <w:rFonts w:ascii="Arial" w:hAnsi="Arial" w:cs="Arial"/>
          <w:spacing w:val="-3"/>
          <w:sz w:val="24"/>
          <w:lang w:val="nl-BE"/>
        </w:rPr>
        <w:tab/>
      </w:r>
      <w:r w:rsidR="00236702">
        <w:rPr>
          <w:rFonts w:ascii="Arial" w:hAnsi="Arial" w:cs="Arial"/>
          <w:spacing w:val="-3"/>
          <w:sz w:val="24"/>
          <w:lang w:val="fr-FR"/>
        </w:rPr>
        <w:t>L’autopsie est réalisé</w:t>
      </w:r>
      <w:r w:rsidRPr="005751C9">
        <w:rPr>
          <w:rFonts w:ascii="Arial" w:hAnsi="Arial" w:cs="Arial"/>
          <w:spacing w:val="-3"/>
          <w:sz w:val="24"/>
          <w:lang w:val="fr-FR"/>
        </w:rPr>
        <w:t xml:space="preserve"> par le médecin anatomopathologiste selon un prot</w:t>
      </w:r>
      <w:r w:rsidRPr="005751C9">
        <w:rPr>
          <w:rFonts w:ascii="Arial" w:hAnsi="Arial" w:cs="Arial"/>
          <w:spacing w:val="-3"/>
          <w:sz w:val="24"/>
          <w:lang w:val="fr-FR"/>
        </w:rPr>
        <w:t>o</w:t>
      </w:r>
      <w:r w:rsidRPr="005751C9">
        <w:rPr>
          <w:rFonts w:ascii="Arial" w:hAnsi="Arial" w:cs="Arial"/>
          <w:spacing w:val="-3"/>
          <w:sz w:val="24"/>
          <w:lang w:val="fr-FR"/>
        </w:rPr>
        <w:t>cole standard, qui garanti un examen complet.</w:t>
      </w:r>
      <w:r>
        <w:rPr>
          <w:rFonts w:ascii="Arial" w:hAnsi="Arial" w:cs="Arial"/>
          <w:spacing w:val="-3"/>
          <w:sz w:val="24"/>
          <w:lang w:val="fr-FR"/>
        </w:rPr>
        <w:t xml:space="preserve"> Les résultats sont communiqués aux parents au cours d’un entretien, suivant leur choix, par un médecin de l’établissement ou par le médecin à qui, à la demande des parents, les résultats doivent être envoyés. </w:t>
      </w:r>
      <w:r w:rsidRPr="005751C9">
        <w:rPr>
          <w:rFonts w:ascii="Arial" w:hAnsi="Arial" w:cs="Arial"/>
          <w:spacing w:val="-3"/>
          <w:sz w:val="24"/>
          <w:lang w:val="fr-FR"/>
        </w:rPr>
        <w:t xml:space="preserve"> </w:t>
      </w:r>
    </w:p>
    <w:p w:rsidR="00667984" w:rsidRDefault="00667984" w:rsidP="00667984">
      <w:pPr>
        <w:ind w:right="-1"/>
        <w:jc w:val="both"/>
        <w:rPr>
          <w:rFonts w:ascii="Arial" w:hAnsi="Arial" w:cs="Arial"/>
          <w:spacing w:val="-3"/>
          <w:sz w:val="24"/>
          <w:lang w:val="nl-BE"/>
        </w:rPr>
      </w:pPr>
    </w:p>
    <w:p w:rsidR="005751C9" w:rsidRDefault="005751C9" w:rsidP="00FF0F03">
      <w:pPr>
        <w:tabs>
          <w:tab w:val="left" w:pos="1985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>
        <w:rPr>
          <w:rFonts w:ascii="Arial" w:hAnsi="Arial" w:cs="Arial"/>
          <w:spacing w:val="-3"/>
          <w:sz w:val="24"/>
          <w:lang w:val="nl-BE"/>
        </w:rPr>
        <w:tab/>
      </w:r>
      <w:r w:rsidRPr="005751C9">
        <w:rPr>
          <w:rFonts w:ascii="Arial" w:hAnsi="Arial" w:cs="Arial"/>
          <w:spacing w:val="-3"/>
          <w:sz w:val="24"/>
          <w:lang w:val="fr-FR"/>
        </w:rPr>
        <w:t>Une rémunération forfaitaire de 456,75 EUR est prévue pour l’exécution de l’autopsie.</w:t>
      </w:r>
      <w:r>
        <w:rPr>
          <w:rFonts w:ascii="Arial" w:hAnsi="Arial" w:cs="Arial"/>
          <w:spacing w:val="-3"/>
          <w:sz w:val="24"/>
          <w:lang w:val="fr-FR"/>
        </w:rPr>
        <w:t xml:space="preserve"> </w:t>
      </w:r>
    </w:p>
    <w:p w:rsidR="00FF0F03" w:rsidRPr="005751C9" w:rsidRDefault="00FF0F03" w:rsidP="00FF0F03">
      <w:pPr>
        <w:tabs>
          <w:tab w:val="left" w:pos="1985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667984" w:rsidRPr="00667984" w:rsidRDefault="00667984">
      <w:pPr>
        <w:ind w:right="-1"/>
        <w:jc w:val="both"/>
        <w:rPr>
          <w:rFonts w:ascii="Arial" w:hAnsi="Arial" w:cs="Arial"/>
          <w:spacing w:val="-3"/>
          <w:sz w:val="24"/>
          <w:lang w:val="nl-BE"/>
        </w:rPr>
      </w:pPr>
    </w:p>
    <w:p w:rsidR="0080201F" w:rsidRPr="008F549A" w:rsidRDefault="0080201F" w:rsidP="00667984">
      <w:pPr>
        <w:tabs>
          <w:tab w:val="left" w:pos="1418"/>
          <w:tab w:val="left" w:pos="1560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667984">
        <w:rPr>
          <w:rFonts w:ascii="Arial" w:hAnsi="Arial" w:cs="Arial"/>
          <w:spacing w:val="-3"/>
          <w:sz w:val="24"/>
          <w:lang w:val="nl-BE"/>
        </w:rPr>
        <w:tab/>
      </w:r>
      <w:r w:rsidRPr="00667984">
        <w:rPr>
          <w:rFonts w:ascii="Arial" w:hAnsi="Arial" w:cs="Arial"/>
          <w:spacing w:val="-3"/>
          <w:sz w:val="24"/>
          <w:lang w:val="nl-BE"/>
        </w:rPr>
        <w:tab/>
      </w:r>
      <w:r w:rsidRPr="008F549A">
        <w:rPr>
          <w:rFonts w:ascii="Arial" w:hAnsi="Arial" w:cs="Arial"/>
          <w:b/>
          <w:spacing w:val="-3"/>
          <w:sz w:val="24"/>
          <w:lang w:val="fr-BE"/>
        </w:rPr>
        <w:t xml:space="preserve">§ </w:t>
      </w:r>
      <w:r w:rsidR="00667984">
        <w:rPr>
          <w:rFonts w:ascii="Arial" w:hAnsi="Arial" w:cs="Arial"/>
          <w:b/>
          <w:spacing w:val="-3"/>
          <w:sz w:val="24"/>
          <w:lang w:val="fr-BE"/>
        </w:rPr>
        <w:t>3</w:t>
      </w:r>
      <w:r w:rsidRPr="008F549A">
        <w:rPr>
          <w:rFonts w:ascii="Arial" w:hAnsi="Arial" w:cs="Arial"/>
          <w:b/>
          <w:spacing w:val="-3"/>
          <w:sz w:val="24"/>
          <w:lang w:val="fr-BE"/>
        </w:rPr>
        <w:t>.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Dans le cas d’un </w:t>
      </w:r>
      <w:r w:rsidR="00425D4C" w:rsidRPr="008F549A">
        <w:rPr>
          <w:rFonts w:ascii="Arial" w:hAnsi="Arial" w:cs="Arial"/>
          <w:spacing w:val="-3"/>
          <w:sz w:val="24"/>
          <w:lang w:val="fr-BE"/>
        </w:rPr>
        <w:t>décès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inopiné et médicalement inexpliqué d’un e</w:t>
      </w:r>
      <w:r w:rsidRPr="008F549A">
        <w:rPr>
          <w:rFonts w:ascii="Arial" w:hAnsi="Arial" w:cs="Arial"/>
          <w:spacing w:val="-3"/>
          <w:sz w:val="24"/>
          <w:lang w:val="fr-BE"/>
        </w:rPr>
        <w:t>n</w:t>
      </w:r>
      <w:r w:rsidRPr="008F549A">
        <w:rPr>
          <w:rFonts w:ascii="Arial" w:hAnsi="Arial" w:cs="Arial"/>
          <w:spacing w:val="-3"/>
          <w:sz w:val="24"/>
          <w:lang w:val="fr-BE"/>
        </w:rPr>
        <w:t>fant de moins de dix-huit mois un forfait de € 2</w:t>
      </w:r>
      <w:r w:rsidR="00667984">
        <w:rPr>
          <w:rFonts w:ascii="Arial" w:hAnsi="Arial" w:cs="Arial"/>
          <w:spacing w:val="-3"/>
          <w:sz w:val="24"/>
          <w:lang w:val="fr-BE"/>
        </w:rPr>
        <w:t>03,69</w:t>
      </w:r>
      <w:r w:rsidRPr="008F549A">
        <w:rPr>
          <w:rFonts w:ascii="Arial" w:hAnsi="Arial" w:cs="Arial"/>
          <w:spacing w:val="-3"/>
          <w:sz w:val="24"/>
          <w:lang w:val="fr-BE"/>
        </w:rPr>
        <w:t xml:space="preserve"> est prévu pour le soutien psychologique des p</w:t>
      </w:r>
      <w:r w:rsidRPr="008F549A">
        <w:rPr>
          <w:rFonts w:ascii="Arial" w:hAnsi="Arial" w:cs="Arial"/>
          <w:spacing w:val="-3"/>
          <w:sz w:val="24"/>
          <w:lang w:val="fr-BE"/>
        </w:rPr>
        <w:t>a</w:t>
      </w:r>
      <w:r w:rsidRPr="008F549A">
        <w:rPr>
          <w:rFonts w:ascii="Arial" w:hAnsi="Arial" w:cs="Arial"/>
          <w:spacing w:val="-3"/>
          <w:sz w:val="24"/>
          <w:lang w:val="fr-BE"/>
        </w:rPr>
        <w:t>rents et de la famille par une équipe pluridisciplinaire de soutien psychosocial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 xml:space="preserve"> </w:t>
      </w:r>
      <w:r w:rsidR="00667984">
        <w:rPr>
          <w:rFonts w:ascii="Arial" w:hAnsi="Arial" w:cs="Arial"/>
          <w:spacing w:val="-3"/>
          <w:sz w:val="24"/>
          <w:lang w:val="fr-BE"/>
        </w:rPr>
        <w:t>de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 xml:space="preserve"> l’établissement</w:t>
      </w:r>
      <w:r w:rsidRPr="008F549A">
        <w:rPr>
          <w:rFonts w:ascii="Arial" w:hAnsi="Arial" w:cs="Arial"/>
          <w:spacing w:val="-3"/>
          <w:sz w:val="24"/>
          <w:lang w:val="fr-BE"/>
        </w:rPr>
        <w:t>.</w:t>
      </w: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 w:rsidP="00E533A1">
      <w:pPr>
        <w:tabs>
          <w:tab w:val="left" w:pos="1843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ab/>
      </w:r>
      <w:r w:rsidRPr="008F549A">
        <w:rPr>
          <w:rFonts w:ascii="Arial" w:hAnsi="Arial" w:cs="Arial"/>
          <w:spacing w:val="-3"/>
          <w:sz w:val="24"/>
          <w:lang w:val="fr-BE"/>
        </w:rPr>
        <w:tab/>
        <w:t>Cette équipe pluridisciplinaire de soutien psychosocial comprend un ps</w:t>
      </w:r>
      <w:r w:rsidRPr="008F549A">
        <w:rPr>
          <w:rFonts w:ascii="Arial" w:hAnsi="Arial" w:cs="Arial"/>
          <w:spacing w:val="-3"/>
          <w:sz w:val="24"/>
          <w:lang w:val="fr-BE"/>
        </w:rPr>
        <w:t>y</w:t>
      </w:r>
      <w:r w:rsidRPr="008F549A">
        <w:rPr>
          <w:rFonts w:ascii="Arial" w:hAnsi="Arial" w:cs="Arial"/>
          <w:spacing w:val="-3"/>
          <w:sz w:val="24"/>
          <w:lang w:val="fr-BE"/>
        </w:rPr>
        <w:t>chologue clinicien et un assistant social ou un infirmier social.  En ce qui concerne les comp</w:t>
      </w:r>
      <w:r w:rsidRPr="008F549A">
        <w:rPr>
          <w:rFonts w:ascii="Arial" w:hAnsi="Arial" w:cs="Arial"/>
          <w:spacing w:val="-3"/>
          <w:sz w:val="24"/>
          <w:lang w:val="fr-BE"/>
        </w:rPr>
        <w:t>é</w:t>
      </w:r>
      <w:r w:rsidRPr="008F549A">
        <w:rPr>
          <w:rFonts w:ascii="Arial" w:hAnsi="Arial" w:cs="Arial"/>
          <w:spacing w:val="-3"/>
          <w:sz w:val="24"/>
          <w:lang w:val="fr-BE"/>
        </w:rPr>
        <w:t>tences précitées, il peut être éventuellement fait appel aux membres de l’équipe pluridiscipl</w:t>
      </w:r>
      <w:r w:rsidRPr="008F549A">
        <w:rPr>
          <w:rFonts w:ascii="Arial" w:hAnsi="Arial" w:cs="Arial"/>
          <w:spacing w:val="-3"/>
          <w:sz w:val="24"/>
          <w:lang w:val="fr-BE"/>
        </w:rPr>
        <w:t>i</w:t>
      </w:r>
      <w:r w:rsidRPr="008F549A">
        <w:rPr>
          <w:rFonts w:ascii="Arial" w:hAnsi="Arial" w:cs="Arial"/>
          <w:spacing w:val="-3"/>
          <w:sz w:val="24"/>
          <w:lang w:val="fr-BE"/>
        </w:rPr>
        <w:t>naire qui assure également la fonction palliative au sein de l’hôpital.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 xml:space="preserve">  Les deux disciplines do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>i</w:t>
      </w:r>
      <w:r w:rsidR="002332AC" w:rsidRPr="008F549A">
        <w:rPr>
          <w:rFonts w:ascii="Arial" w:hAnsi="Arial" w:cs="Arial"/>
          <w:spacing w:val="-3"/>
          <w:sz w:val="24"/>
          <w:lang w:val="fr-BE"/>
        </w:rPr>
        <w:t>vent intervenir dans l’entretien avec les parents et la famille.</w:t>
      </w:r>
    </w:p>
    <w:p w:rsidR="00667984" w:rsidRPr="00D0408E" w:rsidRDefault="00C76717" w:rsidP="00D0408E">
      <w:pPr>
        <w:tabs>
          <w:tab w:val="left" w:pos="2127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>
        <w:rPr>
          <w:rFonts w:ascii="Arial" w:hAnsi="Arial" w:cs="Arial"/>
          <w:spacing w:val="-3"/>
          <w:sz w:val="24"/>
          <w:lang w:val="fr-BE"/>
        </w:rPr>
        <w:br w:type="page"/>
      </w:r>
      <w:r w:rsidR="0080201F" w:rsidRPr="008F549A">
        <w:rPr>
          <w:rFonts w:ascii="Arial" w:hAnsi="Arial" w:cs="Arial"/>
          <w:spacing w:val="-3"/>
          <w:sz w:val="24"/>
          <w:lang w:val="fr-BE"/>
        </w:rPr>
        <w:lastRenderedPageBreak/>
        <w:tab/>
      </w:r>
      <w:r w:rsidR="00D0408E">
        <w:rPr>
          <w:rFonts w:ascii="Arial" w:hAnsi="Arial" w:cs="Arial"/>
          <w:spacing w:val="-3"/>
          <w:sz w:val="24"/>
          <w:lang w:val="nl-BE"/>
        </w:rPr>
        <w:tab/>
      </w:r>
      <w:r w:rsidR="00D0408E" w:rsidRPr="005640AF">
        <w:rPr>
          <w:rFonts w:ascii="Arial" w:hAnsi="Arial" w:cs="Arial"/>
          <w:spacing w:val="-3"/>
          <w:sz w:val="24"/>
          <w:lang w:val="fr-FR"/>
        </w:rPr>
        <w:t>Si les parents et/ou la famille ont besoin d’un accompagnement psych</w:t>
      </w:r>
      <w:r w:rsidR="00D0408E" w:rsidRPr="005640AF">
        <w:rPr>
          <w:rFonts w:ascii="Arial" w:hAnsi="Arial" w:cs="Arial"/>
          <w:spacing w:val="-3"/>
          <w:sz w:val="24"/>
          <w:lang w:val="fr-FR"/>
        </w:rPr>
        <w:t>o</w:t>
      </w:r>
      <w:r w:rsidR="00D0408E" w:rsidRPr="005640AF">
        <w:rPr>
          <w:rFonts w:ascii="Arial" w:hAnsi="Arial" w:cs="Arial"/>
          <w:spacing w:val="-3"/>
          <w:sz w:val="24"/>
          <w:lang w:val="fr-FR"/>
        </w:rPr>
        <w:t>social de longue durée qui ne peut pas être assuré dans le cadre de la convention, ils peuvent être réorientés en vue d’une aide supplémentaire.</w:t>
      </w:r>
    </w:p>
    <w:p w:rsidR="00667984" w:rsidRPr="00D0408E" w:rsidRDefault="00667984">
      <w:pPr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3A709F" w:rsidRPr="003A709F" w:rsidRDefault="00DE0827" w:rsidP="003A709F">
      <w:pPr>
        <w:tabs>
          <w:tab w:val="left" w:pos="1560"/>
        </w:tabs>
        <w:ind w:right="-1"/>
        <w:jc w:val="both"/>
        <w:rPr>
          <w:rFonts w:ascii="Arial" w:hAnsi="Arial" w:cs="Arial"/>
          <w:spacing w:val="-3"/>
          <w:sz w:val="24"/>
          <w:lang w:val="fr-BE"/>
        </w:rPr>
      </w:pPr>
      <w:r w:rsidRPr="00D0408E">
        <w:rPr>
          <w:rFonts w:ascii="Arial" w:hAnsi="Arial" w:cs="Arial"/>
          <w:spacing w:val="-3"/>
          <w:sz w:val="24"/>
          <w:lang w:val="fr-FR"/>
        </w:rPr>
        <w:tab/>
      </w:r>
      <w:r w:rsidRPr="00E533A1">
        <w:rPr>
          <w:rFonts w:ascii="Arial" w:hAnsi="Arial" w:cs="Arial"/>
          <w:b/>
          <w:spacing w:val="-3"/>
          <w:sz w:val="24"/>
          <w:lang w:val="fr-FR"/>
        </w:rPr>
        <w:t>§ 4.</w:t>
      </w:r>
      <w:r w:rsidR="00E533A1" w:rsidRPr="00E533A1">
        <w:rPr>
          <w:rFonts w:ascii="Arial" w:hAnsi="Arial" w:cs="Arial"/>
          <w:spacing w:val="-3"/>
          <w:sz w:val="24"/>
          <w:lang w:val="fr-FR"/>
        </w:rPr>
        <w:t xml:space="preserve"> </w:t>
      </w:r>
      <w:r w:rsidR="003A709F" w:rsidRPr="003A709F">
        <w:rPr>
          <w:rFonts w:ascii="Arial" w:hAnsi="Arial" w:cs="Arial"/>
          <w:spacing w:val="-3"/>
          <w:sz w:val="24"/>
          <w:lang w:val="fr-BE"/>
        </w:rPr>
        <w:t>La demande d’intervention doit être introduite suivant les dispositions des articles 139 et 142, § 2, de l'A.R. du 3 juillet 1996 portant exécution de la loi relative à l'ass</w:t>
      </w:r>
      <w:r w:rsidR="003A709F" w:rsidRPr="003A709F">
        <w:rPr>
          <w:rFonts w:ascii="Arial" w:hAnsi="Arial" w:cs="Arial"/>
          <w:spacing w:val="-3"/>
          <w:sz w:val="24"/>
          <w:lang w:val="fr-BE"/>
        </w:rPr>
        <w:t>u</w:t>
      </w:r>
      <w:r w:rsidR="003A709F" w:rsidRPr="003A709F">
        <w:rPr>
          <w:rFonts w:ascii="Arial" w:hAnsi="Arial" w:cs="Arial"/>
          <w:spacing w:val="-3"/>
          <w:sz w:val="24"/>
          <w:lang w:val="fr-BE"/>
        </w:rPr>
        <w:t>rance obligatoire soins de santé et indemnités, coo</w:t>
      </w:r>
      <w:r w:rsidR="003A709F" w:rsidRPr="003A709F">
        <w:rPr>
          <w:rFonts w:ascii="Arial" w:hAnsi="Arial" w:cs="Arial"/>
          <w:spacing w:val="-3"/>
          <w:sz w:val="24"/>
          <w:lang w:val="fr-BE"/>
        </w:rPr>
        <w:t>r</w:t>
      </w:r>
      <w:r w:rsidR="003A709F" w:rsidRPr="003A709F">
        <w:rPr>
          <w:rFonts w:ascii="Arial" w:hAnsi="Arial" w:cs="Arial"/>
          <w:spacing w:val="-3"/>
          <w:sz w:val="24"/>
          <w:lang w:val="fr-BE"/>
        </w:rPr>
        <w:t>donnée le 14 juillet 1994.</w:t>
      </w:r>
    </w:p>
    <w:p w:rsidR="003A709F" w:rsidRPr="003A709F" w:rsidRDefault="003A709F" w:rsidP="003A709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629FA" w:rsidRDefault="008629FA" w:rsidP="008629FA">
      <w:pPr>
        <w:ind w:right="-1" w:firstLine="2127"/>
        <w:jc w:val="both"/>
        <w:rPr>
          <w:rFonts w:ascii="Arial" w:hAnsi="Arial" w:cs="Arial"/>
          <w:spacing w:val="-3"/>
          <w:sz w:val="24"/>
          <w:lang w:val="fr-BE"/>
        </w:rPr>
      </w:pPr>
      <w:r>
        <w:rPr>
          <w:rFonts w:ascii="Arial" w:hAnsi="Arial" w:cs="Arial"/>
          <w:spacing w:val="-3"/>
          <w:sz w:val="24"/>
          <w:lang w:val="fr-BE"/>
        </w:rPr>
        <w:t>L’A.R. précité stipule e.a. que la demande doit être faite par moyen d’un formulaire de demande qui a été approuvé par le Comité de l’assurance soins de santé. Ce form</w:t>
      </w:r>
      <w:r>
        <w:rPr>
          <w:rFonts w:ascii="Arial" w:hAnsi="Arial" w:cs="Arial"/>
          <w:spacing w:val="-3"/>
          <w:sz w:val="24"/>
          <w:lang w:val="fr-BE"/>
        </w:rPr>
        <w:t>u</w:t>
      </w:r>
      <w:r>
        <w:rPr>
          <w:rFonts w:ascii="Arial" w:hAnsi="Arial" w:cs="Arial"/>
          <w:spacing w:val="-3"/>
          <w:sz w:val="24"/>
          <w:lang w:val="fr-BE"/>
        </w:rPr>
        <w:t>laire se trouve en annexe à cet avenant.</w:t>
      </w:r>
    </w:p>
    <w:p w:rsidR="00DE0827" w:rsidRDefault="00DE0827" w:rsidP="00DE0827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BE15E9" w:rsidRPr="00BE15E9" w:rsidRDefault="00473176" w:rsidP="00BE15E9">
      <w:pPr>
        <w:ind w:right="-1" w:firstLine="2160"/>
        <w:jc w:val="both"/>
        <w:rPr>
          <w:rFonts w:ascii="Arial" w:hAnsi="Arial" w:cs="Arial"/>
          <w:spacing w:val="-3"/>
          <w:sz w:val="24"/>
          <w:lang w:val="fr-BE"/>
        </w:rPr>
      </w:pPr>
      <w:r w:rsidRPr="00473176">
        <w:rPr>
          <w:rFonts w:ascii="Arial" w:hAnsi="Arial" w:cs="Arial"/>
          <w:spacing w:val="-3"/>
          <w:sz w:val="24"/>
          <w:lang w:val="fr-BE"/>
        </w:rPr>
        <w:t xml:space="preserve">L’établissement s'engage à aider le </w:t>
      </w:r>
      <w:r>
        <w:rPr>
          <w:rFonts w:ascii="Arial" w:hAnsi="Arial" w:cs="Arial"/>
          <w:spacing w:val="-3"/>
          <w:sz w:val="24"/>
          <w:lang w:val="fr-BE"/>
        </w:rPr>
        <w:t>mandataire</w:t>
      </w:r>
      <w:r w:rsidRPr="00473176">
        <w:rPr>
          <w:rFonts w:ascii="Arial" w:hAnsi="Arial" w:cs="Arial"/>
          <w:spacing w:val="-3"/>
          <w:sz w:val="24"/>
          <w:lang w:val="fr-BE"/>
        </w:rPr>
        <w:t xml:space="preserve"> </w:t>
      </w:r>
      <w:r>
        <w:rPr>
          <w:rFonts w:ascii="Arial" w:hAnsi="Arial" w:cs="Arial"/>
          <w:spacing w:val="-3"/>
          <w:sz w:val="24"/>
          <w:lang w:val="fr-BE"/>
        </w:rPr>
        <w:t>de l’enfant</w:t>
      </w:r>
      <w:r w:rsidRPr="00473176">
        <w:rPr>
          <w:rFonts w:ascii="Arial" w:hAnsi="Arial" w:cs="Arial"/>
          <w:spacing w:val="-3"/>
          <w:sz w:val="24"/>
          <w:lang w:val="fr-BE"/>
        </w:rPr>
        <w:t xml:space="preserve"> lors de l'intr</w:t>
      </w:r>
      <w:r w:rsidRPr="00473176">
        <w:rPr>
          <w:rFonts w:ascii="Arial" w:hAnsi="Arial" w:cs="Arial"/>
          <w:spacing w:val="-3"/>
          <w:sz w:val="24"/>
          <w:lang w:val="fr-BE"/>
        </w:rPr>
        <w:t>o</w:t>
      </w:r>
      <w:r w:rsidRPr="00473176">
        <w:rPr>
          <w:rFonts w:ascii="Arial" w:hAnsi="Arial" w:cs="Arial"/>
          <w:spacing w:val="-3"/>
          <w:sz w:val="24"/>
          <w:lang w:val="fr-BE"/>
        </w:rPr>
        <w:t>duction d'une demande d’intervention</w:t>
      </w:r>
      <w:r>
        <w:rPr>
          <w:rFonts w:ascii="Arial" w:hAnsi="Arial" w:cs="Arial"/>
          <w:spacing w:val="-3"/>
          <w:sz w:val="24"/>
          <w:lang w:val="fr-BE"/>
        </w:rPr>
        <w:t xml:space="preserve"> et à envoyer </w:t>
      </w:r>
      <w:r w:rsidR="000B2038">
        <w:rPr>
          <w:rFonts w:ascii="Arial" w:hAnsi="Arial" w:cs="Arial"/>
          <w:spacing w:val="-3"/>
          <w:sz w:val="24"/>
          <w:lang w:val="fr-BE"/>
        </w:rPr>
        <w:t>cette demande dans les délais</w:t>
      </w:r>
      <w:r w:rsidRPr="00473176">
        <w:rPr>
          <w:rFonts w:ascii="Arial" w:hAnsi="Arial" w:cs="Arial"/>
          <w:spacing w:val="-3"/>
          <w:sz w:val="24"/>
          <w:lang w:val="fr-BE"/>
        </w:rPr>
        <w:t>.</w:t>
      </w:r>
      <w:r>
        <w:rPr>
          <w:rFonts w:ascii="Arial" w:hAnsi="Arial" w:cs="Arial"/>
          <w:spacing w:val="-3"/>
          <w:sz w:val="24"/>
          <w:lang w:val="fr-BE"/>
        </w:rPr>
        <w:t xml:space="preserve"> </w:t>
      </w:r>
      <w:r w:rsidR="00BE15E9">
        <w:rPr>
          <w:rFonts w:ascii="Arial" w:hAnsi="Arial" w:cs="Arial"/>
          <w:spacing w:val="-3"/>
          <w:sz w:val="24"/>
          <w:lang w:val="fr-BE"/>
        </w:rPr>
        <w:t>L</w:t>
      </w:r>
      <w:r w:rsidR="00BE15E9" w:rsidRPr="00BE15E9">
        <w:rPr>
          <w:rFonts w:ascii="Arial" w:hAnsi="Arial" w:cs="Arial"/>
          <w:spacing w:val="-3"/>
          <w:sz w:val="24"/>
          <w:lang w:val="fr-BE"/>
        </w:rPr>
        <w:t xml:space="preserve">e pouvoir organisateur de l’établissement s'engage </w:t>
      </w:r>
      <w:r w:rsidR="00BE15E9">
        <w:rPr>
          <w:rFonts w:ascii="Arial" w:hAnsi="Arial" w:cs="Arial"/>
          <w:spacing w:val="-3"/>
          <w:sz w:val="24"/>
          <w:lang w:val="fr-BE"/>
        </w:rPr>
        <w:t>également</w:t>
      </w:r>
      <w:r w:rsidR="00692ECF">
        <w:rPr>
          <w:rFonts w:ascii="Arial" w:hAnsi="Arial" w:cs="Arial"/>
          <w:spacing w:val="-3"/>
          <w:sz w:val="24"/>
          <w:lang w:val="fr-BE"/>
        </w:rPr>
        <w:t>, en cas d’introduction tardive de la d</w:t>
      </w:r>
      <w:r w:rsidR="00692ECF">
        <w:rPr>
          <w:rFonts w:ascii="Arial" w:hAnsi="Arial" w:cs="Arial"/>
          <w:spacing w:val="-3"/>
          <w:sz w:val="24"/>
          <w:lang w:val="fr-BE"/>
        </w:rPr>
        <w:t>e</w:t>
      </w:r>
      <w:r w:rsidR="00692ECF">
        <w:rPr>
          <w:rFonts w:ascii="Arial" w:hAnsi="Arial" w:cs="Arial"/>
          <w:spacing w:val="-3"/>
          <w:sz w:val="24"/>
          <w:lang w:val="fr-BE"/>
        </w:rPr>
        <w:t xml:space="preserve">mande d’intervention, </w:t>
      </w:r>
      <w:r w:rsidR="00BE15E9" w:rsidRPr="00BE15E9">
        <w:rPr>
          <w:rFonts w:ascii="Arial" w:hAnsi="Arial" w:cs="Arial"/>
          <w:spacing w:val="-3"/>
          <w:sz w:val="24"/>
          <w:lang w:val="fr-BE"/>
        </w:rPr>
        <w:t xml:space="preserve">à ne pas réclamer au </w:t>
      </w:r>
      <w:r w:rsidR="00CE5C5A">
        <w:rPr>
          <w:rFonts w:ascii="Arial" w:hAnsi="Arial" w:cs="Arial"/>
          <w:spacing w:val="-3"/>
          <w:sz w:val="24"/>
          <w:lang w:val="fr-BE"/>
        </w:rPr>
        <w:t>mandataire</w:t>
      </w:r>
      <w:r w:rsidR="00BE15E9">
        <w:rPr>
          <w:rFonts w:ascii="Arial" w:hAnsi="Arial" w:cs="Arial"/>
          <w:spacing w:val="-3"/>
          <w:sz w:val="24"/>
          <w:lang w:val="fr-BE"/>
        </w:rPr>
        <w:t xml:space="preserve"> de l’enfant</w:t>
      </w:r>
      <w:r w:rsidR="00BE15E9" w:rsidRPr="00BE15E9">
        <w:rPr>
          <w:rFonts w:ascii="Arial" w:hAnsi="Arial" w:cs="Arial"/>
          <w:spacing w:val="-3"/>
          <w:sz w:val="24"/>
          <w:lang w:val="fr-BE"/>
        </w:rPr>
        <w:t xml:space="preserve"> </w:t>
      </w:r>
      <w:r w:rsidR="000B2038">
        <w:rPr>
          <w:rFonts w:ascii="Arial" w:hAnsi="Arial" w:cs="Arial"/>
          <w:spacing w:val="-3"/>
          <w:sz w:val="24"/>
          <w:lang w:val="fr-BE"/>
        </w:rPr>
        <w:t>les coû</w:t>
      </w:r>
      <w:r w:rsidR="00692ECF">
        <w:rPr>
          <w:rFonts w:ascii="Arial" w:hAnsi="Arial" w:cs="Arial"/>
          <w:spacing w:val="-3"/>
          <w:sz w:val="24"/>
          <w:lang w:val="fr-BE"/>
        </w:rPr>
        <w:t>ts des prestations prévues par cet article 10bis</w:t>
      </w:r>
      <w:r w:rsidR="00BE15E9" w:rsidRPr="00BE15E9">
        <w:rPr>
          <w:rFonts w:ascii="Arial" w:hAnsi="Arial" w:cs="Arial"/>
          <w:spacing w:val="-3"/>
          <w:sz w:val="24"/>
          <w:lang w:val="fr-BE"/>
        </w:rPr>
        <w:t>.</w:t>
      </w:r>
    </w:p>
    <w:p w:rsidR="00BE15E9" w:rsidRPr="00BE15E9" w:rsidRDefault="00BE15E9" w:rsidP="00DE0827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p w:rsidR="008629FA" w:rsidRPr="008629FA" w:rsidRDefault="00DE0827" w:rsidP="008629FA">
      <w:pPr>
        <w:tabs>
          <w:tab w:val="left" w:pos="1560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 w:rsidRPr="00BE15E9">
        <w:rPr>
          <w:rFonts w:ascii="Arial" w:hAnsi="Arial" w:cs="Arial"/>
          <w:spacing w:val="-3"/>
          <w:sz w:val="24"/>
          <w:lang w:val="fr-FR"/>
        </w:rPr>
        <w:tab/>
      </w:r>
      <w:r w:rsidRPr="008629FA">
        <w:rPr>
          <w:rFonts w:ascii="Arial" w:hAnsi="Arial" w:cs="Arial"/>
          <w:b/>
          <w:spacing w:val="-3"/>
          <w:sz w:val="24"/>
          <w:lang w:val="fr-FR"/>
        </w:rPr>
        <w:t>§ 5.</w:t>
      </w:r>
      <w:r w:rsidRPr="008629FA">
        <w:rPr>
          <w:rFonts w:ascii="Arial" w:hAnsi="Arial" w:cs="Arial"/>
          <w:spacing w:val="-3"/>
          <w:sz w:val="24"/>
          <w:lang w:val="fr-FR"/>
        </w:rPr>
        <w:t xml:space="preserve"> </w:t>
      </w:r>
      <w:r w:rsidR="008629FA">
        <w:rPr>
          <w:rFonts w:ascii="Arial" w:hAnsi="Arial" w:cs="Arial"/>
          <w:spacing w:val="-3"/>
          <w:sz w:val="24"/>
          <w:lang w:val="fr-BE"/>
        </w:rPr>
        <w:t>L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 xml:space="preserve">es montants </w:t>
      </w:r>
      <w:r w:rsidR="008629FA">
        <w:rPr>
          <w:rFonts w:ascii="Arial" w:hAnsi="Arial" w:cs="Arial"/>
          <w:spacing w:val="-3"/>
          <w:sz w:val="24"/>
          <w:lang w:val="fr-BE"/>
        </w:rPr>
        <w:t xml:space="preserve">repris dans les §§ 2 et 3 de cet article 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>correspondent à l’indice des prix à la consommation constaté le 30 novembre 200</w:t>
      </w:r>
      <w:r w:rsidR="008629FA">
        <w:rPr>
          <w:rFonts w:ascii="Arial" w:hAnsi="Arial" w:cs="Arial"/>
          <w:spacing w:val="-3"/>
          <w:sz w:val="24"/>
          <w:lang w:val="fr-BE"/>
        </w:rPr>
        <w:t>6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>.  Ils sont adaptés chaque année, à partir du 1</w:t>
      </w:r>
      <w:r w:rsidR="008629FA" w:rsidRPr="008629FA">
        <w:rPr>
          <w:rFonts w:ascii="Arial" w:hAnsi="Arial" w:cs="Arial"/>
          <w:spacing w:val="-3"/>
          <w:sz w:val="24"/>
          <w:vertAlign w:val="superscript"/>
          <w:lang w:val="fr-BE"/>
        </w:rPr>
        <w:t>er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 xml:space="preserve"> janvier, au taux atteint par l’indice des prix à la consommation le 30 novembre de l’année pr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>é</w:t>
      </w:r>
      <w:r w:rsidR="008629FA" w:rsidRPr="008629FA">
        <w:rPr>
          <w:rFonts w:ascii="Arial" w:hAnsi="Arial" w:cs="Arial"/>
          <w:spacing w:val="-3"/>
          <w:sz w:val="24"/>
          <w:lang w:val="fr-BE"/>
        </w:rPr>
        <w:t>cédente.</w:t>
      </w:r>
    </w:p>
    <w:p w:rsidR="008629FA" w:rsidRDefault="008629FA" w:rsidP="00DE0827">
      <w:pPr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D0408E" w:rsidRPr="005640AF" w:rsidRDefault="00D0408E" w:rsidP="00D0408E">
      <w:pPr>
        <w:tabs>
          <w:tab w:val="left" w:pos="2127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>
        <w:rPr>
          <w:rFonts w:ascii="Arial" w:hAnsi="Arial" w:cs="Arial"/>
          <w:spacing w:val="-3"/>
          <w:sz w:val="24"/>
          <w:lang w:val="fr-FR"/>
        </w:rPr>
        <w:tab/>
      </w:r>
      <w:r w:rsidRPr="005640AF">
        <w:rPr>
          <w:rFonts w:ascii="Arial" w:hAnsi="Arial" w:cs="Arial"/>
          <w:spacing w:val="-3"/>
          <w:sz w:val="24"/>
          <w:lang w:val="fr-FR"/>
        </w:rPr>
        <w:t>Pour les prestations décrites aux §§ 1</w:t>
      </w:r>
      <w:r w:rsidR="00F32DCC" w:rsidRPr="005640AF">
        <w:rPr>
          <w:rFonts w:ascii="Arial" w:hAnsi="Arial" w:cs="Arial"/>
          <w:spacing w:val="-3"/>
          <w:sz w:val="24"/>
          <w:lang w:val="fr-FR"/>
        </w:rPr>
        <w:t>, 2 et 3 du présent article, il ne peut en aucun cas être demandé d’intervention financière aux parents.</w:t>
      </w:r>
    </w:p>
    <w:p w:rsidR="00F32DCC" w:rsidRPr="005640AF" w:rsidRDefault="00F32DCC" w:rsidP="00DE0827">
      <w:pPr>
        <w:ind w:right="-1"/>
        <w:jc w:val="both"/>
        <w:rPr>
          <w:rFonts w:ascii="Arial" w:hAnsi="Arial" w:cs="Arial"/>
          <w:spacing w:val="-3"/>
          <w:sz w:val="24"/>
          <w:lang w:val="nl-BE"/>
        </w:rPr>
      </w:pPr>
    </w:p>
    <w:p w:rsidR="00DE0827" w:rsidRPr="005640AF" w:rsidRDefault="00DE0827" w:rsidP="00DE0827">
      <w:pPr>
        <w:ind w:right="-1"/>
        <w:jc w:val="both"/>
        <w:rPr>
          <w:rFonts w:ascii="Arial" w:hAnsi="Arial" w:cs="Arial"/>
          <w:spacing w:val="-3"/>
          <w:sz w:val="24"/>
          <w:lang w:val="nl-BE"/>
        </w:rPr>
      </w:pPr>
    </w:p>
    <w:p w:rsidR="00DE0827" w:rsidRPr="00F32DCC" w:rsidRDefault="00DE0827" w:rsidP="00E533A1">
      <w:pPr>
        <w:tabs>
          <w:tab w:val="left" w:pos="1560"/>
        </w:tabs>
        <w:ind w:right="-1"/>
        <w:jc w:val="both"/>
        <w:rPr>
          <w:rFonts w:ascii="Arial" w:hAnsi="Arial" w:cs="Arial"/>
          <w:spacing w:val="-3"/>
          <w:sz w:val="24"/>
          <w:lang w:val="fr-FR"/>
        </w:rPr>
      </w:pPr>
      <w:r w:rsidRPr="005640AF">
        <w:rPr>
          <w:rFonts w:ascii="Arial" w:hAnsi="Arial" w:cs="Arial"/>
          <w:spacing w:val="-3"/>
          <w:sz w:val="24"/>
          <w:lang w:val="nl-BE"/>
        </w:rPr>
        <w:tab/>
      </w:r>
      <w:r w:rsidRPr="005640AF">
        <w:rPr>
          <w:rFonts w:ascii="Arial" w:hAnsi="Arial" w:cs="Arial"/>
          <w:b/>
          <w:spacing w:val="-3"/>
          <w:sz w:val="24"/>
          <w:lang w:val="fr-FR"/>
        </w:rPr>
        <w:t>§ 6.</w:t>
      </w:r>
      <w:r w:rsidRPr="005640AF">
        <w:rPr>
          <w:rFonts w:ascii="Arial" w:hAnsi="Arial" w:cs="Arial"/>
          <w:spacing w:val="-3"/>
          <w:sz w:val="24"/>
          <w:lang w:val="fr-FR"/>
        </w:rPr>
        <w:t xml:space="preserve"> </w:t>
      </w:r>
      <w:r w:rsidR="00F32DCC" w:rsidRPr="005640AF">
        <w:rPr>
          <w:rFonts w:ascii="Arial" w:hAnsi="Arial" w:cs="Arial"/>
          <w:spacing w:val="-3"/>
          <w:sz w:val="24"/>
          <w:lang w:val="fr-FR"/>
        </w:rPr>
        <w:t>L’établissement s’engage à informer les hôpitaux et médecins (en particulier les médecins généralistes et les spécialistes en pédiatrie) au sujet des procédures à suivre en cas de décès inopiné et médicalement inexpliqué d’un enfant de moins de 18 mois, et à les sensibiliser de manière régulière à ce sujet.</w:t>
      </w:r>
      <w:r w:rsidRPr="005640AF">
        <w:rPr>
          <w:rFonts w:ascii="Arial" w:hAnsi="Arial" w:cs="Arial"/>
          <w:spacing w:val="-3"/>
          <w:sz w:val="24"/>
          <w:lang w:val="fr-FR"/>
        </w:rPr>
        <w:tab/>
        <w:t>”</w:t>
      </w:r>
    </w:p>
    <w:p w:rsidR="00667984" w:rsidRPr="00F32DCC" w:rsidRDefault="00667984">
      <w:pPr>
        <w:ind w:right="-1"/>
        <w:jc w:val="both"/>
        <w:rPr>
          <w:rFonts w:ascii="Arial" w:hAnsi="Arial" w:cs="Arial"/>
          <w:spacing w:val="-3"/>
          <w:sz w:val="24"/>
          <w:lang w:val="fr-FR"/>
        </w:rPr>
      </w:pPr>
    </w:p>
    <w:p w:rsidR="0080201F" w:rsidRPr="008F549A" w:rsidRDefault="00E533A1">
      <w:pPr>
        <w:jc w:val="both"/>
        <w:rPr>
          <w:rFonts w:ascii="Arial" w:hAnsi="Arial" w:cs="Arial"/>
          <w:spacing w:val="-3"/>
          <w:sz w:val="24"/>
          <w:lang w:val="fr-BE"/>
        </w:rPr>
      </w:pPr>
      <w:r w:rsidRPr="00F32DCC">
        <w:rPr>
          <w:rFonts w:ascii="Arial" w:hAnsi="Arial" w:cs="Arial"/>
          <w:spacing w:val="-3"/>
          <w:sz w:val="24"/>
          <w:lang w:val="fr-FR"/>
        </w:rPr>
        <w:br w:type="page"/>
      </w:r>
      <w:r w:rsidR="0080201F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lastRenderedPageBreak/>
        <w:t>Arti</w:t>
      </w:r>
      <w:r w:rsidR="00C53302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>cle</w:t>
      </w:r>
      <w:r w:rsidR="0080201F" w:rsidRPr="008F549A">
        <w:rPr>
          <w:rFonts w:ascii="Arial" w:hAnsi="Arial" w:cs="Arial"/>
          <w:b/>
          <w:spacing w:val="-3"/>
          <w:sz w:val="24"/>
          <w:u w:val="single"/>
          <w:lang w:val="fr-BE"/>
        </w:rPr>
        <w:t xml:space="preserve"> 2.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 xml:space="preserve">  </w:t>
      </w:r>
      <w:r w:rsidR="0080201F" w:rsidRPr="008F549A">
        <w:rPr>
          <w:rFonts w:ascii="Arial" w:hAnsi="Arial" w:cs="Arial"/>
          <w:color w:val="000000"/>
          <w:sz w:val="24"/>
          <w:lang w:val="fr-BE"/>
        </w:rPr>
        <w:t>Le présent avenant établi en deux exemplaires et dûment signé par les deux pa</w:t>
      </w:r>
      <w:r w:rsidR="0080201F" w:rsidRPr="008F549A">
        <w:rPr>
          <w:rFonts w:ascii="Arial" w:hAnsi="Arial" w:cs="Arial"/>
          <w:color w:val="000000"/>
          <w:sz w:val="24"/>
          <w:lang w:val="fr-BE"/>
        </w:rPr>
        <w:t>r</w:t>
      </w:r>
      <w:r w:rsidR="0080201F" w:rsidRPr="008F549A">
        <w:rPr>
          <w:rFonts w:ascii="Arial" w:hAnsi="Arial" w:cs="Arial"/>
          <w:color w:val="000000"/>
          <w:sz w:val="24"/>
          <w:lang w:val="fr-BE"/>
        </w:rPr>
        <w:t>ties fait partie intégrale de la convention précitée, il entre en vigueur le 1</w:t>
      </w:r>
      <w:r w:rsidR="0080201F" w:rsidRPr="008F549A">
        <w:rPr>
          <w:rFonts w:ascii="Arial" w:hAnsi="Arial" w:cs="Arial"/>
          <w:color w:val="000000"/>
          <w:sz w:val="24"/>
          <w:vertAlign w:val="superscript"/>
          <w:lang w:val="fr-BE"/>
        </w:rPr>
        <w:t>er</w:t>
      </w:r>
      <w:r w:rsidR="0080201F" w:rsidRPr="008F549A">
        <w:rPr>
          <w:rFonts w:ascii="Arial" w:hAnsi="Arial" w:cs="Arial"/>
          <w:color w:val="000000"/>
          <w:sz w:val="24"/>
          <w:lang w:val="fr-BE"/>
        </w:rPr>
        <w:t xml:space="preserve"> </w:t>
      </w:r>
      <w:r w:rsidR="00EC00E1">
        <w:rPr>
          <w:rFonts w:ascii="Arial" w:hAnsi="Arial" w:cs="Arial"/>
          <w:color w:val="000000"/>
          <w:sz w:val="24"/>
          <w:lang w:val="fr-BE"/>
        </w:rPr>
        <w:t>février 2007</w:t>
      </w:r>
      <w:r w:rsidR="0080201F" w:rsidRPr="008F549A">
        <w:rPr>
          <w:rFonts w:ascii="Arial" w:hAnsi="Arial" w:cs="Arial"/>
          <w:color w:val="000000"/>
          <w:sz w:val="24"/>
          <w:lang w:val="fr-BE"/>
        </w:rPr>
        <w:t>. C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h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a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cune des parties peut, à tout moment, le dénoncer par lettre recommandée à la poste adre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s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sée à l'autre partie en tenant compte d’un préavis de trois mois qui prend cours le 1</w:t>
      </w:r>
      <w:r w:rsidR="0080201F" w:rsidRPr="008F549A">
        <w:rPr>
          <w:rFonts w:ascii="Arial" w:hAnsi="Arial" w:cs="Arial"/>
          <w:spacing w:val="-3"/>
          <w:sz w:val="24"/>
          <w:vertAlign w:val="superscript"/>
          <w:lang w:val="fr-BE"/>
        </w:rPr>
        <w:t>er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 xml:space="preserve"> jour du mois qui suit la date de l'envoi de la lettre recomma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n</w:t>
      </w:r>
      <w:r w:rsidR="0080201F" w:rsidRPr="008F549A">
        <w:rPr>
          <w:rFonts w:ascii="Arial" w:hAnsi="Arial" w:cs="Arial"/>
          <w:spacing w:val="-3"/>
          <w:sz w:val="24"/>
          <w:lang w:val="fr-BE"/>
        </w:rPr>
        <w:t>dée. </w:t>
      </w:r>
    </w:p>
    <w:p w:rsidR="0080201F" w:rsidRPr="008F549A" w:rsidRDefault="0080201F">
      <w:pPr>
        <w:jc w:val="right"/>
        <w:rPr>
          <w:rFonts w:ascii="Arial" w:hAnsi="Arial" w:cs="Arial"/>
          <w:spacing w:val="-3"/>
          <w:sz w:val="22"/>
          <w:lang w:val="fr-BE"/>
        </w:rPr>
      </w:pPr>
      <w:r w:rsidRPr="008F549A">
        <w:rPr>
          <w:rFonts w:ascii="Arial" w:hAnsi="Arial" w:cs="Arial"/>
          <w:spacing w:val="-3"/>
          <w:sz w:val="24"/>
          <w:lang w:val="fr-BE"/>
        </w:rPr>
        <w:t>»</w:t>
      </w:r>
    </w:p>
    <w:p w:rsidR="0080201F" w:rsidRPr="008F549A" w:rsidRDefault="0080201F">
      <w:pPr>
        <w:jc w:val="both"/>
        <w:rPr>
          <w:rFonts w:ascii="Arial" w:hAnsi="Arial" w:cs="Arial"/>
          <w:spacing w:val="-3"/>
          <w:sz w:val="22"/>
          <w:lang w:val="fr-BE"/>
        </w:rPr>
      </w:pPr>
    </w:p>
    <w:p w:rsidR="0080201F" w:rsidRPr="008F549A" w:rsidRDefault="0080201F">
      <w:pPr>
        <w:jc w:val="both"/>
        <w:rPr>
          <w:rFonts w:ascii="Arial" w:hAnsi="Arial" w:cs="Arial"/>
          <w:spacing w:val="-3"/>
          <w:sz w:val="22"/>
          <w:lang w:val="fr-BE"/>
        </w:rPr>
      </w:pPr>
    </w:p>
    <w:p w:rsidR="0080201F" w:rsidRPr="008F549A" w:rsidRDefault="0080201F">
      <w:pPr>
        <w:jc w:val="both"/>
        <w:rPr>
          <w:rFonts w:ascii="Arial" w:hAnsi="Arial" w:cs="Arial"/>
          <w:spacing w:val="-3"/>
          <w:sz w:val="22"/>
          <w:lang w:val="fr-BE"/>
        </w:rPr>
      </w:pPr>
    </w:p>
    <w:p w:rsidR="0080201F" w:rsidRPr="008F549A" w:rsidRDefault="0080201F">
      <w:pPr>
        <w:jc w:val="both"/>
        <w:rPr>
          <w:rFonts w:ascii="Arial" w:hAnsi="Arial" w:cs="Arial"/>
          <w:spacing w:val="-3"/>
          <w:sz w:val="24"/>
          <w:lang w:val="fr-BE"/>
        </w:rPr>
      </w:pPr>
    </w:p>
    <w:p w:rsidR="0080201F" w:rsidRPr="008F549A" w:rsidRDefault="0080201F">
      <w:pPr>
        <w:ind w:right="-1"/>
        <w:jc w:val="center"/>
        <w:rPr>
          <w:rFonts w:ascii="Arial" w:hAnsi="Arial" w:cs="Arial"/>
          <w:spacing w:val="-3"/>
          <w:sz w:val="24"/>
          <w:lang w:val="fr-BE"/>
        </w:rPr>
      </w:pPr>
      <w:r w:rsidRPr="008F549A">
        <w:rPr>
          <w:rFonts w:ascii="Arial" w:hAnsi="Arial" w:cs="Arial"/>
          <w:sz w:val="24"/>
          <w:lang w:val="fr-BE"/>
        </w:rPr>
        <w:t>Fait en deux exemplaires à Bruxelles le:</w:t>
      </w:r>
    </w:p>
    <w:p w:rsidR="0080201F" w:rsidRPr="008F549A" w:rsidRDefault="0080201F">
      <w:pPr>
        <w:ind w:right="-1"/>
        <w:jc w:val="both"/>
        <w:rPr>
          <w:rFonts w:ascii="Arial" w:hAnsi="Arial" w:cs="Arial"/>
          <w:spacing w:val="-3"/>
          <w:sz w:val="24"/>
          <w:lang w:val="fr-B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851"/>
        <w:gridCol w:w="4446"/>
      </w:tblGrid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 xml:space="preserve">Pour le pouvoir organisateur de l’établissement </w:t>
            </w: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 xml:space="preserve">Pour le Comité de l'assurance soins de santé </w:t>
            </w: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 xml:space="preserve">Le Responsable de la gestion du (site de) l’hôpital </w:t>
            </w: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A133B7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>Le Fonctionnaire Dirigeant,</w:t>
            </w:r>
          </w:p>
        </w:tc>
      </w:tr>
      <w:tr w:rsidR="0080201F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80201F" w:rsidRPr="008F549A" w:rsidRDefault="0080201F" w:rsidP="00766609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>H. De Ridder,</w:t>
            </w:r>
          </w:p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>Directeur général.</w:t>
            </w: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  <w:r w:rsidRPr="008F549A">
              <w:rPr>
                <w:rFonts w:ascii="Arial" w:hAnsi="Arial" w:cs="Arial"/>
                <w:b w:val="0"/>
                <w:lang w:val="fr-BE"/>
              </w:rPr>
              <w:t>Le(s) Médecin(s) responsable(s)</w:t>
            </w: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  <w:tr w:rsidR="00A133B7" w:rsidRPr="008F549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sz w:val="20"/>
                <w:lang w:val="fr-BE"/>
              </w:rPr>
            </w:pPr>
          </w:p>
        </w:tc>
        <w:tc>
          <w:tcPr>
            <w:tcW w:w="851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  <w:tc>
          <w:tcPr>
            <w:tcW w:w="4446" w:type="dxa"/>
          </w:tcPr>
          <w:p w:rsidR="00A133B7" w:rsidRPr="008F549A" w:rsidRDefault="00A133B7" w:rsidP="00A133B7">
            <w:pPr>
              <w:pStyle w:val="Plattetekst3"/>
              <w:rPr>
                <w:rFonts w:ascii="Arial" w:hAnsi="Arial" w:cs="Arial"/>
                <w:b w:val="0"/>
                <w:lang w:val="fr-BE"/>
              </w:rPr>
            </w:pPr>
          </w:p>
        </w:tc>
      </w:tr>
    </w:tbl>
    <w:p w:rsidR="0080201F" w:rsidRDefault="0080201F" w:rsidP="00A133B7">
      <w:pPr>
        <w:ind w:right="-1"/>
        <w:jc w:val="both"/>
        <w:rPr>
          <w:lang w:val="fr-BE"/>
        </w:rPr>
      </w:pPr>
    </w:p>
    <w:sectPr w:rsidR="0080201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37" w:right="851" w:bottom="74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38" w:rsidRDefault="00750138">
      <w:r>
        <w:separator/>
      </w:r>
    </w:p>
  </w:endnote>
  <w:endnote w:type="continuationSeparator" w:id="0">
    <w:p w:rsidR="00750138" w:rsidRDefault="007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17" w:rsidRDefault="00C7671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76717" w:rsidRDefault="00C7671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17" w:rsidRDefault="00C76717">
    <w:pPr>
      <w:pStyle w:val="Voettekst"/>
      <w:framePr w:wrap="around" w:vAnchor="text" w:hAnchor="margin" w:xAlign="right" w:y="1"/>
      <w:pBdr>
        <w:bottom w:val="single" w:sz="6" w:space="1" w:color="auto"/>
      </w:pBdr>
      <w:rPr>
        <w:rStyle w:val="Paginanummer"/>
      </w:rPr>
    </w:pPr>
  </w:p>
  <w:p w:rsidR="00C76717" w:rsidRDefault="00C76717">
    <w:pPr>
      <w:pStyle w:val="Voettekst"/>
      <w:ind w:right="360"/>
      <w:rPr>
        <w:lang w:val="nl-BE"/>
      </w:rPr>
    </w:pPr>
    <w:r>
      <w:rPr>
        <w:lang w:val="nl-BE"/>
      </w:rPr>
      <w:t>------------------</w:t>
    </w:r>
  </w:p>
  <w:p w:rsidR="00C76717" w:rsidRDefault="00C76717">
    <w:pPr>
      <w:pStyle w:val="Voettekst"/>
      <w:ind w:right="360"/>
      <w:rPr>
        <w:rFonts w:ascii="Arial" w:hAnsi="Arial"/>
        <w:sz w:val="18"/>
        <w:lang w:val="nl-BE"/>
      </w:rPr>
    </w:pPr>
    <w:r>
      <w:rPr>
        <w:rFonts w:ascii="Arial" w:hAnsi="Arial"/>
        <w:sz w:val="18"/>
        <w:lang w:val="nl-BE"/>
      </w:rPr>
      <w:t>RIZIV-INAMI      Dienst voor geneeskundige verzorging-Service des soins de santé</w:t>
    </w:r>
    <w:r>
      <w:rPr>
        <w:rFonts w:ascii="Arial" w:hAnsi="Arial"/>
        <w:sz w:val="18"/>
        <w:lang w:val="nl-BE"/>
      </w:rPr>
      <w:tab/>
    </w:r>
    <w:r>
      <w:rPr>
        <w:rFonts w:ascii="Arial" w:hAnsi="Arial"/>
        <w:sz w:val="18"/>
        <w:lang w:val="nl-BE"/>
      </w:rPr>
      <w:tab/>
      <w:t>W.U. 1.07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17" w:rsidRDefault="00C76717">
    <w:pPr>
      <w:pStyle w:val="Voettekst"/>
      <w:rPr>
        <w:rFonts w:ascii="Arial" w:hAnsi="Arial"/>
        <w:sz w:val="16"/>
        <w:lang w:val="nl-BE"/>
      </w:rPr>
    </w:pPr>
    <w:r>
      <w:rPr>
        <w:rFonts w:ascii="Arial" w:hAnsi="Arial"/>
        <w:sz w:val="16"/>
        <w:lang w:val="nl-BE"/>
      </w:rPr>
      <w:t>_______________________</w:t>
    </w:r>
  </w:p>
  <w:p w:rsidR="00C76717" w:rsidRDefault="00C76717">
    <w:pPr>
      <w:pStyle w:val="Voettekst"/>
      <w:rPr>
        <w:rFonts w:ascii="Arial" w:hAnsi="Arial"/>
        <w:sz w:val="16"/>
        <w:lang w:val="nl-BE"/>
      </w:rPr>
    </w:pPr>
    <w:r>
      <w:rPr>
        <w:rFonts w:ascii="Arial" w:hAnsi="Arial"/>
        <w:sz w:val="16"/>
        <w:lang w:val="nl-BE"/>
      </w:rPr>
      <w:t>RIZIV-INAMI   Dienst voor geneeskundige verzorging-Service des soins de santé                                                                     WU 1.07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38" w:rsidRDefault="00750138">
      <w:r>
        <w:separator/>
      </w:r>
    </w:p>
  </w:footnote>
  <w:footnote w:type="continuationSeparator" w:id="0">
    <w:p w:rsidR="00750138" w:rsidRDefault="007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17" w:rsidRDefault="00C7671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8</w:t>
    </w:r>
    <w:r>
      <w:rPr>
        <w:rStyle w:val="Paginanummer"/>
      </w:rPr>
      <w:fldChar w:fldCharType="end"/>
    </w:r>
  </w:p>
  <w:p w:rsidR="00C76717" w:rsidRDefault="00C76717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17" w:rsidRDefault="00C7671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D292F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C76717" w:rsidRDefault="00C76717">
    <w:pPr>
      <w:pStyle w:val="Koptekst"/>
      <w:ind w:right="360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57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142B2A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B85F06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42745E"/>
    <w:multiLevelType w:val="singleLevel"/>
    <w:tmpl w:val="2DF0A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B722735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8E6F8E"/>
    <w:multiLevelType w:val="singleLevel"/>
    <w:tmpl w:val="F21A8152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>
    <w:nsid w:val="20645DC6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847B59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7E137E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973315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6330E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1D0491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75386E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1C24A7"/>
    <w:multiLevelType w:val="singleLevel"/>
    <w:tmpl w:val="8E0851A6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>
    <w:nsid w:val="53C566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FC714C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9E45AB"/>
    <w:multiLevelType w:val="singleLevel"/>
    <w:tmpl w:val="DD6C1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6160B8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D83F41"/>
    <w:multiLevelType w:val="singleLevel"/>
    <w:tmpl w:val="A274CC8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FF6491E"/>
    <w:multiLevelType w:val="singleLevel"/>
    <w:tmpl w:val="34FAD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9"/>
  </w:num>
  <w:num w:numId="10">
    <w:abstractNumId w:val="1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0"/>
  </w:num>
  <w:num w:numId="18">
    <w:abstractNumId w:val="7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5"/>
    <w:rsid w:val="00022FA0"/>
    <w:rsid w:val="00023A7C"/>
    <w:rsid w:val="000B2038"/>
    <w:rsid w:val="001D292F"/>
    <w:rsid w:val="00213A47"/>
    <w:rsid w:val="002332AC"/>
    <w:rsid w:val="00236702"/>
    <w:rsid w:val="00280CEB"/>
    <w:rsid w:val="00334987"/>
    <w:rsid w:val="003A709F"/>
    <w:rsid w:val="003B44FA"/>
    <w:rsid w:val="003C1197"/>
    <w:rsid w:val="003F5480"/>
    <w:rsid w:val="00404600"/>
    <w:rsid w:val="00412829"/>
    <w:rsid w:val="00425D4C"/>
    <w:rsid w:val="00444D5E"/>
    <w:rsid w:val="00465254"/>
    <w:rsid w:val="00473176"/>
    <w:rsid w:val="004E4F97"/>
    <w:rsid w:val="005640AF"/>
    <w:rsid w:val="005751C9"/>
    <w:rsid w:val="005917FC"/>
    <w:rsid w:val="005B213A"/>
    <w:rsid w:val="00661405"/>
    <w:rsid w:val="00667984"/>
    <w:rsid w:val="00671A06"/>
    <w:rsid w:val="00692ECF"/>
    <w:rsid w:val="00750138"/>
    <w:rsid w:val="007536AB"/>
    <w:rsid w:val="00763786"/>
    <w:rsid w:val="00766609"/>
    <w:rsid w:val="007E2F91"/>
    <w:rsid w:val="0080201F"/>
    <w:rsid w:val="008629FA"/>
    <w:rsid w:val="008F549A"/>
    <w:rsid w:val="009B37B8"/>
    <w:rsid w:val="009C17F1"/>
    <w:rsid w:val="00A01C8E"/>
    <w:rsid w:val="00A133B7"/>
    <w:rsid w:val="00A7266F"/>
    <w:rsid w:val="00B03BEC"/>
    <w:rsid w:val="00B60782"/>
    <w:rsid w:val="00BC6141"/>
    <w:rsid w:val="00BE15E9"/>
    <w:rsid w:val="00C00172"/>
    <w:rsid w:val="00C53302"/>
    <w:rsid w:val="00C76717"/>
    <w:rsid w:val="00C85AF5"/>
    <w:rsid w:val="00C85C20"/>
    <w:rsid w:val="00CD4461"/>
    <w:rsid w:val="00CE5C5A"/>
    <w:rsid w:val="00D0408E"/>
    <w:rsid w:val="00D31A36"/>
    <w:rsid w:val="00DE0827"/>
    <w:rsid w:val="00E533A1"/>
    <w:rsid w:val="00E630EE"/>
    <w:rsid w:val="00EC00E1"/>
    <w:rsid w:val="00F32DCC"/>
    <w:rsid w:val="00F55B83"/>
    <w:rsid w:val="00F668D0"/>
    <w:rsid w:val="00FA2CF7"/>
    <w:rsid w:val="00FC3902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lang w:val="nl-BE"/>
    </w:rPr>
  </w:style>
  <w:style w:type="paragraph" w:styleId="Kop2">
    <w:name w:val="heading 2"/>
    <w:basedOn w:val="Standaard"/>
    <w:next w:val="Standaard"/>
    <w:qFormat/>
    <w:pPr>
      <w:keepNext/>
      <w:ind w:right="-1"/>
      <w:jc w:val="center"/>
      <w:outlineLvl w:val="1"/>
    </w:pPr>
    <w:rPr>
      <w:b/>
      <w:spacing w:val="-3"/>
      <w:sz w:val="24"/>
      <w:u w:val="single"/>
      <w:lang w:val="fr-FR"/>
    </w:rPr>
  </w:style>
  <w:style w:type="paragraph" w:styleId="Kop3">
    <w:name w:val="heading 3"/>
    <w:basedOn w:val="Standaard"/>
    <w:next w:val="Standaard"/>
    <w:qFormat/>
    <w:pPr>
      <w:keepNext/>
      <w:ind w:right="-1"/>
      <w:jc w:val="both"/>
      <w:outlineLvl w:val="2"/>
    </w:pPr>
    <w:rPr>
      <w:b/>
      <w:spacing w:val="-3"/>
      <w:sz w:val="24"/>
      <w:u w:val="single"/>
      <w:lang w:val="fr-FR"/>
    </w:rPr>
  </w:style>
  <w:style w:type="paragraph" w:styleId="Kop4">
    <w:name w:val="heading 4"/>
    <w:basedOn w:val="Standaard"/>
    <w:next w:val="Standaard"/>
    <w:qFormat/>
    <w:pPr>
      <w:keepNext/>
      <w:ind w:right="-1"/>
      <w:jc w:val="center"/>
      <w:outlineLvl w:val="3"/>
    </w:pPr>
    <w:rPr>
      <w:sz w:val="24"/>
      <w:lang w:val="nl-BE"/>
    </w:rPr>
  </w:style>
  <w:style w:type="paragraph" w:styleId="Kop5">
    <w:name w:val="heading 5"/>
    <w:basedOn w:val="Standaard"/>
    <w:next w:val="Standaard"/>
    <w:qFormat/>
    <w:pPr>
      <w:keepNext/>
      <w:ind w:right="-1"/>
      <w:outlineLvl w:val="4"/>
    </w:pPr>
    <w:rPr>
      <w:b/>
      <w:spacing w:val="-3"/>
      <w:sz w:val="24"/>
      <w:u w:val="single"/>
      <w:lang w:val="fr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loktekst">
    <w:name w:val="Block Text"/>
    <w:basedOn w:val="Standaard"/>
    <w:pPr>
      <w:tabs>
        <w:tab w:val="left" w:pos="1843"/>
      </w:tabs>
      <w:ind w:left="1843" w:right="717"/>
      <w:jc w:val="both"/>
    </w:pPr>
    <w:rPr>
      <w:rFonts w:ascii="CG Times" w:hAnsi="CG Times"/>
      <w:spacing w:val="-3"/>
      <w:lang w:val="fr-FR"/>
    </w:rPr>
  </w:style>
  <w:style w:type="paragraph" w:styleId="Titel">
    <w:name w:val="Title"/>
    <w:basedOn w:val="Standaard"/>
    <w:qFormat/>
    <w:pPr>
      <w:jc w:val="center"/>
    </w:pPr>
    <w:rPr>
      <w:b/>
      <w:sz w:val="28"/>
      <w:lang w:val="nl-BE"/>
    </w:rPr>
  </w:style>
  <w:style w:type="paragraph" w:styleId="Plattetekst">
    <w:name w:val="Body Text"/>
    <w:basedOn w:val="Standaard"/>
    <w:pPr>
      <w:ind w:right="-1"/>
      <w:jc w:val="both"/>
    </w:pPr>
    <w:rPr>
      <w:b/>
      <w:spacing w:val="-3"/>
      <w:sz w:val="24"/>
      <w:lang w:val="fr-FR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pPr>
      <w:ind w:right="-1"/>
      <w:jc w:val="both"/>
    </w:pPr>
    <w:rPr>
      <w:spacing w:val="-3"/>
      <w:sz w:val="24"/>
      <w:lang w:val="fr-FR"/>
    </w:rPr>
  </w:style>
  <w:style w:type="paragraph" w:styleId="Plattetekst3">
    <w:name w:val="Body Text 3"/>
    <w:basedOn w:val="Standaard"/>
    <w:pPr>
      <w:jc w:val="both"/>
    </w:pPr>
    <w:rPr>
      <w:b/>
      <w:spacing w:val="-3"/>
      <w:sz w:val="24"/>
    </w:rPr>
  </w:style>
  <w:style w:type="paragraph" w:styleId="Plattetekstinspringen">
    <w:name w:val="Body Text Indent"/>
    <w:basedOn w:val="Standaard"/>
    <w:pPr>
      <w:ind w:right="-1" w:firstLine="709"/>
      <w:jc w:val="both"/>
    </w:pPr>
    <w:rPr>
      <w:spacing w:val="-3"/>
      <w:sz w:val="24"/>
      <w:lang w:val="fr-FR"/>
    </w:rPr>
  </w:style>
  <w:style w:type="paragraph" w:styleId="Plattetekstinspringen2">
    <w:name w:val="Body Text Indent 2"/>
    <w:basedOn w:val="Standaard"/>
    <w:pPr>
      <w:ind w:right="-1" w:firstLine="851"/>
      <w:jc w:val="both"/>
    </w:pPr>
    <w:rPr>
      <w:spacing w:val="-3"/>
      <w:sz w:val="24"/>
      <w:lang w:val="fr-FR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C5330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66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lang w:val="nl-BE"/>
    </w:rPr>
  </w:style>
  <w:style w:type="paragraph" w:styleId="Kop2">
    <w:name w:val="heading 2"/>
    <w:basedOn w:val="Standaard"/>
    <w:next w:val="Standaard"/>
    <w:qFormat/>
    <w:pPr>
      <w:keepNext/>
      <w:ind w:right="-1"/>
      <w:jc w:val="center"/>
      <w:outlineLvl w:val="1"/>
    </w:pPr>
    <w:rPr>
      <w:b/>
      <w:spacing w:val="-3"/>
      <w:sz w:val="24"/>
      <w:u w:val="single"/>
      <w:lang w:val="fr-FR"/>
    </w:rPr>
  </w:style>
  <w:style w:type="paragraph" w:styleId="Kop3">
    <w:name w:val="heading 3"/>
    <w:basedOn w:val="Standaard"/>
    <w:next w:val="Standaard"/>
    <w:qFormat/>
    <w:pPr>
      <w:keepNext/>
      <w:ind w:right="-1"/>
      <w:jc w:val="both"/>
      <w:outlineLvl w:val="2"/>
    </w:pPr>
    <w:rPr>
      <w:b/>
      <w:spacing w:val="-3"/>
      <w:sz w:val="24"/>
      <w:u w:val="single"/>
      <w:lang w:val="fr-FR"/>
    </w:rPr>
  </w:style>
  <w:style w:type="paragraph" w:styleId="Kop4">
    <w:name w:val="heading 4"/>
    <w:basedOn w:val="Standaard"/>
    <w:next w:val="Standaard"/>
    <w:qFormat/>
    <w:pPr>
      <w:keepNext/>
      <w:ind w:right="-1"/>
      <w:jc w:val="center"/>
      <w:outlineLvl w:val="3"/>
    </w:pPr>
    <w:rPr>
      <w:sz w:val="24"/>
      <w:lang w:val="nl-BE"/>
    </w:rPr>
  </w:style>
  <w:style w:type="paragraph" w:styleId="Kop5">
    <w:name w:val="heading 5"/>
    <w:basedOn w:val="Standaard"/>
    <w:next w:val="Standaard"/>
    <w:qFormat/>
    <w:pPr>
      <w:keepNext/>
      <w:ind w:right="-1"/>
      <w:outlineLvl w:val="4"/>
    </w:pPr>
    <w:rPr>
      <w:b/>
      <w:spacing w:val="-3"/>
      <w:sz w:val="24"/>
      <w:u w:val="single"/>
      <w:lang w:val="fr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loktekst">
    <w:name w:val="Block Text"/>
    <w:basedOn w:val="Standaard"/>
    <w:pPr>
      <w:tabs>
        <w:tab w:val="left" w:pos="1843"/>
      </w:tabs>
      <w:ind w:left="1843" w:right="717"/>
      <w:jc w:val="both"/>
    </w:pPr>
    <w:rPr>
      <w:rFonts w:ascii="CG Times" w:hAnsi="CG Times"/>
      <w:spacing w:val="-3"/>
      <w:lang w:val="fr-FR"/>
    </w:rPr>
  </w:style>
  <w:style w:type="paragraph" w:styleId="Titel">
    <w:name w:val="Title"/>
    <w:basedOn w:val="Standaard"/>
    <w:qFormat/>
    <w:pPr>
      <w:jc w:val="center"/>
    </w:pPr>
    <w:rPr>
      <w:b/>
      <w:sz w:val="28"/>
      <w:lang w:val="nl-BE"/>
    </w:rPr>
  </w:style>
  <w:style w:type="paragraph" w:styleId="Plattetekst">
    <w:name w:val="Body Text"/>
    <w:basedOn w:val="Standaard"/>
    <w:pPr>
      <w:ind w:right="-1"/>
      <w:jc w:val="both"/>
    </w:pPr>
    <w:rPr>
      <w:b/>
      <w:spacing w:val="-3"/>
      <w:sz w:val="24"/>
      <w:lang w:val="fr-FR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pPr>
      <w:ind w:right="-1"/>
      <w:jc w:val="both"/>
    </w:pPr>
    <w:rPr>
      <w:spacing w:val="-3"/>
      <w:sz w:val="24"/>
      <w:lang w:val="fr-FR"/>
    </w:rPr>
  </w:style>
  <w:style w:type="paragraph" w:styleId="Plattetekst3">
    <w:name w:val="Body Text 3"/>
    <w:basedOn w:val="Standaard"/>
    <w:pPr>
      <w:jc w:val="both"/>
    </w:pPr>
    <w:rPr>
      <w:b/>
      <w:spacing w:val="-3"/>
      <w:sz w:val="24"/>
    </w:rPr>
  </w:style>
  <w:style w:type="paragraph" w:styleId="Plattetekstinspringen">
    <w:name w:val="Body Text Indent"/>
    <w:basedOn w:val="Standaard"/>
    <w:pPr>
      <w:ind w:right="-1" w:firstLine="709"/>
      <w:jc w:val="both"/>
    </w:pPr>
    <w:rPr>
      <w:spacing w:val="-3"/>
      <w:sz w:val="24"/>
      <w:lang w:val="fr-FR"/>
    </w:rPr>
  </w:style>
  <w:style w:type="paragraph" w:styleId="Plattetekstinspringen2">
    <w:name w:val="Body Text Indent 2"/>
    <w:basedOn w:val="Standaard"/>
    <w:pPr>
      <w:ind w:right="-1" w:firstLine="851"/>
      <w:jc w:val="both"/>
    </w:pPr>
    <w:rPr>
      <w:spacing w:val="-3"/>
      <w:sz w:val="24"/>
      <w:lang w:val="fr-FR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C5330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66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71</Value>
      <Value>8</Value>
      <Value>29</Value>
      <Value>62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A3185EB-2733-4CB5-933D-3C7662B6589B}"/>
</file>

<file path=customXml/itemProps2.xml><?xml version="1.0" encoding="utf-8"?>
<ds:datastoreItem xmlns:ds="http://schemas.openxmlformats.org/officeDocument/2006/customXml" ds:itemID="{46E7DD9A-EE2F-4457-A1B7-A2050A36F1D5}"/>
</file>

<file path=customXml/itemProps3.xml><?xml version="1.0" encoding="utf-8"?>
<ds:datastoreItem xmlns:ds="http://schemas.openxmlformats.org/officeDocument/2006/customXml" ds:itemID="{B944B401-F489-4B52-85A1-472FE5E7BE85}"/>
</file>

<file path=docProps/app.xml><?xml version="1.0" encoding="utf-8"?>
<Properties xmlns="http://schemas.openxmlformats.org/officeDocument/2006/extended-properties" xmlns:vt="http://schemas.openxmlformats.org/officeDocument/2006/docPropsVTypes">
  <Template>EF24ED0A.dotm</Template>
  <TotalTime>0</TotalTime>
  <Pages>4</Pages>
  <Words>1095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 NATIONAL D’ASSURANCE MALADIE-INVALIDITE</vt:lpstr>
      <vt:lpstr>INSTITUT NATIONAL D’ASSURANCE MALADIE-INVALIDITE</vt:lpstr>
    </vt:vector>
  </TitlesOfParts>
  <Company>R.I.Z.I.V. - I.N.A.M.I.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à la convention valable jusqu’au 31 mars 2015 inclus: décès inexpliqué de jeunes enfants: - soutien psychosocial des parents et de la famille et possibilité d’autopsie</dc:title>
  <dc:creator>ih3112</dc:creator>
  <cp:lastModifiedBy>Bruno De Bolle</cp:lastModifiedBy>
  <cp:revision>2</cp:revision>
  <cp:lastPrinted>2005-04-18T08:21:00Z</cp:lastPrinted>
  <dcterms:created xsi:type="dcterms:W3CDTF">2015-04-02T12:21:00Z</dcterms:created>
  <dcterms:modified xsi:type="dcterms:W3CDTF">2015-04-02T12:21:00Z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29;#Arts|d8a1e59b-bcd7-4d2f-b75c-23b993f6e1ad;#58;#Patiënt|2ebaf0cf-7353-4273-b1af-236262c84494;#24;#Ziekenfondsen|a6cbed05-adf5-4226-bcb7-ef5cdc788bf2;#62;#Algemeen ziekenhuis|2072517b-c14b-4631-aa17-bb49afc2ae96;#71;#Gespecialiseerde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</Properties>
</file>