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6595" w14:textId="77777777" w:rsidR="00F323DF" w:rsidRPr="00F323DF" w:rsidRDefault="00F323DF" w:rsidP="00F323DF">
      <w:pPr>
        <w:spacing w:after="120"/>
        <w:jc w:val="center"/>
        <w:rPr>
          <w:rFonts w:ascii="Arial" w:hAnsi="Arial"/>
          <w:b/>
          <w:sz w:val="22"/>
          <w:lang w:val="fr-FR"/>
        </w:rPr>
      </w:pPr>
      <w:r w:rsidRPr="00F323DF">
        <w:rPr>
          <w:rFonts w:ascii="Arial" w:hAnsi="Arial"/>
          <w:b/>
          <w:sz w:val="22"/>
          <w:lang w:val="fr-FR"/>
        </w:rPr>
        <w:t>INSTITUT NATIONAL D’ASSURANCE MALADIE INVALIDITÉ</w:t>
      </w:r>
    </w:p>
    <w:p w14:paraId="01390556" w14:textId="77777777" w:rsidR="00F323DF" w:rsidRPr="00F323DF" w:rsidRDefault="00F323DF" w:rsidP="00F323DF">
      <w:pPr>
        <w:jc w:val="center"/>
        <w:rPr>
          <w:rFonts w:ascii="Arial" w:hAnsi="Arial"/>
          <w:lang w:val="fr-FR"/>
        </w:rPr>
      </w:pPr>
      <w:r w:rsidRPr="00F323DF">
        <w:rPr>
          <w:rFonts w:ascii="Arial" w:hAnsi="Arial"/>
          <w:lang w:val="fr-FR"/>
        </w:rPr>
        <w:t>Etablissement public institué par la loi du 9 août 1963</w:t>
      </w:r>
    </w:p>
    <w:p w14:paraId="038E5FA1" w14:textId="77777777" w:rsidR="00F323DF" w:rsidRPr="00F323DF" w:rsidRDefault="00F323DF" w:rsidP="00F323DF">
      <w:pPr>
        <w:spacing w:after="120"/>
        <w:jc w:val="center"/>
        <w:rPr>
          <w:rFonts w:ascii="Arial" w:hAnsi="Arial"/>
          <w:lang w:val="fr-FR"/>
        </w:rPr>
      </w:pPr>
      <w:r w:rsidRPr="00F323DF">
        <w:rPr>
          <w:rFonts w:ascii="Arial" w:hAnsi="Arial"/>
          <w:lang w:val="fr-FR"/>
        </w:rPr>
        <w:t>Avenue Galilée 5/01, à 1210 Bruxelles</w:t>
      </w:r>
    </w:p>
    <w:p w14:paraId="07F75D7D" w14:textId="77777777" w:rsidR="00F323DF" w:rsidRPr="00F323DF" w:rsidRDefault="00F323DF" w:rsidP="00F323DF">
      <w:pPr>
        <w:keepNext/>
        <w:spacing w:after="120"/>
        <w:jc w:val="center"/>
        <w:outlineLvl w:val="5"/>
        <w:rPr>
          <w:rFonts w:ascii="Arial" w:hAnsi="Arial"/>
          <w:b/>
          <w:sz w:val="22"/>
          <w:lang w:val="fr-FR"/>
        </w:rPr>
      </w:pPr>
      <w:r w:rsidRPr="00F323DF">
        <w:rPr>
          <w:rFonts w:ascii="Arial" w:hAnsi="Arial"/>
          <w:b/>
          <w:sz w:val="22"/>
          <w:lang w:val="fr-FR"/>
        </w:rPr>
        <w:t>Service des Soins de Santé</w:t>
      </w:r>
    </w:p>
    <w:p w14:paraId="37CA33A6" w14:textId="77777777" w:rsidR="0066121A" w:rsidRPr="00F323DF" w:rsidRDefault="0066121A" w:rsidP="0066121A">
      <w:pPr>
        <w:tabs>
          <w:tab w:val="left" w:pos="-1440"/>
          <w:tab w:val="left" w:pos="-720"/>
          <w:tab w:val="left" w:pos="0"/>
          <w:tab w:val="left" w:pos="1360"/>
          <w:tab w:val="left" w:pos="5102"/>
          <w:tab w:val="center" w:pos="6236"/>
        </w:tabs>
        <w:jc w:val="center"/>
        <w:rPr>
          <w:rFonts w:ascii="Arial" w:hAnsi="Arial" w:cs="Arial"/>
          <w:b/>
          <w:spacing w:val="-3"/>
          <w:lang w:val="fr-FR"/>
        </w:rPr>
      </w:pPr>
    </w:p>
    <w:p w14:paraId="632C3A74" w14:textId="77777777" w:rsidR="0066121A" w:rsidRPr="002023E0" w:rsidRDefault="0066121A" w:rsidP="0066121A">
      <w:pPr>
        <w:tabs>
          <w:tab w:val="left" w:pos="720"/>
          <w:tab w:val="left" w:pos="3480"/>
          <w:tab w:val="center" w:pos="4680"/>
        </w:tabs>
        <w:rPr>
          <w:rFonts w:ascii="Arial" w:hAnsi="Arial" w:cs="Arial"/>
          <w:lang w:val="fr-FR"/>
        </w:rPr>
      </w:pPr>
      <w:r w:rsidRPr="002023E0">
        <w:rPr>
          <w:rFonts w:ascii="Arial" w:hAnsi="Arial" w:cs="Arial"/>
          <w:lang w:val="fr-FR"/>
        </w:rPr>
        <w:tab/>
      </w:r>
      <w:r w:rsidRPr="002023E0">
        <w:rPr>
          <w:rFonts w:ascii="Arial" w:hAnsi="Arial" w:cs="Arial"/>
          <w:lang w:val="fr-FR"/>
        </w:rPr>
        <w:tab/>
      </w:r>
      <w:r w:rsidRPr="002023E0">
        <w:rPr>
          <w:rFonts w:ascii="Arial" w:hAnsi="Arial" w:cs="Arial"/>
          <w:lang w:val="fr-FR"/>
        </w:rPr>
        <w:tab/>
      </w:r>
    </w:p>
    <w:p w14:paraId="32CB6DAD" w14:textId="77777777" w:rsidR="0066121A" w:rsidRPr="0066121A" w:rsidRDefault="0066121A" w:rsidP="0066121A">
      <w:pPr>
        <w:pStyle w:val="Plattetekst"/>
        <w:jc w:val="center"/>
        <w:rPr>
          <w:rFonts w:ascii="Arial" w:hAnsi="Arial" w:cs="Arial"/>
        </w:rPr>
      </w:pPr>
      <w:r w:rsidRPr="0066121A">
        <w:rPr>
          <w:rFonts w:ascii="Arial" w:hAnsi="Arial" w:cs="Arial"/>
        </w:rPr>
        <w:t>AVENANT À LA CONVENTION DE RÉÉDUCATION FONCTIONNELLE AVEC LES CENTRES DE RÉFÉRENCE EN NÉPHROLOGIE PÉDIATRIQUE</w:t>
      </w:r>
    </w:p>
    <w:p w14:paraId="413B5127" w14:textId="77777777" w:rsidR="0066121A" w:rsidRPr="002023E0" w:rsidRDefault="0066121A" w:rsidP="0066121A">
      <w:pPr>
        <w:pStyle w:val="Plattetekst"/>
        <w:jc w:val="center"/>
        <w:rPr>
          <w:rFonts w:ascii="Arial" w:hAnsi="Arial" w:cs="Arial"/>
          <w:b w:val="0"/>
        </w:rPr>
      </w:pPr>
    </w:p>
    <w:p w14:paraId="1BA50DB3" w14:textId="77777777" w:rsidR="0066121A" w:rsidRPr="002023E0" w:rsidRDefault="0066121A" w:rsidP="0066121A">
      <w:pPr>
        <w:pStyle w:val="Plattetekst"/>
        <w:rPr>
          <w:rFonts w:ascii="Arial" w:hAnsi="Arial" w:cs="Arial"/>
          <w:b w:val="0"/>
          <w:u w:val="none"/>
        </w:rPr>
      </w:pPr>
    </w:p>
    <w:p w14:paraId="260B5F46" w14:textId="3501D821" w:rsidR="0066121A" w:rsidRPr="002023E0" w:rsidRDefault="0066121A" w:rsidP="0066121A">
      <w:pPr>
        <w:tabs>
          <w:tab w:val="left" w:pos="-720"/>
        </w:tabs>
        <w:suppressAutoHyphens/>
        <w:jc w:val="both"/>
        <w:rPr>
          <w:rFonts w:ascii="Arial" w:hAnsi="Arial" w:cs="Arial"/>
          <w:spacing w:val="-2"/>
          <w:lang w:val="fr-FR"/>
        </w:rPr>
      </w:pPr>
      <w:r>
        <w:rPr>
          <w:rFonts w:ascii="Arial" w:hAnsi="Arial" w:cs="Arial"/>
          <w:spacing w:val="-2"/>
          <w:lang w:val="fr-FR"/>
        </w:rPr>
        <w:tab/>
      </w:r>
      <w:r w:rsidRPr="002023E0">
        <w:rPr>
          <w:rFonts w:ascii="Arial" w:hAnsi="Arial" w:cs="Arial"/>
          <w:spacing w:val="-2"/>
          <w:lang w:val="fr-FR"/>
        </w:rPr>
        <w:t>Vu la loi relative à l'assurance obligatoire soins de santé et indemnités, coordonnée le 14 juillet 1994, notamment les articles 22, 6°, 23, § 3 et 34, 7°</w:t>
      </w:r>
      <w:r w:rsidR="00644F4A">
        <w:rPr>
          <w:rFonts w:ascii="Arial" w:hAnsi="Arial" w:cs="Arial"/>
          <w:spacing w:val="-2"/>
          <w:lang w:val="fr-FR"/>
        </w:rPr>
        <w:t xml:space="preserve"> </w:t>
      </w:r>
      <w:r w:rsidRPr="002023E0">
        <w:rPr>
          <w:rFonts w:ascii="Arial" w:hAnsi="Arial" w:cs="Arial"/>
          <w:spacing w:val="-2"/>
          <w:lang w:val="fr-FR"/>
        </w:rPr>
        <w:t>;</w:t>
      </w:r>
    </w:p>
    <w:p w14:paraId="1D52D2B4" w14:textId="77777777" w:rsidR="0066121A" w:rsidRPr="002023E0" w:rsidRDefault="0066121A" w:rsidP="0066121A">
      <w:pPr>
        <w:tabs>
          <w:tab w:val="left" w:pos="-720"/>
        </w:tabs>
        <w:suppressAutoHyphens/>
        <w:jc w:val="both"/>
        <w:rPr>
          <w:rFonts w:ascii="Arial" w:hAnsi="Arial" w:cs="Arial"/>
          <w:spacing w:val="-2"/>
          <w:lang w:val="fr-FR"/>
        </w:rPr>
      </w:pPr>
    </w:p>
    <w:p w14:paraId="0D6A07CE" w14:textId="22CD2CFA" w:rsidR="0066121A" w:rsidRPr="002023E0" w:rsidRDefault="0066121A" w:rsidP="0066121A">
      <w:pPr>
        <w:tabs>
          <w:tab w:val="left" w:pos="-720"/>
        </w:tabs>
        <w:suppressAutoHyphens/>
        <w:jc w:val="both"/>
        <w:rPr>
          <w:rFonts w:ascii="Arial" w:hAnsi="Arial" w:cs="Arial"/>
          <w:spacing w:val="-2"/>
          <w:lang w:val="fr-FR"/>
        </w:rPr>
      </w:pPr>
      <w:r>
        <w:rPr>
          <w:rFonts w:ascii="Arial" w:hAnsi="Arial" w:cs="Arial"/>
          <w:spacing w:val="-2"/>
          <w:lang w:val="fr-FR"/>
        </w:rPr>
        <w:tab/>
      </w:r>
      <w:r w:rsidRPr="002023E0">
        <w:rPr>
          <w:rFonts w:ascii="Arial" w:hAnsi="Arial" w:cs="Arial"/>
          <w:spacing w:val="-2"/>
          <w:lang w:val="fr-FR"/>
        </w:rPr>
        <w:t>Sur proposition du Collège des médecins-directeurs institué auprès du Service des soins de santé de l'Institut national d'assurance maladie-invalidité</w:t>
      </w:r>
      <w:r w:rsidR="00644F4A">
        <w:rPr>
          <w:rFonts w:ascii="Arial" w:hAnsi="Arial" w:cs="Arial"/>
          <w:spacing w:val="-2"/>
          <w:lang w:val="fr-FR"/>
        </w:rPr>
        <w:t xml:space="preserve"> </w:t>
      </w:r>
      <w:r w:rsidRPr="002023E0">
        <w:rPr>
          <w:rFonts w:ascii="Arial" w:hAnsi="Arial" w:cs="Arial"/>
          <w:spacing w:val="-2"/>
          <w:lang w:val="fr-FR"/>
        </w:rPr>
        <w:t>;</w:t>
      </w:r>
    </w:p>
    <w:p w14:paraId="37BA1718" w14:textId="77777777" w:rsidR="0066121A" w:rsidRPr="002023E0" w:rsidRDefault="0066121A" w:rsidP="0066121A">
      <w:pPr>
        <w:tabs>
          <w:tab w:val="left" w:pos="-720"/>
        </w:tabs>
        <w:suppressAutoHyphens/>
        <w:jc w:val="both"/>
        <w:rPr>
          <w:rFonts w:ascii="Arial" w:hAnsi="Arial" w:cs="Arial"/>
          <w:spacing w:val="-2"/>
          <w:lang w:val="fr-FR"/>
        </w:rPr>
      </w:pPr>
    </w:p>
    <w:p w14:paraId="7914C277" w14:textId="77777777" w:rsidR="0066121A" w:rsidRPr="0066121A" w:rsidRDefault="0066121A" w:rsidP="0066121A">
      <w:pPr>
        <w:tabs>
          <w:tab w:val="left" w:pos="-1440"/>
          <w:tab w:val="left" w:pos="-720"/>
          <w:tab w:val="left" w:pos="0"/>
          <w:tab w:val="left" w:pos="1360"/>
          <w:tab w:val="left" w:pos="5102"/>
          <w:tab w:val="center" w:pos="6236"/>
        </w:tabs>
        <w:ind w:left="1360" w:hanging="1360"/>
        <w:jc w:val="both"/>
        <w:rPr>
          <w:rFonts w:ascii="Arial" w:hAnsi="Arial" w:cs="Arial"/>
          <w:spacing w:val="-3"/>
          <w:lang w:val="fr-BE"/>
        </w:rPr>
      </w:pPr>
      <w:r>
        <w:rPr>
          <w:rFonts w:ascii="Arial" w:hAnsi="Arial" w:cs="Arial"/>
          <w:spacing w:val="-2"/>
          <w:lang w:val="fr-FR"/>
        </w:rPr>
        <w:tab/>
      </w:r>
      <w:r w:rsidRPr="0066121A">
        <w:rPr>
          <w:rFonts w:ascii="Arial" w:hAnsi="Arial" w:cs="Arial"/>
          <w:spacing w:val="-3"/>
          <w:lang w:val="fr-BE"/>
        </w:rPr>
        <w:t>Il est conclu entre :</w:t>
      </w:r>
    </w:p>
    <w:p w14:paraId="2C754BC3" w14:textId="77777777" w:rsidR="0066121A" w:rsidRPr="0066121A" w:rsidRDefault="0066121A" w:rsidP="0066121A">
      <w:pPr>
        <w:tabs>
          <w:tab w:val="left" w:pos="-1440"/>
          <w:tab w:val="left" w:pos="-720"/>
          <w:tab w:val="left" w:pos="0"/>
          <w:tab w:val="left" w:pos="1360"/>
          <w:tab w:val="left" w:pos="5102"/>
          <w:tab w:val="center" w:pos="6236"/>
        </w:tabs>
        <w:ind w:left="1360" w:hanging="1360"/>
        <w:jc w:val="both"/>
        <w:rPr>
          <w:rFonts w:ascii="Arial" w:hAnsi="Arial" w:cs="Arial"/>
          <w:spacing w:val="-3"/>
          <w:lang w:val="fr-BE"/>
        </w:rPr>
      </w:pPr>
    </w:p>
    <w:p w14:paraId="2AE84D7C"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roofErr w:type="gramStart"/>
      <w:r w:rsidRPr="0066121A">
        <w:rPr>
          <w:rFonts w:ascii="Arial" w:hAnsi="Arial" w:cs="Arial"/>
          <w:spacing w:val="-3"/>
          <w:lang w:val="fr-BE"/>
        </w:rPr>
        <w:t>d'une</w:t>
      </w:r>
      <w:proofErr w:type="gramEnd"/>
      <w:r w:rsidRPr="0066121A">
        <w:rPr>
          <w:rFonts w:ascii="Arial" w:hAnsi="Arial" w:cs="Arial"/>
          <w:spacing w:val="-3"/>
          <w:lang w:val="fr-BE"/>
        </w:rPr>
        <w:t xml:space="preserve"> part,</w:t>
      </w:r>
    </w:p>
    <w:p w14:paraId="2CF15920"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
    <w:p w14:paraId="41F4FA9D"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r w:rsidRPr="0066121A">
        <w:rPr>
          <w:rFonts w:ascii="Arial" w:hAnsi="Arial" w:cs="Arial"/>
          <w:spacing w:val="-3"/>
          <w:lang w:val="fr-BE"/>
        </w:rPr>
        <w:tab/>
      </w:r>
      <w:proofErr w:type="gramStart"/>
      <w:r w:rsidRPr="0066121A">
        <w:rPr>
          <w:rFonts w:ascii="Arial" w:hAnsi="Arial" w:cs="Arial"/>
          <w:spacing w:val="-3"/>
          <w:lang w:val="fr-BE"/>
        </w:rPr>
        <w:t>le</w:t>
      </w:r>
      <w:proofErr w:type="gramEnd"/>
      <w:r w:rsidRPr="0066121A">
        <w:rPr>
          <w:rFonts w:ascii="Arial" w:hAnsi="Arial" w:cs="Arial"/>
          <w:spacing w:val="-3"/>
          <w:lang w:val="fr-BE"/>
        </w:rPr>
        <w:t xml:space="preserve"> Comité de l'assurance soins de santé institué auprès du Service des soins de santé de l’Institut National d’Assurance Maladie-Invalidité,</w:t>
      </w:r>
    </w:p>
    <w:p w14:paraId="6E3F38A4"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r w:rsidRPr="0066121A">
        <w:rPr>
          <w:rFonts w:ascii="Arial" w:hAnsi="Arial" w:cs="Arial"/>
          <w:spacing w:val="-3"/>
          <w:lang w:val="fr-BE"/>
        </w:rPr>
        <w:t xml:space="preserve"> </w:t>
      </w:r>
    </w:p>
    <w:p w14:paraId="0A6CE318"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roofErr w:type="gramStart"/>
      <w:r w:rsidRPr="0066121A">
        <w:rPr>
          <w:rFonts w:ascii="Arial" w:hAnsi="Arial" w:cs="Arial"/>
          <w:spacing w:val="-3"/>
          <w:lang w:val="fr-BE"/>
        </w:rPr>
        <w:t>et</w:t>
      </w:r>
      <w:proofErr w:type="gramEnd"/>
      <w:r w:rsidRPr="0066121A">
        <w:rPr>
          <w:rFonts w:ascii="Arial" w:hAnsi="Arial" w:cs="Arial"/>
          <w:spacing w:val="-3"/>
          <w:lang w:val="fr-BE"/>
        </w:rPr>
        <w:t xml:space="preserve"> d'autre part,</w:t>
      </w:r>
    </w:p>
    <w:p w14:paraId="0E50B868" w14:textId="77777777" w:rsidR="0066121A" w:rsidRPr="00AB2385" w:rsidRDefault="0066121A" w:rsidP="0066121A">
      <w:pPr>
        <w:tabs>
          <w:tab w:val="left" w:pos="-720"/>
        </w:tabs>
        <w:suppressAutoHyphens/>
        <w:jc w:val="both"/>
        <w:rPr>
          <w:rFonts w:ascii="Arial" w:hAnsi="Arial" w:cs="Arial"/>
          <w:lang w:val="fr-BE"/>
        </w:rPr>
      </w:pPr>
    </w:p>
    <w:p w14:paraId="49BF3975" w14:textId="5F36003F" w:rsidR="0066121A" w:rsidRDefault="0066121A" w:rsidP="0066121A">
      <w:pPr>
        <w:jc w:val="both"/>
        <w:rPr>
          <w:rFonts w:ascii="Arial" w:hAnsi="Arial" w:cs="Arial"/>
          <w:lang w:val="fr-BE"/>
        </w:rPr>
      </w:pPr>
      <w:r w:rsidRPr="00AB2385">
        <w:rPr>
          <w:rFonts w:ascii="Arial" w:hAnsi="Arial" w:cs="Arial"/>
          <w:lang w:val="fr-BE"/>
        </w:rPr>
        <w:tab/>
      </w:r>
      <w:proofErr w:type="gramStart"/>
      <w:r w:rsidRPr="0066121A">
        <w:rPr>
          <w:rFonts w:ascii="Arial" w:hAnsi="Arial" w:cs="Arial"/>
          <w:spacing w:val="-3"/>
          <w:lang w:val="fr-BE"/>
        </w:rPr>
        <w:t>l</w:t>
      </w:r>
      <w:r w:rsidR="009833A8">
        <w:rPr>
          <w:rFonts w:ascii="Arial" w:hAnsi="Arial" w:cs="Arial"/>
          <w:spacing w:val="-3"/>
          <w:lang w:val="fr-BE"/>
        </w:rPr>
        <w:t>e</w:t>
      </w:r>
      <w:proofErr w:type="gramEnd"/>
      <w:r w:rsidR="00552D6C">
        <w:rPr>
          <w:rFonts w:ascii="Arial" w:hAnsi="Arial" w:cs="Arial"/>
          <w:spacing w:val="-3"/>
          <w:lang w:val="fr-BE"/>
        </w:rPr>
        <w:t xml:space="preserve"> </w:t>
      </w:r>
      <w:r w:rsidR="00552D6C" w:rsidRPr="00F42825">
        <w:rPr>
          <w:rFonts w:ascii="Arial" w:hAnsi="Arial" w:cs="Arial"/>
          <w:spacing w:val="-3"/>
          <w:highlight w:val="yellow"/>
          <w:lang w:val="fr-BE"/>
        </w:rPr>
        <w:t>[nom de l’hôpital]</w:t>
      </w:r>
      <w:r>
        <w:rPr>
          <w:rFonts w:ascii="Arial" w:hAnsi="Arial" w:cs="Arial"/>
          <w:b/>
          <w:spacing w:val="-3"/>
          <w:lang w:val="fr-BE"/>
        </w:rPr>
        <w:t xml:space="preserve"> </w:t>
      </w:r>
      <w:r>
        <w:rPr>
          <w:rFonts w:ascii="Arial" w:hAnsi="Arial" w:cs="Arial"/>
          <w:lang w:val="fr-BE"/>
        </w:rPr>
        <w:t>pour le centre de référence en néphrologie pédiatrique d</w:t>
      </w:r>
      <w:r w:rsidR="005C336C">
        <w:rPr>
          <w:rFonts w:ascii="Arial" w:hAnsi="Arial" w:cs="Arial"/>
          <w:lang w:val="fr-BE"/>
        </w:rPr>
        <w:t>e</w:t>
      </w:r>
      <w:r w:rsidR="000A30B0">
        <w:rPr>
          <w:rFonts w:ascii="Arial" w:hAnsi="Arial" w:cs="Arial"/>
          <w:lang w:val="fr-BE"/>
        </w:rPr>
        <w:t xml:space="preserve"> l’hôpital du même nom</w:t>
      </w:r>
      <w:r w:rsidR="005C336C">
        <w:rPr>
          <w:rFonts w:ascii="Arial" w:hAnsi="Arial" w:cs="Arial"/>
          <w:lang w:val="fr-BE"/>
        </w:rPr>
        <w:t xml:space="preserve"> </w:t>
      </w:r>
      <w:r w:rsidRPr="0066121A">
        <w:rPr>
          <w:rFonts w:ascii="Arial" w:hAnsi="Arial" w:cs="Arial"/>
          <w:spacing w:val="-2"/>
          <w:lang w:val="fr-BE"/>
        </w:rPr>
        <w:t>à</w:t>
      </w:r>
      <w:r w:rsidR="00552D6C">
        <w:rPr>
          <w:rFonts w:ascii="Arial" w:hAnsi="Arial" w:cs="Arial"/>
          <w:spacing w:val="-2"/>
          <w:lang w:val="fr-BE"/>
        </w:rPr>
        <w:t xml:space="preserve"> </w:t>
      </w:r>
      <w:r w:rsidR="00552D6C" w:rsidRPr="00F42825">
        <w:rPr>
          <w:rFonts w:ascii="Arial" w:hAnsi="Arial" w:cs="Arial"/>
          <w:spacing w:val="-2"/>
          <w:highlight w:val="yellow"/>
          <w:lang w:val="fr-BE"/>
        </w:rPr>
        <w:t>[localité]</w:t>
      </w:r>
      <w:r>
        <w:rPr>
          <w:rFonts w:ascii="Arial" w:hAnsi="Arial" w:cs="Arial"/>
          <w:lang w:val="fr-BE"/>
        </w:rPr>
        <w:t>,</w:t>
      </w:r>
    </w:p>
    <w:p w14:paraId="480C28E0" w14:textId="77777777" w:rsid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
    <w:p w14:paraId="1588FE62" w14:textId="77777777" w:rsidR="0066121A" w:rsidRP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roofErr w:type="gramStart"/>
      <w:r w:rsidRPr="0066121A">
        <w:rPr>
          <w:rFonts w:ascii="Arial" w:hAnsi="Arial" w:cs="Arial"/>
          <w:spacing w:val="-3"/>
          <w:lang w:val="fr-BE"/>
        </w:rPr>
        <w:t>le</w:t>
      </w:r>
      <w:proofErr w:type="gramEnd"/>
      <w:r w:rsidRPr="0066121A">
        <w:rPr>
          <w:rFonts w:ascii="Arial" w:hAnsi="Arial" w:cs="Arial"/>
          <w:spacing w:val="-3"/>
          <w:lang w:val="fr-BE"/>
        </w:rPr>
        <w:t xml:space="preserve"> présent avenant.</w:t>
      </w:r>
    </w:p>
    <w:p w14:paraId="4393A362" w14:textId="77777777" w:rsidR="0066121A" w:rsidRDefault="0066121A" w:rsidP="0066121A">
      <w:pPr>
        <w:tabs>
          <w:tab w:val="left" w:pos="-1440"/>
          <w:tab w:val="left" w:pos="-720"/>
          <w:tab w:val="left" w:pos="0"/>
          <w:tab w:val="left" w:pos="1360"/>
          <w:tab w:val="left" w:pos="5102"/>
          <w:tab w:val="center" w:pos="6236"/>
        </w:tabs>
        <w:jc w:val="both"/>
        <w:rPr>
          <w:rFonts w:ascii="Arial" w:hAnsi="Arial" w:cs="Arial"/>
          <w:spacing w:val="-3"/>
          <w:lang w:val="fr-BE"/>
        </w:rPr>
      </w:pPr>
    </w:p>
    <w:p w14:paraId="326BCB34" w14:textId="77777777" w:rsidR="00F42825" w:rsidRPr="0066121A" w:rsidRDefault="00F42825" w:rsidP="0066121A">
      <w:pPr>
        <w:tabs>
          <w:tab w:val="left" w:pos="-1440"/>
          <w:tab w:val="left" w:pos="-720"/>
          <w:tab w:val="left" w:pos="0"/>
          <w:tab w:val="left" w:pos="1360"/>
          <w:tab w:val="left" w:pos="5102"/>
          <w:tab w:val="center" w:pos="6236"/>
        </w:tabs>
        <w:jc w:val="both"/>
        <w:rPr>
          <w:rFonts w:ascii="Arial" w:hAnsi="Arial" w:cs="Arial"/>
          <w:spacing w:val="-3"/>
          <w:lang w:val="fr-BE"/>
        </w:rPr>
      </w:pPr>
    </w:p>
    <w:p w14:paraId="11EFBFC5" w14:textId="77777777" w:rsidR="0066121A" w:rsidRPr="0066121A" w:rsidRDefault="0066121A" w:rsidP="0066121A">
      <w:pPr>
        <w:tabs>
          <w:tab w:val="left" w:pos="-720"/>
          <w:tab w:val="left" w:pos="0"/>
          <w:tab w:val="left" w:pos="374"/>
          <w:tab w:val="left" w:pos="655"/>
          <w:tab w:val="left" w:pos="1360"/>
          <w:tab w:val="left" w:pos="2370"/>
          <w:tab w:val="left" w:pos="2880"/>
          <w:tab w:val="left" w:pos="3818"/>
          <w:tab w:val="left" w:pos="5102"/>
          <w:tab w:val="center" w:pos="6236"/>
        </w:tabs>
        <w:jc w:val="center"/>
        <w:rPr>
          <w:rFonts w:ascii="Arial" w:hAnsi="Arial" w:cs="Arial"/>
          <w:spacing w:val="-3"/>
          <w:lang w:val="fr-BE"/>
        </w:rPr>
      </w:pPr>
      <w:r w:rsidRPr="0066121A">
        <w:rPr>
          <w:rFonts w:ascii="Arial" w:hAnsi="Arial" w:cs="Arial"/>
          <w:b/>
          <w:spacing w:val="-3"/>
          <w:u w:val="single"/>
          <w:lang w:val="fr-BE"/>
        </w:rPr>
        <w:t xml:space="preserve">DISPOSITIONS DU </w:t>
      </w:r>
      <w:proofErr w:type="spellStart"/>
      <w:r w:rsidRPr="0066121A">
        <w:rPr>
          <w:rFonts w:ascii="Arial" w:hAnsi="Arial" w:cs="Arial"/>
          <w:b/>
          <w:spacing w:val="-3"/>
          <w:u w:val="single"/>
          <w:lang w:val="fr-BE"/>
        </w:rPr>
        <w:t>PRESENT</w:t>
      </w:r>
      <w:proofErr w:type="spellEnd"/>
      <w:r w:rsidRPr="0066121A">
        <w:rPr>
          <w:rFonts w:ascii="Arial" w:hAnsi="Arial" w:cs="Arial"/>
          <w:b/>
          <w:spacing w:val="-3"/>
          <w:u w:val="single"/>
          <w:lang w:val="fr-BE"/>
        </w:rPr>
        <w:t xml:space="preserve"> AVENANT</w:t>
      </w:r>
    </w:p>
    <w:p w14:paraId="359CA1E3" w14:textId="77777777" w:rsidR="0066121A" w:rsidRPr="008641F2" w:rsidRDefault="0066121A" w:rsidP="0066121A">
      <w:pPr>
        <w:tabs>
          <w:tab w:val="center" w:pos="4960"/>
        </w:tabs>
        <w:jc w:val="both"/>
        <w:rPr>
          <w:rFonts w:ascii="Arial" w:hAnsi="Arial" w:cs="Arial"/>
          <w:spacing w:val="-3"/>
          <w:lang w:val="fr-BE"/>
        </w:rPr>
      </w:pPr>
    </w:p>
    <w:p w14:paraId="54FB5994" w14:textId="77777777" w:rsidR="0066121A" w:rsidRDefault="0066121A" w:rsidP="0066121A">
      <w:pPr>
        <w:jc w:val="both"/>
        <w:rPr>
          <w:rFonts w:ascii="Arial" w:hAnsi="Arial" w:cs="Arial"/>
          <w:lang w:val="fr-BE"/>
        </w:rPr>
      </w:pPr>
      <w:r w:rsidRPr="002023E0">
        <w:rPr>
          <w:rFonts w:ascii="Arial" w:hAnsi="Arial" w:cs="Arial"/>
          <w:b/>
          <w:u w:val="single"/>
          <w:lang w:val="fr-BE"/>
        </w:rPr>
        <w:t>Article 1.</w:t>
      </w:r>
      <w:r w:rsidRPr="002023E0">
        <w:rPr>
          <w:rFonts w:ascii="Arial" w:hAnsi="Arial" w:cs="Arial"/>
          <w:lang w:val="fr-BE"/>
        </w:rPr>
        <w:tab/>
      </w:r>
    </w:p>
    <w:p w14:paraId="49A873FB" w14:textId="77777777" w:rsidR="0066121A" w:rsidRDefault="0066121A" w:rsidP="0066121A">
      <w:pPr>
        <w:jc w:val="both"/>
        <w:rPr>
          <w:rFonts w:ascii="Arial" w:hAnsi="Arial" w:cs="Arial"/>
          <w:lang w:val="fr-BE"/>
        </w:rPr>
      </w:pPr>
    </w:p>
    <w:p w14:paraId="4291B148" w14:textId="766F856C" w:rsidR="00BA640A" w:rsidRDefault="00BA640A" w:rsidP="0066121A">
      <w:pPr>
        <w:jc w:val="both"/>
        <w:rPr>
          <w:rFonts w:ascii="Arial" w:hAnsi="Arial" w:cs="Arial"/>
          <w:lang w:val="fr-BE"/>
        </w:rPr>
      </w:pPr>
      <w:r>
        <w:rPr>
          <w:rFonts w:ascii="Arial" w:hAnsi="Arial" w:cs="Arial"/>
          <w:lang w:val="fr-BE"/>
        </w:rPr>
        <w:t>Les dispositions de l’article 6, § 2, 2</w:t>
      </w:r>
      <w:r w:rsidRPr="00BA640A">
        <w:rPr>
          <w:rFonts w:ascii="Arial" w:hAnsi="Arial" w:cs="Arial"/>
          <w:vertAlign w:val="superscript"/>
          <w:lang w:val="fr-BE"/>
        </w:rPr>
        <w:t>ème</w:t>
      </w:r>
      <w:r>
        <w:rPr>
          <w:rFonts w:ascii="Arial" w:hAnsi="Arial" w:cs="Arial"/>
          <w:lang w:val="fr-BE"/>
        </w:rPr>
        <w:t xml:space="preserve"> alinéa de la convention sont remplacées par les dispositions suivantes :</w:t>
      </w:r>
    </w:p>
    <w:p w14:paraId="57697ABF" w14:textId="77777777" w:rsidR="00BA640A" w:rsidRDefault="00BA640A" w:rsidP="0066121A">
      <w:pPr>
        <w:jc w:val="both"/>
        <w:rPr>
          <w:rFonts w:ascii="Arial" w:hAnsi="Arial" w:cs="Arial"/>
          <w:lang w:val="fr-BE"/>
        </w:rPr>
      </w:pPr>
    </w:p>
    <w:p w14:paraId="0266F498" w14:textId="3BDB75FA" w:rsidR="00BA640A" w:rsidRPr="00BA640A" w:rsidRDefault="00BA640A" w:rsidP="00BA640A">
      <w:pPr>
        <w:jc w:val="both"/>
        <w:rPr>
          <w:rFonts w:ascii="Arial" w:hAnsi="Arial" w:cs="Arial"/>
          <w:lang w:val="fr-FR"/>
        </w:rPr>
      </w:pPr>
      <w:r>
        <w:rPr>
          <w:rFonts w:ascii="Arial" w:hAnsi="Arial" w:cs="Arial"/>
          <w:lang w:val="fr-FR"/>
        </w:rPr>
        <w:t>« </w:t>
      </w:r>
      <w:r w:rsidRPr="00BA640A">
        <w:rPr>
          <w:rFonts w:ascii="Arial" w:hAnsi="Arial" w:cs="Arial"/>
          <w:lang w:val="fr-FR"/>
        </w:rPr>
        <w:t xml:space="preserve">Les fonctions thérapeutiques non-médicales (points 3 à 6) sont remplies, ensembles, durant un minimum de 82 heures par semaine au total. Parmi celles-ci, la fonction de psychologue </w:t>
      </w:r>
      <w:r w:rsidRPr="00BA640A">
        <w:rPr>
          <w:rFonts w:ascii="Arial" w:hAnsi="Arial" w:cs="Arial"/>
          <w:b/>
          <w:bCs/>
          <w:lang w:val="fr-FR"/>
        </w:rPr>
        <w:t xml:space="preserve">(point </w:t>
      </w:r>
      <w:r w:rsidR="00ED1CAF" w:rsidRPr="00941719">
        <w:rPr>
          <w:rFonts w:ascii="Arial" w:hAnsi="Arial" w:cs="Arial"/>
          <w:b/>
          <w:bCs/>
          <w:strike/>
          <w:lang w:val="fr-FR"/>
        </w:rPr>
        <w:t>2</w:t>
      </w:r>
      <w:r w:rsidR="00ED1CAF">
        <w:rPr>
          <w:rFonts w:ascii="Arial" w:hAnsi="Arial" w:cs="Arial"/>
          <w:b/>
          <w:bCs/>
          <w:lang w:val="fr-FR"/>
        </w:rPr>
        <w:t xml:space="preserve"> </w:t>
      </w:r>
      <w:r w:rsidRPr="00BA640A">
        <w:rPr>
          <w:rFonts w:ascii="Arial" w:hAnsi="Arial" w:cs="Arial"/>
          <w:b/>
          <w:bCs/>
          <w:lang w:val="fr-FR"/>
        </w:rPr>
        <w:t>3)</w:t>
      </w:r>
      <w:r w:rsidRPr="00BA640A">
        <w:rPr>
          <w:rFonts w:ascii="Arial" w:hAnsi="Arial" w:cs="Arial"/>
          <w:lang w:val="fr-FR"/>
        </w:rPr>
        <w:t xml:space="preserve"> est remplie durant un minimum de 24 heures par semaine.</w:t>
      </w:r>
      <w:r>
        <w:rPr>
          <w:rFonts w:ascii="Arial" w:hAnsi="Arial" w:cs="Arial"/>
          <w:lang w:val="fr-FR"/>
        </w:rPr>
        <w:t> »</w:t>
      </w:r>
    </w:p>
    <w:p w14:paraId="29C84D2E" w14:textId="77777777" w:rsidR="00BA640A" w:rsidRDefault="00BA640A" w:rsidP="0066121A">
      <w:pPr>
        <w:jc w:val="both"/>
        <w:rPr>
          <w:rFonts w:ascii="Arial" w:hAnsi="Arial" w:cs="Arial"/>
          <w:lang w:val="fr-FR"/>
        </w:rPr>
      </w:pPr>
    </w:p>
    <w:p w14:paraId="10A48F6E" w14:textId="2BBCD4A4" w:rsidR="00BA640A" w:rsidRPr="00BA640A" w:rsidRDefault="00BA640A" w:rsidP="0066121A">
      <w:pPr>
        <w:jc w:val="both"/>
        <w:rPr>
          <w:rFonts w:ascii="Arial" w:hAnsi="Arial" w:cs="Arial"/>
          <w:b/>
          <w:bCs/>
          <w:u w:val="single"/>
          <w:lang w:val="fr-BE"/>
        </w:rPr>
      </w:pPr>
      <w:r>
        <w:rPr>
          <w:rFonts w:ascii="Arial" w:hAnsi="Arial" w:cs="Arial"/>
          <w:b/>
          <w:bCs/>
          <w:u w:val="single"/>
          <w:lang w:val="fr-BE"/>
        </w:rPr>
        <w:t xml:space="preserve">Article </w:t>
      </w:r>
      <w:r w:rsidR="00497636">
        <w:rPr>
          <w:rFonts w:ascii="Arial" w:hAnsi="Arial" w:cs="Arial"/>
          <w:b/>
          <w:bCs/>
          <w:u w:val="single"/>
          <w:lang w:val="fr-BE"/>
        </w:rPr>
        <w:t>2</w:t>
      </w:r>
      <w:r>
        <w:rPr>
          <w:rFonts w:ascii="Arial" w:hAnsi="Arial" w:cs="Arial"/>
          <w:b/>
          <w:bCs/>
          <w:u w:val="single"/>
          <w:lang w:val="fr-BE"/>
        </w:rPr>
        <w:t>.</w:t>
      </w:r>
    </w:p>
    <w:p w14:paraId="52A58B31" w14:textId="77777777" w:rsidR="00BA640A" w:rsidRDefault="00BA640A" w:rsidP="0066121A">
      <w:pPr>
        <w:jc w:val="both"/>
        <w:rPr>
          <w:rFonts w:ascii="Arial" w:hAnsi="Arial" w:cs="Arial"/>
          <w:lang w:val="fr-BE"/>
        </w:rPr>
      </w:pPr>
    </w:p>
    <w:p w14:paraId="55C40FA9" w14:textId="6A4AEE72" w:rsidR="00810B72" w:rsidRDefault="00810B72" w:rsidP="0066121A">
      <w:pPr>
        <w:jc w:val="both"/>
        <w:rPr>
          <w:rFonts w:ascii="Arial" w:hAnsi="Arial" w:cs="Arial"/>
          <w:lang w:val="fr-BE"/>
        </w:rPr>
      </w:pPr>
      <w:r>
        <w:rPr>
          <w:rFonts w:ascii="Arial" w:hAnsi="Arial" w:cs="Arial"/>
          <w:lang w:val="fr-BE"/>
        </w:rPr>
        <w:t>Les dispositions de l’article 13 de la convention sont remplacées par les dispositions suivantes :</w:t>
      </w:r>
    </w:p>
    <w:p w14:paraId="59B05965" w14:textId="77777777" w:rsidR="00810B72" w:rsidRDefault="00810B72" w:rsidP="0066121A">
      <w:pPr>
        <w:jc w:val="both"/>
        <w:rPr>
          <w:rFonts w:ascii="Arial" w:hAnsi="Arial" w:cs="Arial"/>
          <w:lang w:val="fr-BE"/>
        </w:rPr>
      </w:pPr>
    </w:p>
    <w:p w14:paraId="477778F5" w14:textId="77777777" w:rsidR="00810B72" w:rsidRPr="00810B72" w:rsidRDefault="00810B72" w:rsidP="00810B72">
      <w:pPr>
        <w:jc w:val="both"/>
        <w:rPr>
          <w:rFonts w:ascii="Arial" w:hAnsi="Arial" w:cs="Arial"/>
          <w:lang w:val="fr-FR"/>
        </w:rPr>
      </w:pPr>
      <w:r>
        <w:rPr>
          <w:rFonts w:ascii="Arial" w:hAnsi="Arial" w:cs="Arial"/>
          <w:lang w:val="fr-BE"/>
        </w:rPr>
        <w:t>« </w:t>
      </w:r>
      <w:r w:rsidRPr="00810B72">
        <w:rPr>
          <w:rFonts w:ascii="Arial" w:hAnsi="Arial" w:cs="Arial"/>
          <w:b/>
          <w:lang w:val="fr-FR"/>
        </w:rPr>
        <w:t>§ 1</w:t>
      </w:r>
      <w:r w:rsidRPr="00810B72">
        <w:rPr>
          <w:rFonts w:ascii="Arial" w:hAnsi="Arial" w:cs="Arial"/>
          <w:lang w:val="fr-FR"/>
        </w:rPr>
        <w:t xml:space="preserve"> Afin de démontrer sa spécialisation et son expérience dans le domaine de la néphrologie pédiatrique, chaque centre candidat à la conclusion de la présente convention, est censé prouver qu’il a suivi un minimum de 100 patients, tels que ceux visés par la présente convention (article 3), au cours de l’année qui précède la conclusion de cette convention.</w:t>
      </w:r>
    </w:p>
    <w:p w14:paraId="4D683940" w14:textId="77777777" w:rsidR="00810B72" w:rsidRPr="00810B72" w:rsidRDefault="00810B72" w:rsidP="00810B72">
      <w:pPr>
        <w:jc w:val="both"/>
        <w:rPr>
          <w:rFonts w:ascii="Arial" w:hAnsi="Arial" w:cs="Arial"/>
          <w:lang w:val="fr-FR"/>
        </w:rPr>
      </w:pPr>
    </w:p>
    <w:p w14:paraId="32693BD2" w14:textId="76614A3E" w:rsidR="00810B72" w:rsidRPr="00810B72" w:rsidRDefault="00810B72" w:rsidP="00810B72">
      <w:pPr>
        <w:jc w:val="both"/>
        <w:rPr>
          <w:rFonts w:ascii="Arial" w:hAnsi="Arial" w:cs="Arial"/>
          <w:lang w:val="fr-FR"/>
        </w:rPr>
      </w:pPr>
      <w:r w:rsidRPr="00810B72">
        <w:rPr>
          <w:rFonts w:ascii="Arial" w:hAnsi="Arial" w:cs="Arial"/>
          <w:lang w:val="fr-FR"/>
        </w:rPr>
        <w:t>On attend de tout centre qui se porte candidat pour la conclusion de cette convention</w:t>
      </w:r>
      <w:r w:rsidR="00ED1CAF">
        <w:rPr>
          <w:rFonts w:ascii="Arial" w:hAnsi="Arial" w:cs="Arial"/>
          <w:lang w:val="fr-FR"/>
        </w:rPr>
        <w:t xml:space="preserve"> </w:t>
      </w:r>
      <w:r w:rsidR="00ED1CAF" w:rsidRPr="00F42825">
        <w:rPr>
          <w:rFonts w:ascii="Arial" w:hAnsi="Arial" w:cs="Arial"/>
          <w:lang w:val="fr-FR"/>
        </w:rPr>
        <w:t xml:space="preserve">qu’il ait en permanence en traitement un minimum de </w:t>
      </w:r>
      <w:r w:rsidR="00ED1CAF" w:rsidRPr="00F42825">
        <w:rPr>
          <w:rFonts w:ascii="Arial" w:hAnsi="Arial" w:cs="Arial"/>
          <w:b/>
          <w:bCs/>
          <w:strike/>
          <w:lang w:val="fr-FR"/>
        </w:rPr>
        <w:t>25</w:t>
      </w:r>
      <w:r w:rsidR="00F86A0D" w:rsidRPr="00F86A0D">
        <w:rPr>
          <w:rFonts w:ascii="Arial" w:hAnsi="Arial" w:cs="Arial"/>
          <w:b/>
          <w:bCs/>
          <w:lang w:val="fr-FR"/>
        </w:rPr>
        <w:t xml:space="preserve"> </w:t>
      </w:r>
      <w:r w:rsidR="00F42825" w:rsidRPr="00F42825">
        <w:rPr>
          <w:rFonts w:ascii="Arial" w:hAnsi="Arial" w:cs="Arial"/>
          <w:b/>
          <w:bCs/>
          <w:lang w:val="fr-FR"/>
        </w:rPr>
        <w:t>15</w:t>
      </w:r>
      <w:r w:rsidR="00F42825">
        <w:rPr>
          <w:rFonts w:ascii="Arial" w:hAnsi="Arial" w:cs="Arial"/>
          <w:lang w:val="fr-FR"/>
        </w:rPr>
        <w:t xml:space="preserve"> </w:t>
      </w:r>
      <w:r w:rsidRPr="00F86A0D">
        <w:rPr>
          <w:rFonts w:ascii="Arial" w:hAnsi="Arial" w:cs="Arial"/>
          <w:lang w:val="fr-FR"/>
        </w:rPr>
        <w:t>patients pédiatriques (âgés de moins de 18 ans), nécessitant un traitement de substitution de la fonction rénale : c’est-à-dire, soit une dialyse réalisée dans</w:t>
      </w:r>
      <w:r w:rsidRPr="00810B72">
        <w:rPr>
          <w:rFonts w:ascii="Arial" w:hAnsi="Arial" w:cs="Arial"/>
          <w:lang w:val="fr-FR"/>
        </w:rPr>
        <w:t xml:space="preserve"> le même service de pédiatrie – </w:t>
      </w:r>
      <w:r w:rsidRPr="00F86A0D">
        <w:rPr>
          <w:rFonts w:ascii="Arial" w:hAnsi="Arial" w:cs="Arial"/>
          <w:i/>
          <w:iCs/>
          <w:lang w:val="fr-FR"/>
        </w:rPr>
        <w:t>sans préjudice des dispositions de l’article 3 selon lesquelles ces patients ne sont pas bénéficiaires de la convention</w:t>
      </w:r>
      <w:r w:rsidRPr="00810B72">
        <w:rPr>
          <w:rFonts w:ascii="Arial" w:hAnsi="Arial" w:cs="Arial"/>
          <w:lang w:val="fr-FR"/>
        </w:rPr>
        <w:t xml:space="preserve"> –, soit le suivi d’une transplantation rénale. Ce dernier groupe </w:t>
      </w:r>
      <w:r w:rsidRPr="00810B72">
        <w:rPr>
          <w:rFonts w:ascii="Arial" w:hAnsi="Arial" w:cs="Arial"/>
          <w:lang w:val="fr-FR"/>
        </w:rPr>
        <w:lastRenderedPageBreak/>
        <w:t>de patients (les patients qui ont subi une transplantation rénale) peuvent également être pris en compte dans le minimum de 100 patients visé ci-dessus.</w:t>
      </w:r>
    </w:p>
    <w:p w14:paraId="0A28AC87" w14:textId="77777777" w:rsidR="00810B72" w:rsidRPr="00810B72" w:rsidRDefault="00810B72" w:rsidP="00810B72">
      <w:pPr>
        <w:jc w:val="both"/>
        <w:rPr>
          <w:rFonts w:ascii="Arial" w:hAnsi="Arial" w:cs="Arial"/>
          <w:lang w:val="fr-FR"/>
        </w:rPr>
      </w:pPr>
    </w:p>
    <w:p w14:paraId="556F6439" w14:textId="1131A757" w:rsidR="00810B72" w:rsidRPr="00F42825" w:rsidRDefault="00810B72" w:rsidP="00810B72">
      <w:pPr>
        <w:jc w:val="both"/>
        <w:rPr>
          <w:rFonts w:ascii="Arial" w:hAnsi="Arial" w:cs="Arial"/>
          <w:lang w:val="fr-FR"/>
        </w:rPr>
      </w:pPr>
      <w:r w:rsidRPr="00810B72">
        <w:rPr>
          <w:rFonts w:ascii="Arial" w:hAnsi="Arial" w:cs="Arial"/>
          <w:lang w:val="fr-FR"/>
        </w:rPr>
        <w:t xml:space="preserve">A partir de l’entrée en vigueur de la présente convention, au cours de toute année civile, le centre réalise un programme de soins en faveur d’un minimum de 100 </w:t>
      </w:r>
      <w:r w:rsidR="001C4B77">
        <w:rPr>
          <w:rFonts w:ascii="Arial" w:hAnsi="Arial" w:cs="Arial"/>
          <w:lang w:val="fr-FR"/>
        </w:rPr>
        <w:t>bénéficiaires</w:t>
      </w:r>
      <w:r w:rsidRPr="00810B72">
        <w:rPr>
          <w:rFonts w:ascii="Arial" w:hAnsi="Arial" w:cs="Arial"/>
          <w:lang w:val="fr-FR"/>
        </w:rPr>
        <w:t xml:space="preserve"> différents</w:t>
      </w:r>
      <w:r w:rsidR="00ED1CAF">
        <w:rPr>
          <w:rFonts w:ascii="Arial" w:hAnsi="Arial" w:cs="Arial"/>
          <w:lang w:val="fr-FR"/>
        </w:rPr>
        <w:t xml:space="preserve">, </w:t>
      </w:r>
      <w:r w:rsidR="00ED1CAF" w:rsidRPr="00F86A0D">
        <w:rPr>
          <w:rFonts w:ascii="Arial" w:hAnsi="Arial" w:cs="Arial"/>
          <w:lang w:val="fr-FR"/>
        </w:rPr>
        <w:t>tel qu’il apparaît</w:t>
      </w:r>
      <w:r w:rsidR="00F42825">
        <w:rPr>
          <w:rFonts w:ascii="Arial" w:hAnsi="Arial" w:cs="Arial"/>
          <w:lang w:val="fr-FR"/>
        </w:rPr>
        <w:t xml:space="preserve"> </w:t>
      </w:r>
      <w:r w:rsidR="00ED1CAF" w:rsidRPr="00F86A0D">
        <w:rPr>
          <w:rFonts w:ascii="Arial" w:hAnsi="Arial" w:cs="Arial"/>
          <w:b/>
          <w:bCs/>
          <w:strike/>
          <w:lang w:val="fr-FR"/>
        </w:rPr>
        <w:t>de ses chiffres de production (article 29, § 2)</w:t>
      </w:r>
      <w:r w:rsidRPr="00F86A0D">
        <w:rPr>
          <w:rFonts w:ascii="Arial" w:hAnsi="Arial" w:cs="Arial"/>
          <w:b/>
          <w:bCs/>
          <w:strike/>
          <w:lang w:val="fr-FR"/>
        </w:rPr>
        <w:t>.</w:t>
      </w:r>
      <w:r w:rsidR="00F42825" w:rsidRPr="00F42825">
        <w:rPr>
          <w:rFonts w:ascii="Arial" w:hAnsi="Arial" w:cs="Arial"/>
          <w:b/>
          <w:bCs/>
          <w:lang w:val="fr-FR"/>
        </w:rPr>
        <w:t xml:space="preserve"> </w:t>
      </w:r>
      <w:proofErr w:type="gramStart"/>
      <w:r w:rsidR="00F42825" w:rsidRPr="00F86A0D">
        <w:rPr>
          <w:rFonts w:ascii="Arial" w:hAnsi="Arial" w:cs="Arial"/>
          <w:b/>
          <w:bCs/>
          <w:lang w:val="fr-FR"/>
        </w:rPr>
        <w:t>des</w:t>
      </w:r>
      <w:proofErr w:type="gramEnd"/>
      <w:r w:rsidR="00F42825" w:rsidRPr="00F86A0D">
        <w:rPr>
          <w:rFonts w:ascii="Arial" w:hAnsi="Arial" w:cs="Arial"/>
          <w:b/>
          <w:bCs/>
          <w:lang w:val="fr-FR"/>
        </w:rPr>
        <w:t xml:space="preserve"> données obtenues </w:t>
      </w:r>
      <w:r w:rsidR="004C23B0">
        <w:rPr>
          <w:rFonts w:ascii="Arial" w:hAnsi="Arial" w:cs="Arial"/>
          <w:b/>
          <w:bCs/>
          <w:lang w:val="fr-FR"/>
        </w:rPr>
        <w:t>auprès</w:t>
      </w:r>
      <w:r w:rsidR="004C23B0" w:rsidRPr="00F86A0D">
        <w:rPr>
          <w:rFonts w:ascii="Arial" w:hAnsi="Arial" w:cs="Arial"/>
          <w:b/>
          <w:bCs/>
          <w:lang w:val="fr-FR"/>
        </w:rPr>
        <w:t xml:space="preserve"> </w:t>
      </w:r>
      <w:r w:rsidR="004C23B0">
        <w:rPr>
          <w:rFonts w:ascii="Arial" w:hAnsi="Arial" w:cs="Arial"/>
          <w:b/>
          <w:bCs/>
          <w:lang w:val="fr-FR"/>
        </w:rPr>
        <w:t>d</w:t>
      </w:r>
      <w:r w:rsidR="00F42825" w:rsidRPr="00F86A0D">
        <w:rPr>
          <w:rFonts w:ascii="Arial" w:hAnsi="Arial" w:cs="Arial"/>
          <w:b/>
          <w:bCs/>
          <w:lang w:val="fr-FR"/>
        </w:rPr>
        <w:t>es organismes assureurs ou de toute autre source pertinent</w:t>
      </w:r>
      <w:r w:rsidR="004C23B0">
        <w:rPr>
          <w:rFonts w:ascii="Arial" w:hAnsi="Arial" w:cs="Arial"/>
          <w:b/>
          <w:bCs/>
          <w:lang w:val="fr-FR"/>
        </w:rPr>
        <w:t>e</w:t>
      </w:r>
      <w:r w:rsidR="00F42825" w:rsidRPr="00F86A0D">
        <w:rPr>
          <w:rFonts w:ascii="Arial" w:hAnsi="Arial" w:cs="Arial"/>
          <w:b/>
          <w:bCs/>
          <w:lang w:val="fr-FR"/>
        </w:rPr>
        <w:t xml:space="preserve"> dans ce contexte.</w:t>
      </w:r>
      <w:r w:rsidR="00A45802" w:rsidRPr="00F42825">
        <w:rPr>
          <w:rFonts w:ascii="Arial" w:hAnsi="Arial" w:cs="Arial"/>
          <w:lang w:val="fr-FR"/>
        </w:rPr>
        <w:t xml:space="preserve"> A partir de cette date, il a également en permanence en traitement </w:t>
      </w:r>
      <w:r w:rsidR="00A45802" w:rsidRPr="00F42825">
        <w:rPr>
          <w:rFonts w:ascii="Arial" w:hAnsi="Arial" w:cs="Arial"/>
          <w:b/>
          <w:bCs/>
          <w:strike/>
          <w:lang w:val="fr-FR"/>
        </w:rPr>
        <w:t>25</w:t>
      </w:r>
      <w:r w:rsidR="00A45802" w:rsidRPr="00F42825">
        <w:rPr>
          <w:rFonts w:ascii="Arial" w:hAnsi="Arial" w:cs="Arial"/>
          <w:b/>
          <w:bCs/>
          <w:lang w:val="fr-FR"/>
        </w:rPr>
        <w:t xml:space="preserve"> </w:t>
      </w:r>
      <w:r w:rsidR="00F42825" w:rsidRPr="00F42825">
        <w:rPr>
          <w:rFonts w:ascii="Arial" w:hAnsi="Arial" w:cs="Arial"/>
          <w:b/>
          <w:bCs/>
          <w:lang w:val="fr-FR"/>
        </w:rPr>
        <w:t>15</w:t>
      </w:r>
      <w:r w:rsidR="00F42825">
        <w:rPr>
          <w:rFonts w:ascii="Arial" w:hAnsi="Arial" w:cs="Arial"/>
          <w:lang w:val="fr-FR"/>
        </w:rPr>
        <w:t xml:space="preserve"> </w:t>
      </w:r>
      <w:r w:rsidR="00A45802" w:rsidRPr="00F42825">
        <w:rPr>
          <w:rFonts w:ascii="Arial" w:hAnsi="Arial" w:cs="Arial"/>
          <w:lang w:val="fr-FR"/>
        </w:rPr>
        <w:t>patients pédiatriques, nécessitant un traitement de substitution de la fonction rénale.</w:t>
      </w:r>
      <w:r w:rsidRPr="00F42825">
        <w:rPr>
          <w:rFonts w:ascii="Arial" w:hAnsi="Arial" w:cs="Arial"/>
          <w:lang w:val="fr-FR"/>
        </w:rPr>
        <w:t> </w:t>
      </w:r>
    </w:p>
    <w:p w14:paraId="2D64CCDA" w14:textId="77777777" w:rsidR="00810B72" w:rsidRPr="00810B72" w:rsidRDefault="00810B72" w:rsidP="00810B72">
      <w:pPr>
        <w:jc w:val="both"/>
        <w:rPr>
          <w:rFonts w:ascii="Arial" w:hAnsi="Arial" w:cs="Arial"/>
          <w:lang w:val="fr-FR"/>
        </w:rPr>
      </w:pPr>
    </w:p>
    <w:p w14:paraId="0F13A17D" w14:textId="3E67DD18" w:rsidR="00810B72" w:rsidRPr="00810B72" w:rsidRDefault="00810B72" w:rsidP="00810B72">
      <w:pPr>
        <w:jc w:val="both"/>
        <w:rPr>
          <w:rFonts w:ascii="Arial" w:hAnsi="Arial" w:cs="Arial"/>
          <w:lang w:val="fr-FR"/>
        </w:rPr>
      </w:pPr>
      <w:r w:rsidRPr="00810B72">
        <w:rPr>
          <w:rFonts w:ascii="Arial" w:hAnsi="Arial" w:cs="Arial"/>
          <w:b/>
          <w:lang w:val="fr-FR"/>
        </w:rPr>
        <w:t>§ 2</w:t>
      </w:r>
      <w:r w:rsidRPr="00810B72">
        <w:rPr>
          <w:rFonts w:ascii="Arial" w:hAnsi="Arial" w:cs="Arial"/>
          <w:lang w:val="fr-FR"/>
        </w:rPr>
        <w:t xml:space="preserve"> La présente convention cesse d’être en vigueur, par décision du Comité de l'assurance, sur proposition du Collège des médecins-directeurs, le 1</w:t>
      </w:r>
      <w:r w:rsidRPr="00810B72">
        <w:rPr>
          <w:rFonts w:ascii="Arial" w:hAnsi="Arial" w:cs="Arial"/>
          <w:vertAlign w:val="superscript"/>
          <w:lang w:val="fr-FR"/>
        </w:rPr>
        <w:t>er</w:t>
      </w:r>
      <w:r w:rsidRPr="00810B72">
        <w:rPr>
          <w:rFonts w:ascii="Arial" w:hAnsi="Arial" w:cs="Arial"/>
          <w:lang w:val="fr-FR"/>
        </w:rPr>
        <w:t xml:space="preserve"> juillet de l’année qui suit la 1</w:t>
      </w:r>
      <w:r w:rsidRPr="00810B72">
        <w:rPr>
          <w:rFonts w:ascii="Arial" w:hAnsi="Arial" w:cs="Arial"/>
          <w:vertAlign w:val="superscript"/>
          <w:lang w:val="fr-FR"/>
        </w:rPr>
        <w:t>ère</w:t>
      </w:r>
      <w:r w:rsidRPr="00810B72">
        <w:rPr>
          <w:rFonts w:ascii="Arial" w:hAnsi="Arial" w:cs="Arial"/>
          <w:lang w:val="fr-FR"/>
        </w:rPr>
        <w:t xml:space="preserve"> période de 2 années civiles consécutives au cours de laquelle le nombre minimum de 100 bénéficiaires différents n’a pas été </w:t>
      </w:r>
      <w:r w:rsidRPr="00F42825">
        <w:rPr>
          <w:rFonts w:ascii="Arial" w:hAnsi="Arial" w:cs="Arial"/>
          <w:lang w:val="fr-FR"/>
        </w:rPr>
        <w:t>atteint</w:t>
      </w:r>
      <w:r w:rsidR="00BF5A09" w:rsidRPr="00F42825">
        <w:rPr>
          <w:rFonts w:ascii="Arial" w:hAnsi="Arial" w:cs="Arial"/>
          <w:lang w:val="fr-FR"/>
        </w:rPr>
        <w:t xml:space="preserve"> ou au cours de laquelle il n’a pas été satisfait à la condition du traitement permanent de </w:t>
      </w:r>
      <w:r w:rsidR="00BF5A09" w:rsidRPr="00F42825">
        <w:rPr>
          <w:rFonts w:ascii="Arial" w:hAnsi="Arial" w:cs="Arial"/>
          <w:b/>
          <w:bCs/>
          <w:strike/>
          <w:lang w:val="fr-FR"/>
        </w:rPr>
        <w:t>25</w:t>
      </w:r>
      <w:r w:rsidR="00F42825">
        <w:rPr>
          <w:rFonts w:ascii="Arial" w:hAnsi="Arial" w:cs="Arial"/>
          <w:lang w:val="fr-FR"/>
        </w:rPr>
        <w:t xml:space="preserve"> </w:t>
      </w:r>
      <w:r w:rsidR="00F42825" w:rsidRPr="00F42825">
        <w:rPr>
          <w:rFonts w:ascii="Arial" w:hAnsi="Arial" w:cs="Arial"/>
          <w:b/>
          <w:bCs/>
          <w:lang w:val="fr-FR"/>
        </w:rPr>
        <w:t>15</w:t>
      </w:r>
      <w:r w:rsidR="00BF5A09" w:rsidRPr="00F42825">
        <w:rPr>
          <w:rFonts w:ascii="Arial" w:hAnsi="Arial" w:cs="Arial"/>
          <w:lang w:val="fr-FR"/>
        </w:rPr>
        <w:t xml:space="preserve"> patients pédiatriques, nécessitant un traitement de substitution de la fonction rénale</w:t>
      </w:r>
      <w:r w:rsidRPr="00F42825">
        <w:rPr>
          <w:rFonts w:ascii="Arial" w:hAnsi="Arial" w:cs="Arial"/>
          <w:lang w:val="fr-FR"/>
        </w:rPr>
        <w:t>. Dans</w:t>
      </w:r>
      <w:r w:rsidRPr="00810B72">
        <w:rPr>
          <w:rFonts w:ascii="Arial" w:hAnsi="Arial" w:cs="Arial"/>
          <w:lang w:val="fr-FR"/>
        </w:rPr>
        <w:t xml:space="preserve"> tous les cas, avant toute décision du Collège et du Comité de l'assurance, le centre doit avoir l’occasion d’expliquer les raisons de l’insuffisance du nombre de ses bénéficiaires.</w:t>
      </w:r>
      <w:r>
        <w:rPr>
          <w:rFonts w:ascii="Arial" w:hAnsi="Arial" w:cs="Arial"/>
          <w:lang w:val="fr-FR"/>
        </w:rPr>
        <w:t> »</w:t>
      </w:r>
    </w:p>
    <w:p w14:paraId="7BD9BF75" w14:textId="77777777" w:rsidR="0066121A" w:rsidRDefault="0066121A" w:rsidP="0066121A">
      <w:pPr>
        <w:jc w:val="both"/>
        <w:rPr>
          <w:rFonts w:ascii="Arial" w:hAnsi="Arial" w:cs="Arial"/>
          <w:lang w:val="fr-BE"/>
        </w:rPr>
      </w:pPr>
    </w:p>
    <w:p w14:paraId="6B92E1E3" w14:textId="78AB61C0" w:rsidR="0066121A" w:rsidRPr="0066121A" w:rsidRDefault="0066121A" w:rsidP="0066121A">
      <w:pPr>
        <w:jc w:val="both"/>
        <w:rPr>
          <w:rFonts w:ascii="Arial" w:hAnsi="Arial" w:cs="Arial"/>
          <w:b/>
          <w:u w:val="single"/>
          <w:lang w:val="fr-BE"/>
        </w:rPr>
      </w:pPr>
      <w:r w:rsidRPr="0066121A">
        <w:rPr>
          <w:rFonts w:ascii="Arial" w:hAnsi="Arial" w:cs="Arial"/>
          <w:b/>
          <w:u w:val="single"/>
          <w:lang w:val="fr-BE"/>
        </w:rPr>
        <w:t xml:space="preserve">Article </w:t>
      </w:r>
      <w:r w:rsidR="00497636">
        <w:rPr>
          <w:rFonts w:ascii="Arial" w:hAnsi="Arial" w:cs="Arial"/>
          <w:b/>
          <w:u w:val="single"/>
          <w:lang w:val="fr-BE"/>
        </w:rPr>
        <w:t>3</w:t>
      </w:r>
      <w:r w:rsidRPr="0066121A">
        <w:rPr>
          <w:rFonts w:ascii="Arial" w:hAnsi="Arial" w:cs="Arial"/>
          <w:b/>
          <w:u w:val="single"/>
          <w:lang w:val="fr-BE"/>
        </w:rPr>
        <w:t>.</w:t>
      </w:r>
    </w:p>
    <w:p w14:paraId="4588CA8C" w14:textId="77777777" w:rsidR="00123AAA" w:rsidRDefault="00123AAA" w:rsidP="00123AAA">
      <w:pPr>
        <w:jc w:val="both"/>
        <w:rPr>
          <w:rFonts w:ascii="Arial" w:hAnsi="Arial" w:cs="Arial"/>
          <w:lang w:val="fr-BE"/>
        </w:rPr>
      </w:pPr>
    </w:p>
    <w:p w14:paraId="6F62C3F3" w14:textId="61D1F52A" w:rsidR="00C578D4" w:rsidRDefault="00AF1812" w:rsidP="00AF1812">
      <w:pPr>
        <w:jc w:val="both"/>
        <w:rPr>
          <w:rFonts w:ascii="Arial" w:hAnsi="Arial" w:cs="Arial"/>
          <w:lang w:val="fr-BE"/>
        </w:rPr>
      </w:pPr>
      <w:r>
        <w:rPr>
          <w:rFonts w:ascii="Arial" w:hAnsi="Arial" w:cs="Arial"/>
          <w:lang w:val="fr-BE"/>
        </w:rPr>
        <w:t>L</w:t>
      </w:r>
      <w:r w:rsidR="00C578D4">
        <w:rPr>
          <w:rFonts w:ascii="Arial" w:hAnsi="Arial" w:cs="Arial"/>
          <w:lang w:val="fr-BE"/>
        </w:rPr>
        <w:t>es dispositions de</w:t>
      </w:r>
      <w:r>
        <w:rPr>
          <w:rFonts w:ascii="Arial" w:hAnsi="Arial" w:cs="Arial"/>
          <w:lang w:val="fr-BE"/>
        </w:rPr>
        <w:t xml:space="preserve"> l’article 16, § 1, </w:t>
      </w:r>
      <w:proofErr w:type="spellStart"/>
      <w:r>
        <w:rPr>
          <w:rFonts w:ascii="Arial" w:hAnsi="Arial" w:cs="Arial"/>
          <w:lang w:val="fr-BE"/>
        </w:rPr>
        <w:t>3</w:t>
      </w:r>
      <w:r w:rsidR="00A31F66" w:rsidRPr="002130A6">
        <w:rPr>
          <w:rFonts w:ascii="Arial" w:hAnsi="Arial" w:cs="Arial"/>
          <w:vertAlign w:val="superscript"/>
          <w:lang w:val="fr-BE"/>
        </w:rPr>
        <w:t>ième</w:t>
      </w:r>
      <w:proofErr w:type="spellEnd"/>
      <w:r w:rsidR="00A31F66">
        <w:rPr>
          <w:rFonts w:ascii="Arial" w:hAnsi="Arial" w:cs="Arial"/>
          <w:lang w:val="fr-BE"/>
        </w:rPr>
        <w:t xml:space="preserve"> </w:t>
      </w:r>
      <w:proofErr w:type="spellStart"/>
      <w:r w:rsidR="00A31F66">
        <w:rPr>
          <w:rFonts w:ascii="Arial" w:hAnsi="Arial" w:cs="Arial"/>
          <w:lang w:val="fr-BE"/>
        </w:rPr>
        <w:t>bullet</w:t>
      </w:r>
      <w:proofErr w:type="spellEnd"/>
      <w:r>
        <w:rPr>
          <w:rFonts w:ascii="Arial" w:hAnsi="Arial" w:cs="Arial"/>
          <w:lang w:val="fr-BE"/>
        </w:rPr>
        <w:t xml:space="preserve"> de la convention </w:t>
      </w:r>
      <w:r w:rsidR="00C578D4">
        <w:rPr>
          <w:rFonts w:ascii="Arial" w:hAnsi="Arial" w:cs="Arial"/>
          <w:lang w:val="fr-BE"/>
        </w:rPr>
        <w:t>sont remplacées par les dispositions suivantes :</w:t>
      </w:r>
    </w:p>
    <w:p w14:paraId="2CFF019E" w14:textId="77777777" w:rsidR="00C578D4" w:rsidRDefault="00C578D4" w:rsidP="00AF1812">
      <w:pPr>
        <w:jc w:val="both"/>
        <w:rPr>
          <w:rFonts w:ascii="Arial" w:hAnsi="Arial" w:cs="Arial"/>
          <w:lang w:val="fr-BE"/>
        </w:rPr>
      </w:pPr>
    </w:p>
    <w:p w14:paraId="2BAA505E" w14:textId="28448328" w:rsidR="00C578D4" w:rsidRDefault="00C578D4" w:rsidP="00AF1812">
      <w:pPr>
        <w:jc w:val="both"/>
        <w:rPr>
          <w:rFonts w:ascii="Arial" w:hAnsi="Arial" w:cs="Arial"/>
          <w:lang w:val="fr-BE"/>
        </w:rPr>
      </w:pPr>
      <w:r>
        <w:rPr>
          <w:rFonts w:ascii="Arial" w:hAnsi="Arial" w:cs="Arial"/>
          <w:lang w:val="fr-BE"/>
        </w:rPr>
        <w:t>« </w:t>
      </w:r>
      <w:r w:rsidRPr="00C578D4">
        <w:rPr>
          <w:rFonts w:ascii="Arial" w:hAnsi="Arial" w:cs="Arial"/>
          <w:lang w:val="fr-BE"/>
        </w:rPr>
        <w:t>Le relevé de ses contacts directs avec l’équipe du centre (</w:t>
      </w:r>
      <w:r w:rsidRPr="00C578D4">
        <w:rPr>
          <w:rFonts w:ascii="Arial" w:hAnsi="Arial" w:cs="Arial"/>
          <w:b/>
          <w:bCs/>
          <w:lang w:val="fr-BE"/>
        </w:rPr>
        <w:t>article 29</w:t>
      </w:r>
      <w:r w:rsidR="00827CEC">
        <w:rPr>
          <w:rFonts w:ascii="Arial" w:hAnsi="Arial" w:cs="Arial"/>
          <w:b/>
          <w:bCs/>
          <w:lang w:val="fr-BE"/>
        </w:rPr>
        <w:t xml:space="preserve"> </w:t>
      </w:r>
      <w:r w:rsidR="00827CEC" w:rsidRPr="002130A6">
        <w:rPr>
          <w:rFonts w:ascii="Arial" w:hAnsi="Arial" w:cs="Arial"/>
          <w:b/>
          <w:bCs/>
          <w:strike/>
          <w:lang w:val="fr-BE"/>
        </w:rPr>
        <w:t>§ 1</w:t>
      </w:r>
      <w:r w:rsidR="00827CEC" w:rsidRPr="002130A6">
        <w:rPr>
          <w:rFonts w:ascii="Arial" w:hAnsi="Arial" w:cs="Arial"/>
          <w:b/>
          <w:bCs/>
          <w:strike/>
          <w:vertAlign w:val="superscript"/>
          <w:lang w:val="fr-BE"/>
        </w:rPr>
        <w:t>er</w:t>
      </w:r>
      <w:r w:rsidRPr="00C578D4">
        <w:rPr>
          <w:rFonts w:ascii="Arial" w:hAnsi="Arial" w:cs="Arial"/>
          <w:lang w:val="fr-BE"/>
        </w:rPr>
        <w:t>).</w:t>
      </w:r>
      <w:r>
        <w:rPr>
          <w:rFonts w:ascii="Arial" w:hAnsi="Arial" w:cs="Arial"/>
          <w:lang w:val="fr-BE"/>
        </w:rPr>
        <w:t> »</w:t>
      </w:r>
    </w:p>
    <w:p w14:paraId="137CBD16" w14:textId="77777777" w:rsidR="002130A6" w:rsidRDefault="002130A6" w:rsidP="00AF1812">
      <w:pPr>
        <w:jc w:val="both"/>
        <w:rPr>
          <w:rFonts w:ascii="Arial" w:hAnsi="Arial" w:cs="Arial"/>
          <w:lang w:val="fr-BE"/>
        </w:rPr>
      </w:pPr>
    </w:p>
    <w:p w14:paraId="3AEDCAFA" w14:textId="1C54BB3D" w:rsidR="002130A6" w:rsidRPr="002130A6" w:rsidRDefault="002130A6" w:rsidP="00AF1812">
      <w:pPr>
        <w:jc w:val="both"/>
        <w:rPr>
          <w:rFonts w:ascii="Arial" w:hAnsi="Arial" w:cs="Arial"/>
          <w:b/>
          <w:bCs/>
          <w:u w:val="single"/>
          <w:lang w:val="fr-FR"/>
        </w:rPr>
      </w:pPr>
      <w:r w:rsidRPr="002130A6">
        <w:rPr>
          <w:rFonts w:ascii="Arial" w:hAnsi="Arial" w:cs="Arial"/>
          <w:b/>
          <w:bCs/>
          <w:u w:val="single"/>
          <w:lang w:val="fr-BE"/>
        </w:rPr>
        <w:t>Article 4.</w:t>
      </w:r>
    </w:p>
    <w:p w14:paraId="53483E64" w14:textId="77777777" w:rsidR="00AF1812" w:rsidRDefault="00AF1812" w:rsidP="00AF1812">
      <w:pPr>
        <w:jc w:val="both"/>
        <w:rPr>
          <w:rFonts w:ascii="Arial" w:hAnsi="Arial" w:cs="Arial"/>
          <w:lang w:val="fr-BE"/>
        </w:rPr>
      </w:pPr>
    </w:p>
    <w:p w14:paraId="6559C670" w14:textId="7FB7A6B7" w:rsidR="002130A6" w:rsidRDefault="00251068" w:rsidP="00AF1812">
      <w:pPr>
        <w:jc w:val="both"/>
        <w:rPr>
          <w:rFonts w:ascii="Arial" w:hAnsi="Arial" w:cs="Arial"/>
          <w:lang w:val="fr-BE"/>
        </w:rPr>
      </w:pPr>
      <w:r>
        <w:rPr>
          <w:rFonts w:ascii="Arial" w:hAnsi="Arial" w:cs="Arial"/>
          <w:lang w:val="fr-BE"/>
        </w:rPr>
        <w:t>Les dispositions de l’article 19</w:t>
      </w:r>
      <w:r w:rsidR="00DF1252">
        <w:rPr>
          <w:rFonts w:ascii="Arial" w:hAnsi="Arial" w:cs="Arial"/>
          <w:lang w:val="fr-BE"/>
        </w:rPr>
        <w:t xml:space="preserve"> § 1</w:t>
      </w:r>
      <w:r>
        <w:rPr>
          <w:rFonts w:ascii="Arial" w:hAnsi="Arial" w:cs="Arial"/>
          <w:lang w:val="fr-BE"/>
        </w:rPr>
        <w:t xml:space="preserve"> de la convention sont remplacées par les dispositions suivantes : </w:t>
      </w:r>
    </w:p>
    <w:p w14:paraId="6C47301A" w14:textId="77777777" w:rsidR="00251068" w:rsidRDefault="00251068" w:rsidP="00AF1812">
      <w:pPr>
        <w:jc w:val="both"/>
        <w:rPr>
          <w:rFonts w:ascii="Arial" w:hAnsi="Arial" w:cs="Arial"/>
          <w:lang w:val="fr-BE"/>
        </w:rPr>
      </w:pPr>
    </w:p>
    <w:p w14:paraId="51F2EAA6" w14:textId="3CF8050D" w:rsidR="00C36676" w:rsidRPr="00C36676" w:rsidRDefault="00C36676" w:rsidP="00C36676">
      <w:pPr>
        <w:jc w:val="both"/>
        <w:rPr>
          <w:rFonts w:ascii="Arial" w:hAnsi="Arial" w:cs="Arial"/>
          <w:lang w:val="fr-FR"/>
        </w:rPr>
      </w:pPr>
      <w:r w:rsidRPr="00C36676">
        <w:rPr>
          <w:rFonts w:ascii="Arial" w:hAnsi="Arial" w:cs="Arial"/>
          <w:lang w:val="fr-FR"/>
        </w:rPr>
        <w:t>«</w:t>
      </w:r>
      <w:r w:rsidR="00DF1252">
        <w:rPr>
          <w:rFonts w:ascii="Arial" w:hAnsi="Arial" w:cs="Arial"/>
          <w:lang w:val="fr-FR"/>
        </w:rPr>
        <w:t xml:space="preserve"> </w:t>
      </w:r>
      <w:r w:rsidRPr="00C36676">
        <w:rPr>
          <w:rFonts w:ascii="Arial" w:hAnsi="Arial" w:cs="Arial"/>
          <w:lang w:val="fr-FR"/>
        </w:rPr>
        <w:t xml:space="preserve">Pour tout bénéficiaire, l’intervention de l’assurance dans le coût des prestations, considérées comme des prestations de rééducation, est subordonnée à un accord préalable du </w:t>
      </w:r>
      <w:r w:rsidRPr="00C36676">
        <w:rPr>
          <w:rFonts w:ascii="Arial" w:hAnsi="Arial" w:cs="Arial"/>
          <w:b/>
          <w:bCs/>
          <w:strike/>
          <w:lang w:val="fr-FR"/>
        </w:rPr>
        <w:t>Collège des médecins-directeurs ou du</w:t>
      </w:r>
      <w:r w:rsidRPr="00C36676">
        <w:rPr>
          <w:rFonts w:ascii="Arial" w:hAnsi="Arial" w:cs="Arial"/>
          <w:lang w:val="fr-FR"/>
        </w:rPr>
        <w:t xml:space="preserve"> médecin-conseil de l’organisme assureur auquel le bénéficiaire est affilié ou inscrit, conformément aux dispositions des articles 138, 139 et 142, § 2, de l'</w:t>
      </w:r>
      <w:proofErr w:type="spellStart"/>
      <w:r w:rsidRPr="00C36676">
        <w:rPr>
          <w:rFonts w:ascii="Arial" w:hAnsi="Arial" w:cs="Arial"/>
          <w:lang w:val="fr-FR"/>
        </w:rPr>
        <w:t>A.R</w:t>
      </w:r>
      <w:proofErr w:type="spellEnd"/>
      <w:r w:rsidRPr="00C36676">
        <w:rPr>
          <w:rFonts w:ascii="Arial" w:hAnsi="Arial" w:cs="Arial"/>
          <w:lang w:val="fr-FR"/>
        </w:rPr>
        <w:t xml:space="preserve">. du 3 juillet 1996 portant exécution de la loi relative à l'assurance obligatoire soins de santé et indemnités, coordonnée le 14 juillet 1994. </w:t>
      </w:r>
    </w:p>
    <w:p w14:paraId="6F20B8D8" w14:textId="77777777" w:rsidR="00C36676" w:rsidRPr="00C36676" w:rsidRDefault="00C36676" w:rsidP="00C36676">
      <w:pPr>
        <w:jc w:val="both"/>
        <w:rPr>
          <w:rFonts w:ascii="Arial" w:hAnsi="Arial" w:cs="Arial"/>
          <w:lang w:val="fr-FR"/>
        </w:rPr>
      </w:pPr>
    </w:p>
    <w:p w14:paraId="55602ECD" w14:textId="5493F5CD" w:rsidR="00C36676" w:rsidRPr="00C36676" w:rsidRDefault="00C36676" w:rsidP="00C36676">
      <w:pPr>
        <w:jc w:val="both"/>
        <w:rPr>
          <w:rFonts w:ascii="Arial" w:hAnsi="Arial" w:cs="Arial"/>
          <w:lang w:val="fr-FR"/>
        </w:rPr>
      </w:pPr>
      <w:r w:rsidRPr="00C36676">
        <w:rPr>
          <w:rFonts w:ascii="Arial" w:hAnsi="Arial" w:cs="Arial"/>
          <w:lang w:val="fr-FR"/>
        </w:rPr>
        <w:t>En application des dispositions de l’article 142, § 2, de l’</w:t>
      </w:r>
      <w:proofErr w:type="spellStart"/>
      <w:r w:rsidRPr="00C36676">
        <w:rPr>
          <w:rFonts w:ascii="Arial" w:hAnsi="Arial" w:cs="Arial"/>
          <w:lang w:val="fr-FR"/>
        </w:rPr>
        <w:t>A.R</w:t>
      </w:r>
      <w:proofErr w:type="spellEnd"/>
      <w:r w:rsidRPr="00C36676">
        <w:rPr>
          <w:rFonts w:ascii="Arial" w:hAnsi="Arial" w:cs="Arial"/>
          <w:lang w:val="fr-FR"/>
        </w:rPr>
        <w:t>. ci-dessus, la demande d’accord doit parvenir au médecin-conseil de la mutualité du bénéficiaire, au plus tard, dans les 30 jours qui suivent la date du premier contact direct entre le bénéficiaire et un ou plusieurs membres de l’équipe multidisciplinaire du centre, tel que visé par l’article 15, § 1. Elle doit être introduite au moyen du formulaire approuvé par le Comité de l'assurance soins de santé, auquel est joint un rapport médical établi par un médecin du centre, selon le modèle approuvé par le Collège des médecins-directeurs.</w:t>
      </w:r>
    </w:p>
    <w:p w14:paraId="65F063E2" w14:textId="77777777" w:rsidR="00C36676" w:rsidRPr="00C36676" w:rsidRDefault="00C36676" w:rsidP="00C36676">
      <w:pPr>
        <w:jc w:val="both"/>
        <w:rPr>
          <w:rFonts w:ascii="Arial" w:hAnsi="Arial" w:cs="Arial"/>
          <w:lang w:val="fr-FR"/>
        </w:rPr>
      </w:pPr>
    </w:p>
    <w:p w14:paraId="742A6835" w14:textId="799FC3EF" w:rsidR="002130A6" w:rsidRPr="00C36676" w:rsidRDefault="00C36676" w:rsidP="00AF1812">
      <w:pPr>
        <w:jc w:val="both"/>
        <w:rPr>
          <w:rFonts w:ascii="Arial" w:hAnsi="Arial" w:cs="Arial"/>
          <w:lang w:val="fr-FR"/>
        </w:rPr>
      </w:pPr>
      <w:r w:rsidRPr="00C36676">
        <w:rPr>
          <w:rFonts w:ascii="Arial" w:hAnsi="Arial" w:cs="Arial"/>
          <w:lang w:val="fr-FR"/>
        </w:rPr>
        <w:t xml:space="preserve">En cas d'accord, </w:t>
      </w:r>
      <w:r w:rsidRPr="00C36676">
        <w:rPr>
          <w:rFonts w:ascii="Arial" w:hAnsi="Arial" w:cs="Arial"/>
          <w:b/>
          <w:bCs/>
          <w:strike/>
          <w:lang w:val="fr-FR"/>
        </w:rPr>
        <w:t>l'instance compétente</w:t>
      </w:r>
      <w:r w:rsidRPr="00C36676">
        <w:rPr>
          <w:rFonts w:ascii="Arial" w:hAnsi="Arial" w:cs="Arial"/>
          <w:b/>
          <w:bCs/>
          <w:lang w:val="fr-FR"/>
        </w:rPr>
        <w:t xml:space="preserve"> le médecin</w:t>
      </w:r>
      <w:r w:rsidR="00EB6536">
        <w:rPr>
          <w:rFonts w:ascii="Arial" w:hAnsi="Arial" w:cs="Arial"/>
          <w:b/>
          <w:bCs/>
          <w:lang w:val="fr-FR"/>
        </w:rPr>
        <w:t>-</w:t>
      </w:r>
      <w:r w:rsidRPr="00C36676">
        <w:rPr>
          <w:rFonts w:ascii="Arial" w:hAnsi="Arial" w:cs="Arial"/>
          <w:b/>
          <w:bCs/>
          <w:lang w:val="fr-FR"/>
        </w:rPr>
        <w:t>conseil de l’organisme assureur</w:t>
      </w:r>
      <w:r>
        <w:rPr>
          <w:rFonts w:ascii="Arial" w:hAnsi="Arial" w:cs="Arial"/>
          <w:lang w:val="fr-FR"/>
        </w:rPr>
        <w:t xml:space="preserve"> </w:t>
      </w:r>
      <w:r w:rsidRPr="00C36676">
        <w:rPr>
          <w:rFonts w:ascii="Arial" w:hAnsi="Arial" w:cs="Arial"/>
          <w:lang w:val="fr-FR"/>
        </w:rPr>
        <w:t>fixe la date de début de la période d'intervention de l'assurance et la durée de cette période conformément aux dispositions des articles 19 à 22.</w:t>
      </w:r>
      <w:r w:rsidR="00DF1252">
        <w:rPr>
          <w:rFonts w:ascii="Arial" w:hAnsi="Arial" w:cs="Arial"/>
          <w:lang w:val="fr-FR"/>
        </w:rPr>
        <w:t> »</w:t>
      </w:r>
    </w:p>
    <w:p w14:paraId="2B37AE5A" w14:textId="77777777" w:rsidR="00DF1252" w:rsidRDefault="00DF1252" w:rsidP="00123AAA">
      <w:pPr>
        <w:jc w:val="both"/>
        <w:rPr>
          <w:rFonts w:ascii="Arial" w:hAnsi="Arial" w:cs="Arial"/>
          <w:b/>
          <w:bCs/>
          <w:u w:val="single"/>
          <w:lang w:val="fr-BE"/>
        </w:rPr>
      </w:pPr>
    </w:p>
    <w:p w14:paraId="46F59C95" w14:textId="24CBADB5" w:rsidR="00E965A6" w:rsidRPr="00E965A6" w:rsidRDefault="00E965A6" w:rsidP="00123AAA">
      <w:pPr>
        <w:jc w:val="both"/>
        <w:rPr>
          <w:rFonts w:ascii="Arial" w:hAnsi="Arial" w:cs="Arial"/>
          <w:b/>
          <w:bCs/>
          <w:u w:val="single"/>
          <w:lang w:val="fr-FR"/>
        </w:rPr>
      </w:pPr>
      <w:r w:rsidRPr="00E965A6">
        <w:rPr>
          <w:rFonts w:ascii="Arial" w:hAnsi="Arial" w:cs="Arial"/>
          <w:b/>
          <w:bCs/>
          <w:u w:val="single"/>
          <w:lang w:val="fr-BE"/>
        </w:rPr>
        <w:t xml:space="preserve">Article </w:t>
      </w:r>
      <w:r w:rsidR="001159FB">
        <w:rPr>
          <w:rFonts w:ascii="Arial" w:hAnsi="Arial" w:cs="Arial"/>
          <w:b/>
          <w:bCs/>
          <w:u w:val="single"/>
          <w:lang w:val="fr-BE"/>
        </w:rPr>
        <w:t>5</w:t>
      </w:r>
      <w:r w:rsidRPr="00E965A6">
        <w:rPr>
          <w:rFonts w:ascii="Arial" w:hAnsi="Arial" w:cs="Arial"/>
          <w:b/>
          <w:bCs/>
          <w:u w:val="single"/>
          <w:lang w:val="fr-BE"/>
        </w:rPr>
        <w:t>.</w:t>
      </w:r>
    </w:p>
    <w:p w14:paraId="16B81408" w14:textId="77777777" w:rsidR="005C5ABD" w:rsidRDefault="005C5ABD" w:rsidP="00123AAA">
      <w:pPr>
        <w:jc w:val="both"/>
        <w:rPr>
          <w:rFonts w:ascii="Arial" w:hAnsi="Arial" w:cs="Arial"/>
          <w:lang w:val="fr-BE"/>
        </w:rPr>
      </w:pPr>
    </w:p>
    <w:p w14:paraId="45363C6F" w14:textId="09CFE63A" w:rsidR="00123AAA" w:rsidRDefault="00123AAA" w:rsidP="00123AAA">
      <w:pPr>
        <w:jc w:val="both"/>
        <w:rPr>
          <w:rFonts w:ascii="Arial" w:hAnsi="Arial" w:cs="Arial"/>
          <w:lang w:val="fr-BE"/>
        </w:rPr>
      </w:pPr>
      <w:r w:rsidRPr="002023E0">
        <w:rPr>
          <w:rFonts w:ascii="Arial" w:hAnsi="Arial" w:cs="Arial"/>
          <w:lang w:val="fr-BE"/>
        </w:rPr>
        <w:t>A l’article 33, § 2 de la convention</w:t>
      </w:r>
      <w:r>
        <w:rPr>
          <w:rFonts w:ascii="Arial" w:hAnsi="Arial" w:cs="Arial"/>
          <w:lang w:val="fr-BE"/>
        </w:rPr>
        <w:t>, la date du « 3</w:t>
      </w:r>
      <w:r w:rsidR="00E965A6">
        <w:rPr>
          <w:rFonts w:ascii="Arial" w:hAnsi="Arial" w:cs="Arial"/>
          <w:lang w:val="fr-BE"/>
        </w:rPr>
        <w:t>0</w:t>
      </w:r>
      <w:r>
        <w:rPr>
          <w:rFonts w:ascii="Arial" w:hAnsi="Arial" w:cs="Arial"/>
          <w:lang w:val="fr-BE"/>
        </w:rPr>
        <w:t>.</w:t>
      </w:r>
      <w:r w:rsidR="00E965A6">
        <w:rPr>
          <w:rFonts w:ascii="Arial" w:hAnsi="Arial" w:cs="Arial"/>
          <w:lang w:val="fr-BE"/>
        </w:rPr>
        <w:t>06</w:t>
      </w:r>
      <w:r>
        <w:rPr>
          <w:rFonts w:ascii="Arial" w:hAnsi="Arial" w:cs="Arial"/>
          <w:lang w:val="fr-BE"/>
        </w:rPr>
        <w:t>.202</w:t>
      </w:r>
      <w:r w:rsidR="00E965A6">
        <w:rPr>
          <w:rFonts w:ascii="Arial" w:hAnsi="Arial" w:cs="Arial"/>
          <w:lang w:val="fr-BE"/>
        </w:rPr>
        <w:t>5</w:t>
      </w:r>
      <w:r w:rsidRPr="002023E0">
        <w:rPr>
          <w:rFonts w:ascii="Arial" w:hAnsi="Arial" w:cs="Arial"/>
          <w:lang w:val="fr-BE"/>
        </w:rPr>
        <w:t> </w:t>
      </w:r>
      <w:r>
        <w:rPr>
          <w:rFonts w:ascii="Arial" w:hAnsi="Arial" w:cs="Arial"/>
          <w:lang w:val="fr-BE"/>
        </w:rPr>
        <w:t xml:space="preserve">» est remplacée par </w:t>
      </w:r>
      <w:r w:rsidR="006142B6">
        <w:rPr>
          <w:rFonts w:ascii="Arial" w:hAnsi="Arial" w:cs="Arial"/>
          <w:lang w:val="fr-BE"/>
        </w:rPr>
        <w:t xml:space="preserve">la date du </w:t>
      </w:r>
      <w:r>
        <w:rPr>
          <w:rFonts w:ascii="Arial" w:hAnsi="Arial" w:cs="Arial"/>
          <w:lang w:val="fr-BE"/>
        </w:rPr>
        <w:t>« </w:t>
      </w:r>
      <w:r w:rsidR="00F42825" w:rsidRPr="00F42825">
        <w:rPr>
          <w:rFonts w:ascii="Arial" w:hAnsi="Arial" w:cs="Arial"/>
          <w:b/>
          <w:bCs/>
          <w:lang w:val="fr-BE"/>
        </w:rPr>
        <w:t>30.06.2026</w:t>
      </w:r>
      <w:r w:rsidRPr="002023E0">
        <w:rPr>
          <w:rFonts w:ascii="Arial" w:hAnsi="Arial" w:cs="Arial"/>
          <w:lang w:val="fr-BE"/>
        </w:rPr>
        <w:t> ».</w:t>
      </w:r>
    </w:p>
    <w:p w14:paraId="7CF0C15D" w14:textId="77777777" w:rsidR="0066121A" w:rsidRDefault="0066121A" w:rsidP="0066121A">
      <w:pPr>
        <w:jc w:val="both"/>
        <w:rPr>
          <w:rFonts w:ascii="Arial" w:hAnsi="Arial" w:cs="Arial"/>
          <w:u w:val="single"/>
          <w:lang w:val="fr-BE"/>
        </w:rPr>
      </w:pPr>
    </w:p>
    <w:p w14:paraId="01BAD394" w14:textId="77777777" w:rsidR="00EB6536" w:rsidRDefault="00EB6536" w:rsidP="0066121A">
      <w:pPr>
        <w:jc w:val="both"/>
        <w:rPr>
          <w:rFonts w:ascii="Arial" w:hAnsi="Arial" w:cs="Arial"/>
          <w:u w:val="single"/>
          <w:lang w:val="fr-BE"/>
        </w:rPr>
      </w:pPr>
    </w:p>
    <w:p w14:paraId="7C895B28" w14:textId="77777777" w:rsidR="00EB6536" w:rsidRPr="00F42825" w:rsidRDefault="00EB6536" w:rsidP="00EB6536">
      <w:pPr>
        <w:jc w:val="center"/>
        <w:rPr>
          <w:rFonts w:ascii="Arial" w:hAnsi="Arial" w:cs="Arial"/>
          <w:b/>
          <w:bCs/>
          <w:u w:val="single"/>
          <w:lang w:val="fr-BE"/>
        </w:rPr>
      </w:pPr>
      <w:r w:rsidRPr="00F42825">
        <w:rPr>
          <w:rFonts w:ascii="Arial" w:hAnsi="Arial" w:cs="Arial"/>
          <w:b/>
          <w:bCs/>
          <w:u w:val="single"/>
          <w:lang w:val="fr-BE"/>
        </w:rPr>
        <w:t>DISPOSITION TRANSITOIRE</w:t>
      </w:r>
    </w:p>
    <w:p w14:paraId="3C7B0DA9" w14:textId="77777777" w:rsidR="00EB6536" w:rsidRDefault="00EB6536" w:rsidP="00EB6536">
      <w:pPr>
        <w:jc w:val="center"/>
        <w:rPr>
          <w:rFonts w:ascii="Arial" w:hAnsi="Arial" w:cs="Arial"/>
          <w:lang w:val="fr-BE"/>
        </w:rPr>
      </w:pPr>
    </w:p>
    <w:p w14:paraId="57C7D73F" w14:textId="6EE61058" w:rsidR="00EB6536" w:rsidRPr="00F42825" w:rsidRDefault="00EB6536" w:rsidP="00EB6536">
      <w:pPr>
        <w:rPr>
          <w:rFonts w:ascii="Arial" w:hAnsi="Arial" w:cs="Arial"/>
          <w:b/>
          <w:bCs/>
          <w:u w:val="single"/>
          <w:lang w:val="fr-BE"/>
        </w:rPr>
      </w:pPr>
      <w:r w:rsidRPr="00F42825">
        <w:rPr>
          <w:rFonts w:ascii="Arial" w:hAnsi="Arial" w:cs="Arial"/>
          <w:b/>
          <w:bCs/>
          <w:u w:val="single"/>
          <w:lang w:val="fr-BE"/>
        </w:rPr>
        <w:t>Arti</w:t>
      </w:r>
      <w:r>
        <w:rPr>
          <w:rFonts w:ascii="Arial" w:hAnsi="Arial" w:cs="Arial"/>
          <w:b/>
          <w:bCs/>
          <w:u w:val="single"/>
          <w:lang w:val="fr-BE"/>
        </w:rPr>
        <w:t>cle</w:t>
      </w:r>
      <w:r w:rsidRPr="00F42825">
        <w:rPr>
          <w:rFonts w:ascii="Arial" w:hAnsi="Arial" w:cs="Arial"/>
          <w:b/>
          <w:bCs/>
          <w:u w:val="single"/>
          <w:lang w:val="fr-BE"/>
        </w:rPr>
        <w:t xml:space="preserve"> </w:t>
      </w:r>
      <w:r w:rsidR="001159FB">
        <w:rPr>
          <w:rFonts w:ascii="Arial" w:hAnsi="Arial" w:cs="Arial"/>
          <w:b/>
          <w:bCs/>
          <w:u w:val="single"/>
          <w:lang w:val="fr-BE"/>
        </w:rPr>
        <w:t>6</w:t>
      </w:r>
      <w:r w:rsidRPr="00F42825">
        <w:rPr>
          <w:rFonts w:ascii="Arial" w:hAnsi="Arial" w:cs="Arial"/>
          <w:b/>
          <w:bCs/>
          <w:u w:val="single"/>
          <w:lang w:val="fr-BE"/>
        </w:rPr>
        <w:t>.</w:t>
      </w:r>
    </w:p>
    <w:p w14:paraId="28997756" w14:textId="77777777" w:rsidR="00EB6536" w:rsidRDefault="00EB6536" w:rsidP="00EB6536">
      <w:pPr>
        <w:rPr>
          <w:rFonts w:ascii="Arial" w:hAnsi="Arial" w:cs="Arial"/>
          <w:lang w:val="fr-BE"/>
        </w:rPr>
      </w:pPr>
    </w:p>
    <w:p w14:paraId="2283E3DA" w14:textId="70B13A61" w:rsidR="00EB6536" w:rsidRDefault="00EB6536" w:rsidP="00EB6536">
      <w:pPr>
        <w:jc w:val="both"/>
        <w:rPr>
          <w:rFonts w:ascii="Arial" w:hAnsi="Arial" w:cs="Arial"/>
          <w:lang w:val="fr-BE"/>
        </w:rPr>
      </w:pPr>
      <w:r>
        <w:rPr>
          <w:rFonts w:ascii="Arial" w:hAnsi="Arial" w:cs="Arial"/>
          <w:lang w:val="fr-BE"/>
        </w:rPr>
        <w:t xml:space="preserve">Etant donné que le présent avenant entre en vigueur dans le courant de l’année 2025 sur base des dispositions de l’article </w:t>
      </w:r>
      <w:r w:rsidR="001159FB">
        <w:rPr>
          <w:rFonts w:ascii="Arial" w:hAnsi="Arial" w:cs="Arial"/>
          <w:lang w:val="fr-BE"/>
        </w:rPr>
        <w:t>7</w:t>
      </w:r>
      <w:r>
        <w:rPr>
          <w:rFonts w:ascii="Arial" w:hAnsi="Arial" w:cs="Arial"/>
          <w:lang w:val="fr-BE"/>
        </w:rPr>
        <w:t xml:space="preserve"> du présent avenant, pour l’année 2025, il sera tenu compte du nombre minimum </w:t>
      </w:r>
      <w:r>
        <w:rPr>
          <w:rFonts w:ascii="Arial" w:hAnsi="Arial" w:cs="Arial"/>
          <w:lang w:val="fr-BE"/>
        </w:rPr>
        <w:lastRenderedPageBreak/>
        <w:t>de 15 patients pédiatriques (âgés de moins de 18 ans) nécessitant un traitement de substitution de la fonction rénale que le centre doit prendre en charge en permanence en traitement et ce, en vertu des nouvelles dispositions visées à l’article 2 du présent avenant.</w:t>
      </w:r>
    </w:p>
    <w:p w14:paraId="4C3BF11A" w14:textId="77777777" w:rsidR="00EB6536" w:rsidRDefault="00EB6536" w:rsidP="0066121A">
      <w:pPr>
        <w:jc w:val="both"/>
        <w:rPr>
          <w:rFonts w:ascii="Arial" w:hAnsi="Arial" w:cs="Arial"/>
          <w:b/>
          <w:bCs/>
          <w:u w:val="single"/>
          <w:lang w:val="fr-BE"/>
        </w:rPr>
      </w:pPr>
    </w:p>
    <w:p w14:paraId="03586F14" w14:textId="321B35E4" w:rsidR="00E965A6" w:rsidRPr="00E965A6" w:rsidRDefault="00E965A6" w:rsidP="0066121A">
      <w:pPr>
        <w:jc w:val="both"/>
        <w:rPr>
          <w:rFonts w:ascii="Arial" w:hAnsi="Arial" w:cs="Arial"/>
          <w:b/>
          <w:bCs/>
          <w:u w:val="single"/>
          <w:lang w:val="fr-BE"/>
        </w:rPr>
      </w:pPr>
      <w:r>
        <w:rPr>
          <w:rFonts w:ascii="Arial" w:hAnsi="Arial" w:cs="Arial"/>
          <w:b/>
          <w:bCs/>
          <w:u w:val="single"/>
          <w:lang w:val="fr-BE"/>
        </w:rPr>
        <w:t xml:space="preserve">Article </w:t>
      </w:r>
      <w:r w:rsidR="001159FB">
        <w:rPr>
          <w:rFonts w:ascii="Arial" w:hAnsi="Arial" w:cs="Arial"/>
          <w:b/>
          <w:bCs/>
          <w:u w:val="single"/>
          <w:lang w:val="fr-BE"/>
        </w:rPr>
        <w:t>7</w:t>
      </w:r>
      <w:r>
        <w:rPr>
          <w:rFonts w:ascii="Arial" w:hAnsi="Arial" w:cs="Arial"/>
          <w:b/>
          <w:bCs/>
          <w:u w:val="single"/>
          <w:lang w:val="fr-BE"/>
        </w:rPr>
        <w:t>.</w:t>
      </w:r>
    </w:p>
    <w:p w14:paraId="7D6675D1" w14:textId="77777777" w:rsidR="00E965A6" w:rsidRPr="00E965A6" w:rsidRDefault="00E965A6" w:rsidP="0066121A">
      <w:pPr>
        <w:jc w:val="both"/>
        <w:rPr>
          <w:rFonts w:ascii="Arial" w:hAnsi="Arial" w:cs="Arial"/>
          <w:u w:val="single"/>
          <w:lang w:val="fr-BE"/>
        </w:rPr>
      </w:pPr>
    </w:p>
    <w:p w14:paraId="3B370F63" w14:textId="4C50009A" w:rsidR="0066121A" w:rsidRDefault="0066121A" w:rsidP="0066121A">
      <w:pPr>
        <w:jc w:val="both"/>
        <w:rPr>
          <w:rFonts w:ascii="Arial" w:hAnsi="Arial" w:cs="Arial"/>
          <w:lang w:val="fr-BE"/>
        </w:rPr>
      </w:pPr>
      <w:r w:rsidRPr="0066121A">
        <w:rPr>
          <w:rFonts w:ascii="Arial" w:hAnsi="Arial" w:cs="Arial"/>
          <w:lang w:val="fr-BE"/>
        </w:rPr>
        <w:t xml:space="preserve">Le présent avenant fait partie intégrante de la convention </w:t>
      </w:r>
      <w:r w:rsidR="00513EAA">
        <w:rPr>
          <w:rFonts w:ascii="Arial" w:hAnsi="Arial" w:cs="Arial"/>
          <w:lang w:val="fr-BE"/>
        </w:rPr>
        <w:t>susmentionnée</w:t>
      </w:r>
      <w:r w:rsidRPr="0066121A">
        <w:rPr>
          <w:rFonts w:ascii="Arial" w:hAnsi="Arial" w:cs="Arial"/>
          <w:lang w:val="fr-BE"/>
        </w:rPr>
        <w:t xml:space="preserve"> et entre en vigueur le 1</w:t>
      </w:r>
      <w:r w:rsidRPr="0066121A">
        <w:rPr>
          <w:rFonts w:ascii="Arial" w:hAnsi="Arial" w:cs="Arial"/>
          <w:vertAlign w:val="superscript"/>
          <w:lang w:val="fr-BE"/>
        </w:rPr>
        <w:t>er</w:t>
      </w:r>
      <w:r w:rsidRPr="0066121A">
        <w:rPr>
          <w:rFonts w:ascii="Arial" w:hAnsi="Arial" w:cs="Arial"/>
          <w:lang w:val="fr-BE"/>
        </w:rPr>
        <w:t xml:space="preserve"> </w:t>
      </w:r>
      <w:r w:rsidR="00E965A6">
        <w:rPr>
          <w:rFonts w:ascii="Arial" w:hAnsi="Arial" w:cs="Arial"/>
          <w:lang w:val="fr-BE"/>
        </w:rPr>
        <w:t>juillet</w:t>
      </w:r>
      <w:r w:rsidRPr="0066121A">
        <w:rPr>
          <w:rFonts w:ascii="Arial" w:hAnsi="Arial" w:cs="Arial"/>
          <w:lang w:val="fr-BE"/>
        </w:rPr>
        <w:t xml:space="preserve"> 202</w:t>
      </w:r>
      <w:r w:rsidR="00E965A6">
        <w:rPr>
          <w:rFonts w:ascii="Arial" w:hAnsi="Arial" w:cs="Arial"/>
          <w:lang w:val="fr-BE"/>
        </w:rPr>
        <w:t>5</w:t>
      </w:r>
      <w:r w:rsidRPr="0066121A">
        <w:rPr>
          <w:rFonts w:ascii="Arial" w:hAnsi="Arial" w:cs="Arial"/>
          <w:lang w:val="fr-BE"/>
        </w:rPr>
        <w:t>.</w:t>
      </w:r>
    </w:p>
    <w:p w14:paraId="205B06AC" w14:textId="77777777" w:rsidR="00F42825" w:rsidRDefault="00F42825" w:rsidP="0066121A">
      <w:pPr>
        <w:jc w:val="both"/>
        <w:rPr>
          <w:rFonts w:ascii="Arial" w:hAnsi="Arial" w:cs="Arial"/>
          <w:lang w:val="fr-BE"/>
        </w:rPr>
      </w:pPr>
    </w:p>
    <w:tbl>
      <w:tblPr>
        <w:tblW w:w="9372" w:type="dxa"/>
        <w:tblLook w:val="01E0" w:firstRow="1" w:lastRow="1" w:firstColumn="1" w:lastColumn="1" w:noHBand="0" w:noVBand="0"/>
      </w:tblPr>
      <w:tblGrid>
        <w:gridCol w:w="4820"/>
        <w:gridCol w:w="4552"/>
      </w:tblGrid>
      <w:tr w:rsidR="0066121A" w:rsidRPr="00F47DE3" w14:paraId="413BFB9A" w14:textId="77777777" w:rsidTr="00BA689E">
        <w:trPr>
          <w:trHeight w:val="498"/>
        </w:trPr>
        <w:tc>
          <w:tcPr>
            <w:tcW w:w="9372" w:type="dxa"/>
            <w:gridSpan w:val="2"/>
            <w:shd w:val="clear" w:color="auto" w:fill="auto"/>
          </w:tcPr>
          <w:p w14:paraId="68BD94EB" w14:textId="24F376D1" w:rsidR="0066121A" w:rsidRPr="008641F2" w:rsidRDefault="0066121A" w:rsidP="00BA689E">
            <w:pPr>
              <w:jc w:val="both"/>
              <w:rPr>
                <w:rFonts w:ascii="Arial" w:hAnsi="Arial" w:cs="Arial"/>
                <w:spacing w:val="-2"/>
                <w:lang w:val="fr-BE"/>
              </w:rPr>
            </w:pPr>
            <w:r w:rsidRPr="008641F2">
              <w:rPr>
                <w:rFonts w:ascii="Arial" w:hAnsi="Arial" w:cs="Arial"/>
                <w:spacing w:val="-2"/>
                <w:lang w:val="fr-BE"/>
              </w:rPr>
              <w:t xml:space="preserve">Fait à Bruxelles, le </w:t>
            </w:r>
            <w:commentRangeStart w:id="0"/>
            <w:r w:rsidR="00F42825" w:rsidRPr="00F42825">
              <w:rPr>
                <w:rFonts w:ascii="Arial" w:hAnsi="Arial" w:cs="Arial"/>
                <w:bCs/>
                <w:spacing w:val="-2"/>
                <w:highlight w:val="yellow"/>
                <w:lang w:val="fr-BE"/>
              </w:rPr>
              <w:t xml:space="preserve">[date approbation </w:t>
            </w:r>
            <w:proofErr w:type="spellStart"/>
            <w:r w:rsidR="00F42825" w:rsidRPr="00F42825">
              <w:rPr>
                <w:rFonts w:ascii="Arial" w:hAnsi="Arial" w:cs="Arial"/>
                <w:bCs/>
                <w:spacing w:val="-2"/>
                <w:highlight w:val="yellow"/>
                <w:lang w:val="fr-BE"/>
              </w:rPr>
              <w:t>CSS</w:t>
            </w:r>
            <w:proofErr w:type="spellEnd"/>
            <w:r w:rsidR="00F42825" w:rsidRPr="00F42825">
              <w:rPr>
                <w:rFonts w:ascii="Arial" w:hAnsi="Arial" w:cs="Arial"/>
                <w:bCs/>
                <w:spacing w:val="-2"/>
                <w:highlight w:val="yellow"/>
                <w:lang w:val="fr-BE"/>
              </w:rPr>
              <w:t>]</w:t>
            </w:r>
            <w:r w:rsidRPr="008641F2">
              <w:rPr>
                <w:rFonts w:ascii="Arial" w:hAnsi="Arial" w:cs="Arial"/>
                <w:spacing w:val="-2"/>
                <w:lang w:val="fr-BE"/>
              </w:rPr>
              <w:t xml:space="preserve"> </w:t>
            </w:r>
            <w:commentRangeEnd w:id="0"/>
            <w:r w:rsidR="00F47DE3">
              <w:rPr>
                <w:rStyle w:val="Verwijzingopmerking"/>
              </w:rPr>
              <w:commentReference w:id="0"/>
            </w:r>
            <w:r w:rsidRPr="008641F2">
              <w:rPr>
                <w:rFonts w:ascii="Arial" w:hAnsi="Arial" w:cs="Arial"/>
                <w:spacing w:val="-2"/>
                <w:lang w:val="fr-BE"/>
              </w:rPr>
              <w:t>et signé électroniquement par</w:t>
            </w:r>
          </w:p>
          <w:p w14:paraId="4C06F042" w14:textId="77777777" w:rsidR="0066121A" w:rsidRPr="008641F2" w:rsidRDefault="0066121A" w:rsidP="00BA689E">
            <w:pPr>
              <w:tabs>
                <w:tab w:val="left" w:pos="0"/>
                <w:tab w:val="left" w:pos="366"/>
                <w:tab w:val="left" w:pos="1358"/>
                <w:tab w:val="left" w:pos="1842"/>
                <w:tab w:val="center" w:pos="6234"/>
                <w:tab w:val="left" w:pos="6480"/>
              </w:tabs>
              <w:suppressAutoHyphens/>
              <w:jc w:val="both"/>
              <w:rPr>
                <w:rFonts w:ascii="Arial" w:hAnsi="Arial" w:cs="Arial"/>
                <w:lang w:val="fr-BE"/>
              </w:rPr>
            </w:pPr>
          </w:p>
        </w:tc>
      </w:tr>
      <w:tr w:rsidR="0066121A" w:rsidRPr="00F47DE3" w14:paraId="74798737" w14:textId="77777777" w:rsidTr="00BA689E">
        <w:trPr>
          <w:trHeight w:val="2259"/>
        </w:trPr>
        <w:tc>
          <w:tcPr>
            <w:tcW w:w="4820" w:type="dxa"/>
            <w:shd w:val="clear" w:color="auto" w:fill="auto"/>
          </w:tcPr>
          <w:p w14:paraId="353024CD"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r w:rsidRPr="0066121A">
              <w:rPr>
                <w:rFonts w:ascii="Arial" w:hAnsi="Arial" w:cs="Arial"/>
                <w:spacing w:val="-3"/>
                <w:lang w:val="fr-BE"/>
              </w:rPr>
              <w:t>Pour le pouvoir organisateur de l’établissement,</w:t>
            </w:r>
          </w:p>
          <w:p w14:paraId="1300AEDB"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1C40CDFE"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7D2B5938"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030AB248"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4C662E3A"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07083826"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p w14:paraId="615EC273"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spacing w:val="-3"/>
                <w:lang w:val="fr-BE"/>
              </w:rPr>
            </w:pPr>
          </w:p>
        </w:tc>
        <w:tc>
          <w:tcPr>
            <w:tcW w:w="4552" w:type="dxa"/>
            <w:shd w:val="clear" w:color="auto" w:fill="auto"/>
          </w:tcPr>
          <w:p w14:paraId="0B569BE8"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lang w:val="fr-BE"/>
              </w:rPr>
            </w:pPr>
            <w:r w:rsidRPr="0066121A">
              <w:rPr>
                <w:rFonts w:ascii="Arial" w:hAnsi="Arial" w:cs="Arial"/>
                <w:lang w:val="fr-BE"/>
              </w:rPr>
              <w:t>Pour le Comité de l'assurance soins de santé,</w:t>
            </w:r>
          </w:p>
          <w:p w14:paraId="14A7DCDD" w14:textId="77777777" w:rsidR="0066121A" w:rsidRPr="0066121A" w:rsidRDefault="0066121A" w:rsidP="00BA689E">
            <w:pPr>
              <w:tabs>
                <w:tab w:val="left" w:pos="0"/>
                <w:tab w:val="left" w:pos="366"/>
                <w:tab w:val="left" w:pos="1358"/>
                <w:tab w:val="left" w:pos="1842"/>
                <w:tab w:val="center" w:pos="6234"/>
                <w:tab w:val="left" w:pos="6480"/>
              </w:tabs>
              <w:suppressAutoHyphens/>
              <w:jc w:val="both"/>
              <w:rPr>
                <w:rFonts w:ascii="Arial" w:hAnsi="Arial" w:cs="Arial"/>
                <w:lang w:val="fr-BE"/>
              </w:rPr>
            </w:pPr>
          </w:p>
          <w:p w14:paraId="06D0CC00" w14:textId="77777777" w:rsidR="0066121A" w:rsidRPr="008641F2" w:rsidRDefault="0066121A" w:rsidP="00BA689E">
            <w:pPr>
              <w:jc w:val="both"/>
              <w:rPr>
                <w:rFonts w:ascii="Arial" w:hAnsi="Arial" w:cs="Arial"/>
                <w:bCs/>
                <w:lang w:val="fr-BE"/>
              </w:rPr>
            </w:pPr>
            <w:r w:rsidRPr="008641F2">
              <w:rPr>
                <w:rFonts w:ascii="Arial" w:hAnsi="Arial" w:cs="Arial"/>
                <w:bCs/>
                <w:lang w:val="fr-BE"/>
              </w:rPr>
              <w:t>Le Fonctionnaire dirigeant,</w:t>
            </w:r>
          </w:p>
          <w:p w14:paraId="132EDAF1" w14:textId="77777777" w:rsidR="0066121A" w:rsidRPr="008641F2" w:rsidRDefault="0066121A" w:rsidP="00BA689E">
            <w:pPr>
              <w:jc w:val="both"/>
              <w:rPr>
                <w:rFonts w:ascii="Arial" w:hAnsi="Arial" w:cs="Arial"/>
                <w:bCs/>
                <w:lang w:val="fr-BE"/>
              </w:rPr>
            </w:pPr>
          </w:p>
          <w:p w14:paraId="07921936" w14:textId="77777777" w:rsidR="0066121A" w:rsidRPr="008641F2" w:rsidRDefault="0066121A" w:rsidP="00BA689E">
            <w:pPr>
              <w:jc w:val="both"/>
              <w:rPr>
                <w:rFonts w:ascii="Arial" w:hAnsi="Arial" w:cs="Arial"/>
                <w:bCs/>
                <w:lang w:val="fr-BE"/>
              </w:rPr>
            </w:pPr>
          </w:p>
          <w:p w14:paraId="0ADDCEF0" w14:textId="77777777" w:rsidR="0066121A" w:rsidRPr="008641F2" w:rsidRDefault="0066121A" w:rsidP="00BA689E">
            <w:pPr>
              <w:jc w:val="both"/>
              <w:rPr>
                <w:rFonts w:ascii="Arial" w:hAnsi="Arial" w:cs="Arial"/>
                <w:bCs/>
                <w:lang w:val="fr-BE"/>
              </w:rPr>
            </w:pPr>
          </w:p>
          <w:p w14:paraId="7A588801" w14:textId="77777777" w:rsidR="0066121A" w:rsidRPr="008641F2" w:rsidRDefault="0066121A" w:rsidP="00BA689E">
            <w:pPr>
              <w:jc w:val="both"/>
              <w:rPr>
                <w:rFonts w:ascii="Arial" w:hAnsi="Arial" w:cs="Arial"/>
                <w:bCs/>
                <w:lang w:val="fr-BE"/>
              </w:rPr>
            </w:pPr>
          </w:p>
          <w:p w14:paraId="31667EC2" w14:textId="77777777" w:rsidR="0066121A" w:rsidRPr="008641F2" w:rsidRDefault="0066121A" w:rsidP="00BA689E">
            <w:pPr>
              <w:jc w:val="both"/>
              <w:rPr>
                <w:rFonts w:ascii="Arial" w:hAnsi="Arial" w:cs="Arial"/>
                <w:bCs/>
                <w:lang w:val="fr-BE"/>
              </w:rPr>
            </w:pPr>
          </w:p>
          <w:p w14:paraId="44199DA3" w14:textId="77777777" w:rsidR="0066121A" w:rsidRPr="008641F2" w:rsidRDefault="0066121A" w:rsidP="00BA689E">
            <w:pPr>
              <w:jc w:val="both"/>
              <w:rPr>
                <w:rFonts w:ascii="Arial" w:hAnsi="Arial" w:cs="Arial"/>
                <w:bCs/>
                <w:lang w:val="fr-BE"/>
              </w:rPr>
            </w:pPr>
          </w:p>
          <w:p w14:paraId="39548012" w14:textId="28E3E938" w:rsidR="007743E5" w:rsidRPr="007743E5" w:rsidRDefault="007529AC" w:rsidP="007743E5">
            <w:pPr>
              <w:jc w:val="both"/>
              <w:rPr>
                <w:rFonts w:ascii="Arial" w:hAnsi="Arial" w:cs="Arial"/>
                <w:bCs/>
                <w:lang w:val="fr-FR"/>
              </w:rPr>
            </w:pPr>
            <w:r>
              <w:rPr>
                <w:rFonts w:ascii="Arial" w:hAnsi="Arial" w:cs="Arial"/>
                <w:bCs/>
                <w:lang w:val="fr-FR"/>
              </w:rPr>
              <w:t>Mickaël</w:t>
            </w:r>
            <w:r w:rsidR="007743E5" w:rsidRPr="007743E5">
              <w:rPr>
                <w:rFonts w:ascii="Arial" w:hAnsi="Arial" w:cs="Arial"/>
                <w:bCs/>
                <w:lang w:val="fr-FR"/>
              </w:rPr>
              <w:t xml:space="preserve"> </w:t>
            </w:r>
            <w:r>
              <w:rPr>
                <w:rFonts w:ascii="Arial" w:hAnsi="Arial" w:cs="Arial"/>
                <w:bCs/>
                <w:lang w:val="fr-FR"/>
              </w:rPr>
              <w:t>DAUBIE</w:t>
            </w:r>
          </w:p>
          <w:p w14:paraId="022C31A7" w14:textId="152048FD" w:rsidR="0066121A" w:rsidRPr="0066121A" w:rsidRDefault="007743E5" w:rsidP="007743E5">
            <w:pPr>
              <w:jc w:val="both"/>
              <w:rPr>
                <w:rFonts w:ascii="Arial" w:hAnsi="Arial" w:cs="Arial"/>
                <w:spacing w:val="-3"/>
                <w:lang w:val="fr-BE"/>
              </w:rPr>
            </w:pPr>
            <w:r w:rsidRPr="007743E5">
              <w:rPr>
                <w:rFonts w:ascii="Arial" w:hAnsi="Arial" w:cs="Arial"/>
                <w:bCs/>
                <w:lang w:val="fr-FR"/>
              </w:rPr>
              <w:t xml:space="preserve">Directeur général </w:t>
            </w:r>
            <w:r w:rsidR="009833A8">
              <w:rPr>
                <w:rFonts w:ascii="Arial" w:hAnsi="Arial" w:cs="Arial"/>
                <w:bCs/>
                <w:lang w:val="fr-FR"/>
              </w:rPr>
              <w:t xml:space="preserve">des </w:t>
            </w:r>
            <w:r w:rsidRPr="007743E5">
              <w:rPr>
                <w:rFonts w:ascii="Arial" w:hAnsi="Arial" w:cs="Arial"/>
                <w:bCs/>
                <w:lang w:val="fr-FR"/>
              </w:rPr>
              <w:t>soins de santé</w:t>
            </w:r>
          </w:p>
        </w:tc>
      </w:tr>
    </w:tbl>
    <w:p w14:paraId="754547FC" w14:textId="77777777" w:rsidR="0066121A" w:rsidRPr="0066121A" w:rsidRDefault="0066121A" w:rsidP="0066121A">
      <w:pPr>
        <w:rPr>
          <w:rFonts w:ascii="Arial" w:hAnsi="Arial" w:cs="Arial"/>
          <w:lang w:val="fr-BE"/>
        </w:rPr>
      </w:pPr>
    </w:p>
    <w:p w14:paraId="7DE77AD1" w14:textId="77777777" w:rsidR="002F3391" w:rsidRPr="0066121A" w:rsidRDefault="002F3391">
      <w:pPr>
        <w:rPr>
          <w:lang w:val="fr-BE"/>
        </w:rPr>
      </w:pPr>
    </w:p>
    <w:sectPr w:rsidR="002F3391" w:rsidRPr="0066121A" w:rsidSect="0021353E">
      <w:headerReference w:type="even" r:id="rId11"/>
      <w:headerReference w:type="default" r:id="rId12"/>
      <w:footerReference w:type="even" r:id="rId13"/>
      <w:footerReference w:type="default" r:id="rId14"/>
      <w:headerReference w:type="first" r:id="rId15"/>
      <w:footerReference w:type="first" r:id="rId16"/>
      <w:pgSz w:w="12240" w:h="15840"/>
      <w:pgMar w:top="1"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lien Mattheus (RIZIV-INAMI)" w:date="2025-06-16T10:15:00Z" w:initials="JM">
    <w:p w14:paraId="122624F1" w14:textId="77777777" w:rsidR="00F47DE3" w:rsidRDefault="00F47DE3" w:rsidP="00F47DE3">
      <w:pPr>
        <w:pStyle w:val="Tekstopmerking"/>
      </w:pPr>
      <w:r>
        <w:rPr>
          <w:rStyle w:val="Verwijzingopmerking"/>
        </w:rPr>
        <w:annotationRef/>
      </w:r>
      <w:r>
        <w:rPr>
          <w:lang w:val="nl-BE"/>
        </w:rPr>
        <w:t>23/06/2025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62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1F6C0" w16cex:dateUtc="2025-06-1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624F1" w16cid:durableId="2BD1F6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BF37" w14:textId="77777777" w:rsidR="005C336C" w:rsidRDefault="005C336C" w:rsidP="0066121A">
      <w:r>
        <w:separator/>
      </w:r>
    </w:p>
  </w:endnote>
  <w:endnote w:type="continuationSeparator" w:id="0">
    <w:p w14:paraId="082D78AD" w14:textId="77777777" w:rsidR="005C336C" w:rsidRDefault="005C336C" w:rsidP="0066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19C7" w14:textId="77777777" w:rsidR="005C336C" w:rsidRPr="00B66B70" w:rsidRDefault="005C336C">
    <w:pPr>
      <w:pStyle w:val="Voettek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1590" w14:textId="562FCE10" w:rsidR="005C336C" w:rsidRPr="00552D6C" w:rsidRDefault="005C336C" w:rsidP="00BA689E">
    <w:pPr>
      <w:tabs>
        <w:tab w:val="center" w:pos="4680"/>
        <w:tab w:val="right" w:pos="9360"/>
      </w:tabs>
      <w:rPr>
        <w:rFonts w:ascii="Arial" w:eastAsiaTheme="minorEastAsia" w:hAnsi="Arial" w:cs="Arial"/>
        <w:sz w:val="18"/>
        <w:lang w:val="fr-FR"/>
      </w:rPr>
    </w:pPr>
    <w:r w:rsidRPr="00552D6C">
      <w:rPr>
        <w:rFonts w:ascii="Arial" w:hAnsi="Arial" w:cs="Arial"/>
        <w:sz w:val="18"/>
        <w:lang w:val="fr-FR"/>
      </w:rPr>
      <w:t>RIZIV-INAMI</w:t>
    </w:r>
    <w:r w:rsidRPr="00552D6C">
      <w:rPr>
        <w:rFonts w:ascii="Arial" w:hAnsi="Arial" w:cs="Arial"/>
        <w:sz w:val="18"/>
        <w:lang w:val="fr-FR"/>
      </w:rPr>
      <w:tab/>
    </w:r>
    <w:proofErr w:type="spellStart"/>
    <w:r w:rsidRPr="00552D6C">
      <w:rPr>
        <w:rFonts w:ascii="Arial" w:hAnsi="Arial" w:cs="Arial"/>
        <w:sz w:val="18"/>
        <w:lang w:val="fr-FR"/>
      </w:rPr>
      <w:t>Dienst</w:t>
    </w:r>
    <w:proofErr w:type="spellEnd"/>
    <w:r w:rsidRPr="00552D6C">
      <w:rPr>
        <w:rFonts w:ascii="Arial" w:hAnsi="Arial" w:cs="Arial"/>
        <w:sz w:val="18"/>
        <w:lang w:val="fr-FR"/>
      </w:rPr>
      <w:t xml:space="preserve"> </w:t>
    </w:r>
    <w:proofErr w:type="spellStart"/>
    <w:r w:rsidRPr="00552D6C">
      <w:rPr>
        <w:rFonts w:ascii="Arial" w:hAnsi="Arial" w:cs="Arial"/>
        <w:sz w:val="18"/>
        <w:lang w:val="fr-FR"/>
      </w:rPr>
      <w:t>voor</w:t>
    </w:r>
    <w:proofErr w:type="spellEnd"/>
    <w:r w:rsidRPr="00552D6C">
      <w:rPr>
        <w:rFonts w:ascii="Arial" w:hAnsi="Arial" w:cs="Arial"/>
        <w:sz w:val="18"/>
        <w:lang w:val="fr-FR"/>
      </w:rPr>
      <w:t xml:space="preserve"> </w:t>
    </w:r>
    <w:proofErr w:type="spellStart"/>
    <w:r w:rsidRPr="00552D6C">
      <w:rPr>
        <w:rFonts w:ascii="Arial" w:hAnsi="Arial" w:cs="Arial"/>
        <w:sz w:val="18"/>
        <w:lang w:val="fr-FR"/>
      </w:rPr>
      <w:t>geneeskundige</w:t>
    </w:r>
    <w:proofErr w:type="spellEnd"/>
    <w:r w:rsidRPr="00552D6C">
      <w:rPr>
        <w:rFonts w:ascii="Arial" w:hAnsi="Arial" w:cs="Arial"/>
        <w:sz w:val="18"/>
        <w:lang w:val="fr-FR"/>
      </w:rPr>
      <w:t xml:space="preserve"> </w:t>
    </w:r>
    <w:proofErr w:type="spellStart"/>
    <w:r w:rsidRPr="00552D6C">
      <w:rPr>
        <w:rFonts w:ascii="Arial" w:hAnsi="Arial" w:cs="Arial"/>
        <w:sz w:val="18"/>
        <w:lang w:val="fr-FR"/>
      </w:rPr>
      <w:t>verzorging</w:t>
    </w:r>
    <w:proofErr w:type="spellEnd"/>
    <w:r w:rsidRPr="00552D6C">
      <w:rPr>
        <w:rFonts w:ascii="Arial" w:hAnsi="Arial" w:cs="Arial"/>
        <w:sz w:val="18"/>
        <w:lang w:val="fr-FR"/>
      </w:rPr>
      <w:t xml:space="preserve"> – Service des soins de santé </w:t>
    </w:r>
    <w:r w:rsidRPr="00552D6C">
      <w:rPr>
        <w:rFonts w:ascii="Arial" w:hAnsi="Arial" w:cs="Arial"/>
        <w:sz w:val="18"/>
        <w:lang w:val="fr-FR"/>
      </w:rPr>
      <w:tab/>
    </w:r>
    <w:r w:rsidR="00552D6C" w:rsidRPr="00552D6C">
      <w:rPr>
        <w:rFonts w:ascii="Arial" w:hAnsi="Arial" w:cs="Arial"/>
        <w:sz w:val="18"/>
        <w:lang w:val="fr-FR"/>
      </w:rPr>
      <w:t>[Numéro d’identification</w:t>
    </w:r>
    <w:r w:rsidR="00552D6C">
      <w:rPr>
        <w:rFonts w:ascii="Arial" w:hAnsi="Arial" w:cs="Arial"/>
        <w:sz w:val="18"/>
        <w:lang w:val="fr-FR"/>
      </w:rPr>
      <w:t>]</w:t>
    </w:r>
  </w:p>
  <w:p w14:paraId="0CBB21E3" w14:textId="77777777" w:rsidR="005C336C" w:rsidRPr="00552D6C" w:rsidRDefault="005C336C">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17FE" w14:textId="77777777" w:rsidR="005C336C" w:rsidRDefault="005C33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8FE6" w14:textId="77777777" w:rsidR="005C336C" w:rsidRDefault="005C336C" w:rsidP="0066121A">
      <w:r>
        <w:separator/>
      </w:r>
    </w:p>
  </w:footnote>
  <w:footnote w:type="continuationSeparator" w:id="0">
    <w:p w14:paraId="5C76F92D" w14:textId="77777777" w:rsidR="005C336C" w:rsidRDefault="005C336C" w:rsidP="0066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4B0" w14:textId="77777777" w:rsidR="005C336C" w:rsidRDefault="005C33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DC30" w14:textId="77777777" w:rsidR="005C336C" w:rsidRPr="00B66B70" w:rsidRDefault="005C336C">
    <w:pPr>
      <w:pStyle w:val="Kopteks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8608" w14:textId="77777777" w:rsidR="005C336C" w:rsidRDefault="005C33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E3081"/>
    <w:multiLevelType w:val="hybridMultilevel"/>
    <w:tmpl w:val="1C02CB3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68247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ien Mattheus (RIZIV-INAMI)">
    <w15:presenceInfo w15:providerId="AD" w15:userId="S::jolien.mattheus@riziv-inami.fgov.be::0170409b-120a-46ed-a498-673eee3b4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R_METADATA_KEY" w:val="6c7ffff9-edae-4f11-a339-fc5518d01b4b"/>
  </w:docVars>
  <w:rsids>
    <w:rsidRoot w:val="008C0106"/>
    <w:rsid w:val="00085160"/>
    <w:rsid w:val="000A30B0"/>
    <w:rsid w:val="001159FB"/>
    <w:rsid w:val="00123AAA"/>
    <w:rsid w:val="00136F55"/>
    <w:rsid w:val="00141525"/>
    <w:rsid w:val="001422E5"/>
    <w:rsid w:val="00197427"/>
    <w:rsid w:val="001C4B77"/>
    <w:rsid w:val="002130A6"/>
    <w:rsid w:val="0021353E"/>
    <w:rsid w:val="00251068"/>
    <w:rsid w:val="00254F2C"/>
    <w:rsid w:val="002F3391"/>
    <w:rsid w:val="00312ABF"/>
    <w:rsid w:val="0031477D"/>
    <w:rsid w:val="003C0845"/>
    <w:rsid w:val="00432CEF"/>
    <w:rsid w:val="00447E6F"/>
    <w:rsid w:val="00473463"/>
    <w:rsid w:val="00490573"/>
    <w:rsid w:val="00497636"/>
    <w:rsid w:val="004C23B0"/>
    <w:rsid w:val="00513EAA"/>
    <w:rsid w:val="00530317"/>
    <w:rsid w:val="00546C32"/>
    <w:rsid w:val="00552D6C"/>
    <w:rsid w:val="0058641F"/>
    <w:rsid w:val="005C336C"/>
    <w:rsid w:val="005C5ABD"/>
    <w:rsid w:val="006142B6"/>
    <w:rsid w:val="00644F4A"/>
    <w:rsid w:val="0066121A"/>
    <w:rsid w:val="00670DF4"/>
    <w:rsid w:val="0067102C"/>
    <w:rsid w:val="00683428"/>
    <w:rsid w:val="0070410D"/>
    <w:rsid w:val="00732FF4"/>
    <w:rsid w:val="007529AC"/>
    <w:rsid w:val="00766AC6"/>
    <w:rsid w:val="007743E5"/>
    <w:rsid w:val="00794271"/>
    <w:rsid w:val="007A4744"/>
    <w:rsid w:val="008037E9"/>
    <w:rsid w:val="00810B72"/>
    <w:rsid w:val="00821F3A"/>
    <w:rsid w:val="00827CEC"/>
    <w:rsid w:val="008C0106"/>
    <w:rsid w:val="008C46EF"/>
    <w:rsid w:val="00914638"/>
    <w:rsid w:val="00941719"/>
    <w:rsid w:val="009833A8"/>
    <w:rsid w:val="00991DDB"/>
    <w:rsid w:val="00A1615B"/>
    <w:rsid w:val="00A31F66"/>
    <w:rsid w:val="00A41889"/>
    <w:rsid w:val="00A45802"/>
    <w:rsid w:val="00AF1812"/>
    <w:rsid w:val="00B006B1"/>
    <w:rsid w:val="00B108EE"/>
    <w:rsid w:val="00B66B70"/>
    <w:rsid w:val="00BA640A"/>
    <w:rsid w:val="00BA689E"/>
    <w:rsid w:val="00BD2638"/>
    <w:rsid w:val="00BE2EBA"/>
    <w:rsid w:val="00BF5A09"/>
    <w:rsid w:val="00C36676"/>
    <w:rsid w:val="00C52DB1"/>
    <w:rsid w:val="00C578D4"/>
    <w:rsid w:val="00CC659B"/>
    <w:rsid w:val="00CE075D"/>
    <w:rsid w:val="00D251E2"/>
    <w:rsid w:val="00D76741"/>
    <w:rsid w:val="00DF1252"/>
    <w:rsid w:val="00E1198F"/>
    <w:rsid w:val="00E13159"/>
    <w:rsid w:val="00E934DF"/>
    <w:rsid w:val="00E965A6"/>
    <w:rsid w:val="00EB6536"/>
    <w:rsid w:val="00ED1CAF"/>
    <w:rsid w:val="00F035A5"/>
    <w:rsid w:val="00F323DF"/>
    <w:rsid w:val="00F42825"/>
    <w:rsid w:val="00F47DE3"/>
    <w:rsid w:val="00F6409F"/>
    <w:rsid w:val="00F808E2"/>
    <w:rsid w:val="00F86A0D"/>
    <w:rsid w:val="00FF45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707C"/>
  <w15:chartTrackingRefBased/>
  <w15:docId w15:val="{2F7B3934-BA08-49E7-85CA-F287C426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21A"/>
    <w:pPr>
      <w:spacing w:after="0"/>
      <w:jc w:val="left"/>
    </w:pPr>
    <w:rPr>
      <w:rFonts w:ascii="Times New Roman" w:eastAsia="Times New Roman" w:hAnsi="Times New Roman" w:cs="Times New Roman"/>
      <w:sz w:val="20"/>
      <w:szCs w:val="20"/>
      <w:lang w:val="en-GB"/>
    </w:rPr>
  </w:style>
  <w:style w:type="paragraph" w:styleId="Kop1">
    <w:name w:val="heading 1"/>
    <w:basedOn w:val="Standaard"/>
    <w:next w:val="Standaard"/>
    <w:link w:val="Kop1Char"/>
    <w:qFormat/>
    <w:rsid w:val="0066121A"/>
    <w:pPr>
      <w:widowControl w:val="0"/>
      <w:tabs>
        <w:tab w:val="left" w:pos="-720"/>
      </w:tabs>
      <w:suppressAutoHyphens/>
      <w:snapToGrid w:val="0"/>
      <w:outlineLvl w:val="0"/>
    </w:pPr>
    <w:rPr>
      <w:rFonts w:ascii="Arial" w:hAnsi="Arial"/>
      <w:b/>
      <w:u w:val="single"/>
      <w:lang w:val="fr-FR"/>
    </w:rPr>
  </w:style>
  <w:style w:type="paragraph" w:styleId="Kop6">
    <w:name w:val="heading 6"/>
    <w:basedOn w:val="Standaard"/>
    <w:next w:val="Standaard"/>
    <w:link w:val="Kop6Char"/>
    <w:uiPriority w:val="9"/>
    <w:semiHidden/>
    <w:unhideWhenUsed/>
    <w:qFormat/>
    <w:rsid w:val="00F323DF"/>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66121A"/>
    <w:pPr>
      <w:tabs>
        <w:tab w:val="left" w:pos="-720"/>
      </w:tabs>
      <w:suppressAutoHyphens/>
      <w:jc w:val="both"/>
    </w:pPr>
    <w:rPr>
      <w:b/>
      <w:spacing w:val="-2"/>
      <w:u w:val="single"/>
      <w:lang w:val="fr-FR"/>
    </w:rPr>
  </w:style>
  <w:style w:type="character" w:customStyle="1" w:styleId="PlattetekstChar">
    <w:name w:val="Platte tekst Char"/>
    <w:basedOn w:val="Standaardalinea-lettertype"/>
    <w:link w:val="Plattetekst"/>
    <w:rsid w:val="0066121A"/>
    <w:rPr>
      <w:rFonts w:ascii="Times New Roman" w:eastAsia="Times New Roman" w:hAnsi="Times New Roman" w:cs="Times New Roman"/>
      <w:b/>
      <w:spacing w:val="-2"/>
      <w:sz w:val="20"/>
      <w:szCs w:val="20"/>
      <w:u w:val="single"/>
      <w:lang w:val="fr-FR"/>
    </w:rPr>
  </w:style>
  <w:style w:type="paragraph" w:styleId="Voettekst">
    <w:name w:val="footer"/>
    <w:basedOn w:val="Standaard"/>
    <w:link w:val="VoettekstChar"/>
    <w:uiPriority w:val="99"/>
    <w:unhideWhenUsed/>
    <w:rsid w:val="0066121A"/>
    <w:pPr>
      <w:tabs>
        <w:tab w:val="center" w:pos="4680"/>
        <w:tab w:val="right" w:pos="9360"/>
      </w:tabs>
    </w:pPr>
  </w:style>
  <w:style w:type="character" w:customStyle="1" w:styleId="VoettekstChar">
    <w:name w:val="Voettekst Char"/>
    <w:basedOn w:val="Standaardalinea-lettertype"/>
    <w:link w:val="Voettekst"/>
    <w:uiPriority w:val="99"/>
    <w:rsid w:val="0066121A"/>
    <w:rPr>
      <w:rFonts w:ascii="Times New Roman" w:eastAsia="Times New Roman" w:hAnsi="Times New Roman" w:cs="Times New Roman"/>
      <w:sz w:val="20"/>
      <w:szCs w:val="20"/>
      <w:lang w:val="en-GB"/>
    </w:rPr>
  </w:style>
  <w:style w:type="paragraph" w:styleId="Koptekst">
    <w:name w:val="header"/>
    <w:basedOn w:val="Standaard"/>
    <w:link w:val="KoptekstChar"/>
    <w:uiPriority w:val="99"/>
    <w:unhideWhenUsed/>
    <w:rsid w:val="0066121A"/>
    <w:pPr>
      <w:tabs>
        <w:tab w:val="center" w:pos="4680"/>
        <w:tab w:val="right" w:pos="9360"/>
      </w:tabs>
    </w:pPr>
  </w:style>
  <w:style w:type="character" w:customStyle="1" w:styleId="KoptekstChar">
    <w:name w:val="Koptekst Char"/>
    <w:basedOn w:val="Standaardalinea-lettertype"/>
    <w:link w:val="Koptekst"/>
    <w:uiPriority w:val="99"/>
    <w:rsid w:val="0066121A"/>
    <w:rPr>
      <w:rFonts w:ascii="Times New Roman" w:eastAsia="Times New Roman" w:hAnsi="Times New Roman" w:cs="Times New Roman"/>
      <w:sz w:val="20"/>
      <w:szCs w:val="20"/>
      <w:lang w:val="en-GB"/>
    </w:rPr>
  </w:style>
  <w:style w:type="character" w:customStyle="1" w:styleId="Kop1Char">
    <w:name w:val="Kop 1 Char"/>
    <w:basedOn w:val="Standaardalinea-lettertype"/>
    <w:link w:val="Kop1"/>
    <w:rsid w:val="0066121A"/>
    <w:rPr>
      <w:rFonts w:ascii="Arial" w:eastAsia="Times New Roman" w:hAnsi="Arial" w:cs="Times New Roman"/>
      <w:b/>
      <w:sz w:val="20"/>
      <w:szCs w:val="20"/>
      <w:u w:val="single"/>
      <w:lang w:val="fr-FR"/>
    </w:rPr>
  </w:style>
  <w:style w:type="paragraph" w:styleId="Titel">
    <w:name w:val="Title"/>
    <w:basedOn w:val="Standaard"/>
    <w:link w:val="TitelChar"/>
    <w:qFormat/>
    <w:rsid w:val="0066121A"/>
    <w:pPr>
      <w:jc w:val="center"/>
    </w:pPr>
    <w:rPr>
      <w:rFonts w:ascii="Arial" w:hAnsi="Arial"/>
      <w:b/>
      <w:sz w:val="22"/>
      <w:lang w:val="fr-FR"/>
    </w:rPr>
  </w:style>
  <w:style w:type="character" w:customStyle="1" w:styleId="TitelChar">
    <w:name w:val="Titel Char"/>
    <w:basedOn w:val="Standaardalinea-lettertype"/>
    <w:link w:val="Titel"/>
    <w:rsid w:val="0066121A"/>
    <w:rPr>
      <w:rFonts w:ascii="Arial" w:eastAsia="Times New Roman" w:hAnsi="Arial" w:cs="Times New Roman"/>
      <w:b/>
      <w:szCs w:val="20"/>
      <w:lang w:val="fr-FR"/>
    </w:rPr>
  </w:style>
  <w:style w:type="character" w:customStyle="1" w:styleId="Kop6Char">
    <w:name w:val="Kop 6 Char"/>
    <w:basedOn w:val="Standaardalinea-lettertype"/>
    <w:link w:val="Kop6"/>
    <w:uiPriority w:val="9"/>
    <w:semiHidden/>
    <w:rsid w:val="00F323DF"/>
    <w:rPr>
      <w:rFonts w:asciiTheme="majorHAnsi" w:eastAsiaTheme="majorEastAsia" w:hAnsiTheme="majorHAnsi" w:cstheme="majorBidi"/>
      <w:color w:val="243F60" w:themeColor="accent1" w:themeShade="7F"/>
      <w:sz w:val="20"/>
      <w:szCs w:val="20"/>
      <w:lang w:val="en-GB"/>
    </w:rPr>
  </w:style>
  <w:style w:type="character" w:styleId="Verwijzingopmerking">
    <w:name w:val="annotation reference"/>
    <w:basedOn w:val="Standaardalinea-lettertype"/>
    <w:uiPriority w:val="99"/>
    <w:semiHidden/>
    <w:unhideWhenUsed/>
    <w:rsid w:val="00BA640A"/>
    <w:rPr>
      <w:sz w:val="16"/>
      <w:szCs w:val="16"/>
    </w:rPr>
  </w:style>
  <w:style w:type="paragraph" w:styleId="Tekstopmerking">
    <w:name w:val="annotation text"/>
    <w:basedOn w:val="Standaard"/>
    <w:link w:val="TekstopmerkingChar"/>
    <w:uiPriority w:val="99"/>
    <w:unhideWhenUsed/>
    <w:rsid w:val="00BA640A"/>
  </w:style>
  <w:style w:type="character" w:customStyle="1" w:styleId="TekstopmerkingChar">
    <w:name w:val="Tekst opmerking Char"/>
    <w:basedOn w:val="Standaardalinea-lettertype"/>
    <w:link w:val="Tekstopmerking"/>
    <w:uiPriority w:val="99"/>
    <w:rsid w:val="00BA640A"/>
    <w:rPr>
      <w:rFonts w:ascii="Times New Roman" w:eastAsia="Times New Roman" w:hAnsi="Times New Roman"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A640A"/>
    <w:rPr>
      <w:b/>
      <w:bCs/>
    </w:rPr>
  </w:style>
  <w:style w:type="character" w:customStyle="1" w:styleId="OnderwerpvanopmerkingChar">
    <w:name w:val="Onderwerp van opmerking Char"/>
    <w:basedOn w:val="TekstopmerkingChar"/>
    <w:link w:val="Onderwerpvanopmerking"/>
    <w:uiPriority w:val="99"/>
    <w:semiHidden/>
    <w:rsid w:val="00BA640A"/>
    <w:rPr>
      <w:rFonts w:ascii="Times New Roman" w:eastAsia="Times New Roman" w:hAnsi="Times New Roman" w:cs="Times New Roman"/>
      <w:b/>
      <w:bCs/>
      <w:sz w:val="20"/>
      <w:szCs w:val="20"/>
      <w:lang w:val="en-GB"/>
    </w:rPr>
  </w:style>
  <w:style w:type="paragraph" w:styleId="Revisie">
    <w:name w:val="Revision"/>
    <w:hidden/>
    <w:uiPriority w:val="99"/>
    <w:semiHidden/>
    <w:rsid w:val="00497636"/>
    <w:pPr>
      <w:spacing w:after="0"/>
      <w:jc w:val="lef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5446</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Cabo</dc:creator>
  <cp:keywords/>
  <dc:description/>
  <cp:lastModifiedBy>Jolien Mattheus (RIZIV-INAMI)</cp:lastModifiedBy>
  <cp:revision>41</cp:revision>
  <cp:lastPrinted>2022-12-16T13:35:00Z</cp:lastPrinted>
  <dcterms:created xsi:type="dcterms:W3CDTF">2021-11-29T14:53:00Z</dcterms:created>
  <dcterms:modified xsi:type="dcterms:W3CDTF">2025-06-16T08:17:00Z</dcterms:modified>
</cp:coreProperties>
</file>