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01CC9" w14:textId="77777777" w:rsidR="00152B01" w:rsidRPr="000D7980" w:rsidRDefault="00152B01" w:rsidP="009949BE">
      <w:pPr>
        <w:jc w:val="both"/>
        <w:rPr>
          <w:b/>
          <w:lang w:val="fr-BE"/>
        </w:rPr>
      </w:pPr>
      <w:r w:rsidRPr="000D7980">
        <w:rPr>
          <w:b/>
          <w:lang w:val="fr-BE"/>
        </w:rPr>
        <w:t>Juillet 2021 – Mesures pour les patients et dispensateurs de soins qui sont victimes des récentes inondations : instructions aux dispensateurs de soins</w:t>
      </w:r>
    </w:p>
    <w:p w14:paraId="32ACF2BC" w14:textId="01BAA7C1" w:rsidR="00152B01" w:rsidRPr="000D7980" w:rsidRDefault="00152B01" w:rsidP="009949BE">
      <w:pPr>
        <w:jc w:val="both"/>
        <w:rPr>
          <w:rFonts w:ascii="Calibri" w:eastAsia="Calibri" w:hAnsi="Calibri"/>
          <w:lang w:val="fr-BE"/>
        </w:rPr>
      </w:pPr>
      <w:r w:rsidRPr="000D7980">
        <w:rPr>
          <w:rFonts w:ascii="Calibri" w:eastAsia="Calibri" w:hAnsi="Calibri"/>
          <w:lang w:val="fr-BE"/>
        </w:rPr>
        <w:t>Les inondations qui ont frappé la Belgique en juillet 2021 peuvent avoir des conséquences pour les assurés et dispensateurs de soins des zones sinistrées dans le domaine de l’assurance obligatoire soins de santé. Les inondations doivent être considérées comme une situation de force majeure par exemple en cas de perte de documents (prescriptions, attestations de soins donnés, autorisations du médecin-conseil, etc.), perte des documents d’identité, perte de médicaments, de produits de santé et/ou de dispositifs médicaux, qui fo</w:t>
      </w:r>
      <w:r w:rsidR="008F3197">
        <w:rPr>
          <w:rFonts w:ascii="Calibri" w:eastAsia="Calibri" w:hAnsi="Calibri"/>
          <w:lang w:val="fr-BE"/>
        </w:rPr>
        <w:t xml:space="preserve">nt éventuellement l’objet d’un délai </w:t>
      </w:r>
      <w:r w:rsidRPr="000D7980">
        <w:rPr>
          <w:rFonts w:ascii="Calibri" w:eastAsia="Calibri" w:hAnsi="Calibri"/>
          <w:lang w:val="fr-BE"/>
        </w:rPr>
        <w:t>de renouvellement ou d’une intervention limitée, dérogation à l’obligation pour les assurés inscrits à une maison médicale de s’adresser à cette dernière.</w:t>
      </w:r>
    </w:p>
    <w:p w14:paraId="2FE8D41D" w14:textId="77777777" w:rsidR="00152B01" w:rsidRPr="000D7980" w:rsidRDefault="00152B01" w:rsidP="009949BE">
      <w:pPr>
        <w:spacing w:after="0"/>
        <w:jc w:val="both"/>
        <w:rPr>
          <w:rFonts w:ascii="Calibri" w:eastAsia="Calibri" w:hAnsi="Calibri"/>
          <w:lang w:val="fr-BE"/>
        </w:rPr>
      </w:pPr>
      <w:r w:rsidRPr="000D7980">
        <w:rPr>
          <w:rFonts w:ascii="Calibri" w:eastAsia="Calibri" w:hAnsi="Calibri"/>
          <w:lang w:val="fr-BE"/>
        </w:rPr>
        <w:t xml:space="preserve">Conformément aux principes en vigueur en matière de force majeure, les organismes assureurs peuvent évaluer de manière autonome ces situations sur la base des pièces justificatives invoquées par l’assuré ou le dispensateur de soins et, le cas échéant, invoquer la force majeure pour accorder une intervention de l’assurance. </w:t>
      </w:r>
    </w:p>
    <w:p w14:paraId="121E30C2" w14:textId="77777777" w:rsidR="00152B01" w:rsidRPr="000D7980" w:rsidRDefault="00152B01" w:rsidP="009949BE">
      <w:pPr>
        <w:spacing w:after="0"/>
        <w:jc w:val="both"/>
        <w:rPr>
          <w:rFonts w:ascii="Calibri" w:eastAsia="Calibri" w:hAnsi="Calibri"/>
          <w:lang w:val="fr-BE"/>
        </w:rPr>
      </w:pPr>
    </w:p>
    <w:p w14:paraId="2B413C3F" w14:textId="6822BA45" w:rsidR="00152B01" w:rsidRPr="000D7980" w:rsidRDefault="00152B01" w:rsidP="009949BE">
      <w:pPr>
        <w:spacing w:after="0"/>
        <w:jc w:val="both"/>
        <w:rPr>
          <w:lang w:val="fr-BE"/>
        </w:rPr>
      </w:pPr>
      <w:r w:rsidRPr="000D7980">
        <w:rPr>
          <w:lang w:val="fr-BE"/>
        </w:rPr>
        <w:t xml:space="preserve">En cas de perte de produits pharmaceutiques, de prothèses dentaires ou de matériel de </w:t>
      </w:r>
      <w:proofErr w:type="spellStart"/>
      <w:r w:rsidR="00523FA0">
        <w:rPr>
          <w:lang w:val="fr-BE"/>
        </w:rPr>
        <w:t>bandagisterie</w:t>
      </w:r>
      <w:proofErr w:type="spellEnd"/>
      <w:r w:rsidRPr="000D7980">
        <w:rPr>
          <w:lang w:val="fr-BE"/>
        </w:rPr>
        <w:t>, les organismes assureurs peuvent, par exemple, rembourser les prestations au-delà du nombre maximal de prestations autorisées o</w:t>
      </w:r>
      <w:r w:rsidR="00342BDB">
        <w:rPr>
          <w:lang w:val="fr-BE"/>
        </w:rPr>
        <w:t xml:space="preserve">u rembourser des prestations </w:t>
      </w:r>
      <w:r w:rsidR="008F3197">
        <w:rPr>
          <w:lang w:val="fr-BE"/>
        </w:rPr>
        <w:t xml:space="preserve">avant l’expiration du délai </w:t>
      </w:r>
      <w:r w:rsidRPr="000D7980">
        <w:rPr>
          <w:lang w:val="fr-BE"/>
        </w:rPr>
        <w:t>de renouvellement. En cas de perte des documents, des duplicatas et copies de ces documents peuvent être acceptés et il peut être admis que les</w:t>
      </w:r>
      <w:r w:rsidR="00342BDB">
        <w:rPr>
          <w:lang w:val="fr-BE"/>
        </w:rPr>
        <w:t xml:space="preserve"> prestations soient facturées ou</w:t>
      </w:r>
      <w:r w:rsidRPr="000D7980">
        <w:rPr>
          <w:lang w:val="fr-BE"/>
        </w:rPr>
        <w:t xml:space="preserve"> que les documents soient remis e</w:t>
      </w:r>
      <w:r w:rsidR="006B2314">
        <w:rPr>
          <w:lang w:val="fr-BE"/>
        </w:rPr>
        <w:t>n dehors des délais prévus à cette fin</w:t>
      </w:r>
      <w:r w:rsidRPr="000D7980">
        <w:rPr>
          <w:lang w:val="fr-BE"/>
        </w:rPr>
        <w:t>.</w:t>
      </w:r>
    </w:p>
    <w:p w14:paraId="4374BC71" w14:textId="7C92F34C" w:rsidR="00A4381B" w:rsidRPr="000D7980" w:rsidRDefault="00A4381B" w:rsidP="009949BE">
      <w:pPr>
        <w:spacing w:after="0"/>
        <w:jc w:val="both"/>
        <w:rPr>
          <w:lang w:val="fr-BE"/>
        </w:rPr>
      </w:pPr>
    </w:p>
    <w:p w14:paraId="2DD033B4" w14:textId="518FD175" w:rsidR="00A4381B" w:rsidRPr="000D7980" w:rsidRDefault="00A4381B" w:rsidP="009949BE">
      <w:pPr>
        <w:spacing w:after="0"/>
        <w:jc w:val="both"/>
        <w:rPr>
          <w:lang w:val="fr-BE"/>
        </w:rPr>
      </w:pPr>
      <w:r w:rsidRPr="000D7980">
        <w:rPr>
          <w:lang w:val="fr-BE"/>
        </w:rPr>
        <w:t>Il est demandé aux dispensateurs de soins d’apposer la mention « inondations » sur les attestations de soins donnés ou autres documents</w:t>
      </w:r>
      <w:r w:rsidR="003B19F5">
        <w:rPr>
          <w:lang w:val="fr-BE"/>
        </w:rPr>
        <w:t xml:space="preserve"> concernés</w:t>
      </w:r>
      <w:r w:rsidRPr="000D7980">
        <w:rPr>
          <w:lang w:val="fr-BE"/>
        </w:rPr>
        <w:t xml:space="preserve">. Afin d’éviter les blocages, </w:t>
      </w:r>
      <w:r w:rsidR="00194147" w:rsidRPr="000D7980">
        <w:rPr>
          <w:lang w:val="fr-BE"/>
        </w:rPr>
        <w:t>par exemple</w:t>
      </w:r>
      <w:r w:rsidR="00194147">
        <w:rPr>
          <w:lang w:val="fr-BE"/>
        </w:rPr>
        <w:t>,</w:t>
      </w:r>
      <w:r w:rsidR="00194147" w:rsidRPr="000D7980">
        <w:rPr>
          <w:lang w:val="fr-BE"/>
        </w:rPr>
        <w:t xml:space="preserve"> </w:t>
      </w:r>
      <w:r w:rsidR="00194147">
        <w:rPr>
          <w:lang w:val="fr-BE"/>
        </w:rPr>
        <w:t xml:space="preserve">parce que </w:t>
      </w:r>
      <w:r w:rsidR="008F3197">
        <w:rPr>
          <w:lang w:val="fr-BE"/>
        </w:rPr>
        <w:t xml:space="preserve">le délai </w:t>
      </w:r>
      <w:r w:rsidRPr="000D7980">
        <w:rPr>
          <w:lang w:val="fr-BE"/>
        </w:rPr>
        <w:t>de reno</w:t>
      </w:r>
      <w:r w:rsidR="00FE2133">
        <w:rPr>
          <w:lang w:val="fr-BE"/>
        </w:rPr>
        <w:t>uvellement n’a pas été respecté</w:t>
      </w:r>
      <w:r w:rsidRPr="000D7980">
        <w:rPr>
          <w:lang w:val="fr-BE"/>
        </w:rPr>
        <w:t xml:space="preserve"> ou parce que le nombre maximal de prestations sur une période déterminée est atteint, il est recommandé de transférer ces attestations et documents via le circuit papier aux organi</w:t>
      </w:r>
      <w:r w:rsidR="00194147">
        <w:rPr>
          <w:lang w:val="fr-BE"/>
        </w:rPr>
        <w:t>smes assureurs. Cela s’applique</w:t>
      </w:r>
      <w:r w:rsidRPr="000D7980">
        <w:rPr>
          <w:lang w:val="fr-BE"/>
        </w:rPr>
        <w:t xml:space="preserve"> not</w:t>
      </w:r>
      <w:r w:rsidR="008D33E2">
        <w:rPr>
          <w:lang w:val="fr-BE"/>
        </w:rPr>
        <w:t>amment aux prestations de santé</w:t>
      </w:r>
      <w:r w:rsidRPr="000D7980">
        <w:rPr>
          <w:lang w:val="fr-BE"/>
        </w:rPr>
        <w:t xml:space="preserve"> </w:t>
      </w:r>
      <w:r w:rsidR="00194147">
        <w:rPr>
          <w:lang w:val="fr-BE"/>
        </w:rPr>
        <w:t>dispensées</w:t>
      </w:r>
      <w:r w:rsidRPr="000D7980">
        <w:rPr>
          <w:lang w:val="fr-BE"/>
        </w:rPr>
        <w:t xml:space="preserve"> par les dentistes et aux prestations de santé </w:t>
      </w:r>
      <w:r w:rsidR="00B3231D">
        <w:rPr>
          <w:lang w:val="fr-BE"/>
        </w:rPr>
        <w:t>dispensées</w:t>
      </w:r>
      <w:r w:rsidRPr="000D7980">
        <w:rPr>
          <w:lang w:val="fr-BE"/>
        </w:rPr>
        <w:t xml:space="preserve"> aux bénéficiaires inscrits dans une maison </w:t>
      </w:r>
      <w:r w:rsidR="000D7980" w:rsidRPr="000D7980">
        <w:rPr>
          <w:lang w:val="fr-BE"/>
        </w:rPr>
        <w:t>médicale</w:t>
      </w:r>
      <w:r w:rsidRPr="000D7980">
        <w:rPr>
          <w:lang w:val="fr-BE"/>
        </w:rPr>
        <w:t xml:space="preserve">. </w:t>
      </w:r>
    </w:p>
    <w:p w14:paraId="16D09CEE" w14:textId="6C5434BC" w:rsidR="00A4381B" w:rsidRPr="000D7980" w:rsidRDefault="00A4381B" w:rsidP="009949BE">
      <w:pPr>
        <w:spacing w:after="0"/>
        <w:jc w:val="both"/>
        <w:rPr>
          <w:lang w:val="fr-BE"/>
        </w:rPr>
      </w:pPr>
    </w:p>
    <w:p w14:paraId="7577FD64" w14:textId="2358A111" w:rsidR="00A4381B" w:rsidRPr="000D7980" w:rsidRDefault="00A4381B" w:rsidP="009949BE">
      <w:pPr>
        <w:spacing w:after="0"/>
        <w:jc w:val="both"/>
        <w:rPr>
          <w:lang w:val="fr-BE"/>
        </w:rPr>
      </w:pPr>
      <w:r w:rsidRPr="000D7980">
        <w:rPr>
          <w:lang w:val="fr-BE"/>
        </w:rPr>
        <w:t xml:space="preserve">Pour les bénéficiaires qui ont été touchés par les inondations, il est recommandé de toujours </w:t>
      </w:r>
      <w:r w:rsidR="008F30D2">
        <w:rPr>
          <w:lang w:val="fr-BE"/>
        </w:rPr>
        <w:t xml:space="preserve">appliquer le </w:t>
      </w:r>
      <w:r w:rsidR="00382994">
        <w:rPr>
          <w:lang w:val="fr-BE"/>
        </w:rPr>
        <w:t xml:space="preserve">régime du </w:t>
      </w:r>
      <w:r w:rsidRPr="000D7980">
        <w:rPr>
          <w:lang w:val="fr-BE"/>
        </w:rPr>
        <w:t>tiers payant. Pour cette raison, dans les cas où l’</w:t>
      </w:r>
      <w:r w:rsidR="000D7980" w:rsidRPr="000D7980">
        <w:rPr>
          <w:lang w:val="fr-BE"/>
        </w:rPr>
        <w:t>interdiction</w:t>
      </w:r>
      <w:r w:rsidRPr="000D7980">
        <w:rPr>
          <w:lang w:val="fr-BE"/>
        </w:rPr>
        <w:t xml:space="preserve"> du</w:t>
      </w:r>
      <w:r w:rsidR="00BC1A64">
        <w:rPr>
          <w:lang w:val="fr-BE"/>
        </w:rPr>
        <w:t xml:space="preserve"> régime</w:t>
      </w:r>
      <w:r w:rsidR="009557B8">
        <w:rPr>
          <w:lang w:val="fr-BE"/>
        </w:rPr>
        <w:t xml:space="preserve"> du</w:t>
      </w:r>
      <w:r w:rsidRPr="000D7980">
        <w:rPr>
          <w:lang w:val="fr-BE"/>
        </w:rPr>
        <w:t xml:space="preserve"> tiers payant s’appliquerait normalement et où aucune exception classique à cette interdiction ne peut être invoquée, l’exception des « prestations dispensées à des bénéficiaires qui se trouvent dans une situation financière individuelle </w:t>
      </w:r>
      <w:r w:rsidR="000D7980" w:rsidRPr="000D7980">
        <w:rPr>
          <w:lang w:val="fr-BE"/>
        </w:rPr>
        <w:t>occasionnelle</w:t>
      </w:r>
      <w:r w:rsidRPr="000D7980">
        <w:rPr>
          <w:lang w:val="fr-BE"/>
        </w:rPr>
        <w:t xml:space="preserve"> de détresse » peut également être invoquée afin d’appliquer le </w:t>
      </w:r>
      <w:r w:rsidR="00F95EC6">
        <w:rPr>
          <w:lang w:val="fr-BE"/>
        </w:rPr>
        <w:t>régime du</w:t>
      </w:r>
      <w:r w:rsidR="00CC2E83">
        <w:rPr>
          <w:lang w:val="fr-BE"/>
        </w:rPr>
        <w:t xml:space="preserve"> </w:t>
      </w:r>
      <w:r w:rsidRPr="000D7980">
        <w:rPr>
          <w:lang w:val="fr-BE"/>
        </w:rPr>
        <w:t xml:space="preserve">tiers payant pour les prestations de santé pour lesquelles l’application du </w:t>
      </w:r>
      <w:r w:rsidR="00CF2BD8">
        <w:rPr>
          <w:lang w:val="fr-BE"/>
        </w:rPr>
        <w:t xml:space="preserve">régime du </w:t>
      </w:r>
      <w:r w:rsidRPr="000D7980">
        <w:rPr>
          <w:lang w:val="fr-BE"/>
        </w:rPr>
        <w:t xml:space="preserve">tiers payant est en principe interdite (visites, consultations et avis de médecins, certaines prestations dentaires pour les </w:t>
      </w:r>
      <w:r w:rsidR="000D7980" w:rsidRPr="000D7980">
        <w:rPr>
          <w:lang w:val="fr-BE"/>
        </w:rPr>
        <w:t>bénéficiaires</w:t>
      </w:r>
      <w:r w:rsidRPr="000D7980">
        <w:rPr>
          <w:lang w:val="fr-BE"/>
        </w:rPr>
        <w:t xml:space="preserve"> âgés de 18 ans et plus, etc.)</w:t>
      </w:r>
      <w:r w:rsidRPr="000D7980">
        <w:rPr>
          <w:rStyle w:val="FootnoteReference"/>
          <w:lang w:val="fr-BE"/>
        </w:rPr>
        <w:footnoteReference w:id="1"/>
      </w:r>
      <w:r w:rsidRPr="000D7980">
        <w:rPr>
          <w:lang w:val="fr-BE"/>
        </w:rPr>
        <w:t xml:space="preserve">. </w:t>
      </w:r>
    </w:p>
    <w:p w14:paraId="34F6D15F" w14:textId="17091890" w:rsidR="00FB7BA8" w:rsidRPr="000D7980" w:rsidRDefault="00FB7BA8" w:rsidP="009949BE">
      <w:pPr>
        <w:spacing w:after="0"/>
        <w:jc w:val="both"/>
        <w:rPr>
          <w:lang w:val="fr-BE"/>
        </w:rPr>
      </w:pPr>
    </w:p>
    <w:p w14:paraId="125375F3" w14:textId="257FEFF7" w:rsidR="00FB7BA8" w:rsidRPr="000D7980" w:rsidRDefault="00FB7BA8" w:rsidP="009949BE">
      <w:pPr>
        <w:spacing w:after="0"/>
        <w:jc w:val="both"/>
        <w:rPr>
          <w:lang w:val="fr-BE"/>
        </w:rPr>
      </w:pPr>
      <w:r w:rsidRPr="000D7980">
        <w:rPr>
          <w:lang w:val="fr-BE"/>
        </w:rPr>
        <w:lastRenderedPageBreak/>
        <w:t xml:space="preserve">Concernant les attestations perdues que vous ou un patient </w:t>
      </w:r>
      <w:r w:rsidR="008B40F5">
        <w:rPr>
          <w:lang w:val="fr-BE"/>
        </w:rPr>
        <w:t>devez</w:t>
      </w:r>
      <w:r w:rsidRPr="000D7980">
        <w:rPr>
          <w:lang w:val="fr-BE"/>
        </w:rPr>
        <w:t xml:space="preserve"> présenter à la mutualité, vous avez la possibilité de faire un </w:t>
      </w:r>
      <w:r w:rsidR="000D7980" w:rsidRPr="000D7980">
        <w:rPr>
          <w:lang w:val="fr-BE"/>
        </w:rPr>
        <w:t>duplicata</w:t>
      </w:r>
      <w:r w:rsidRPr="000D7980">
        <w:rPr>
          <w:lang w:val="fr-BE"/>
        </w:rPr>
        <w:t xml:space="preserve"> </w:t>
      </w:r>
      <w:r w:rsidR="00C23D09">
        <w:rPr>
          <w:lang w:val="fr-BE"/>
        </w:rPr>
        <w:t>conformément</w:t>
      </w:r>
      <w:r w:rsidR="00DB24F7">
        <w:rPr>
          <w:lang w:val="fr-BE"/>
        </w:rPr>
        <w:t xml:space="preserve"> à</w:t>
      </w:r>
      <w:r w:rsidRPr="000D7980">
        <w:rPr>
          <w:lang w:val="fr-BE"/>
        </w:rPr>
        <w:t xml:space="preserve"> la procédure décrite dans la FAQ </w:t>
      </w:r>
      <w:proofErr w:type="spellStart"/>
      <w:r w:rsidRPr="000D7980">
        <w:rPr>
          <w:lang w:val="fr-BE"/>
        </w:rPr>
        <w:t>medattest</w:t>
      </w:r>
      <w:proofErr w:type="spellEnd"/>
      <w:r w:rsidRPr="000D7980">
        <w:rPr>
          <w:lang w:val="fr-BE"/>
        </w:rPr>
        <w:t xml:space="preserve"> (</w:t>
      </w:r>
      <w:hyperlink r:id="rId11" w:history="1">
        <w:r w:rsidRPr="000D7980">
          <w:rPr>
            <w:rStyle w:val="Hyperlink"/>
            <w:lang w:val="fr-BE"/>
          </w:rPr>
          <w:t>https://www.medattest.be/site/fr/applications/Riziv/content/help.html</w:t>
        </w:r>
      </w:hyperlink>
      <w:r w:rsidRPr="000D7980">
        <w:rPr>
          <w:lang w:val="fr-BE"/>
        </w:rPr>
        <w:t>), sous le point E.1.15 :</w:t>
      </w:r>
    </w:p>
    <w:p w14:paraId="45491C47" w14:textId="77777777" w:rsidR="00FB7BA8" w:rsidRPr="000D7980" w:rsidRDefault="00FB7BA8" w:rsidP="009949BE">
      <w:pPr>
        <w:spacing w:after="0"/>
        <w:jc w:val="both"/>
        <w:rPr>
          <w:lang w:val="fr-BE"/>
        </w:rPr>
      </w:pPr>
    </w:p>
    <w:p w14:paraId="63C35ABE" w14:textId="77777777" w:rsidR="00FB7BA8" w:rsidRPr="000D7980" w:rsidRDefault="001A6C33" w:rsidP="009949BE">
      <w:pPr>
        <w:jc w:val="both"/>
        <w:rPr>
          <w:rFonts w:ascii="Verdana" w:eastAsia="Times New Roman" w:hAnsi="Verdana" w:cs="Times New Roman"/>
          <w:color w:val="525252"/>
          <w:sz w:val="17"/>
          <w:szCs w:val="17"/>
          <w:lang w:val="fr-BE" w:eastAsia="fr-BE"/>
        </w:rPr>
      </w:pPr>
      <w:r w:rsidRPr="000D7980">
        <w:rPr>
          <w:rFonts w:ascii="Arial" w:eastAsia="Times New Roman" w:hAnsi="Arial" w:cs="Arial"/>
          <w:b/>
          <w:bCs/>
          <w:color w:val="DC002E"/>
          <w:sz w:val="18"/>
          <w:szCs w:val="18"/>
          <w:lang w:val="fr-BE" w:eastAsia="en-GB"/>
        </w:rPr>
        <w:t xml:space="preserve">E.1.15. </w:t>
      </w:r>
      <w:r w:rsidR="00FB7BA8" w:rsidRPr="000D7980">
        <w:rPr>
          <w:rFonts w:ascii="Arial" w:eastAsia="Times New Roman" w:hAnsi="Arial" w:cs="Arial"/>
          <w:b/>
          <w:bCs/>
          <w:color w:val="DC002E"/>
          <w:sz w:val="18"/>
          <w:szCs w:val="18"/>
          <w:lang w:val="fr-BE" w:eastAsia="fr-BE"/>
        </w:rPr>
        <w:t>Que doit faire le dispensateur de soins si le patient demande le duplicata d’une attestation de soins (mentions, modèle)?</w:t>
      </w:r>
    </w:p>
    <w:p w14:paraId="587D0BFB" w14:textId="77777777" w:rsidR="00FB7BA8" w:rsidRPr="000D7980" w:rsidRDefault="00FB7BA8" w:rsidP="009949BE">
      <w:pPr>
        <w:spacing w:after="0" w:line="240" w:lineRule="auto"/>
        <w:jc w:val="both"/>
        <w:rPr>
          <w:rFonts w:ascii="Verdana" w:eastAsia="Times New Roman" w:hAnsi="Verdana" w:cs="Times New Roman"/>
          <w:color w:val="525252"/>
          <w:sz w:val="17"/>
          <w:szCs w:val="17"/>
          <w:lang w:val="fr-BE" w:eastAsia="fr-BE"/>
        </w:rPr>
      </w:pPr>
      <w:r w:rsidRPr="000D7980">
        <w:rPr>
          <w:rFonts w:ascii="Verdana" w:eastAsia="Times New Roman" w:hAnsi="Verdana" w:cs="Times New Roman"/>
          <w:color w:val="525252"/>
          <w:sz w:val="17"/>
          <w:szCs w:val="17"/>
          <w:lang w:val="fr-BE" w:eastAsia="fr-BE"/>
        </w:rPr>
        <w:t>Afin de vous éviter tout risque de double imposition, il vous faut respecter la procédure suivante : pratiquement, le duplicata d’une attestation de soins donnés doit reprendre les mêmes mentions que l'original (voir le double jaune) afin de pouvoir être certifié conforme à celui-ci. Vous apporterez clairement sur le duplicata en toutes lettres la mention : « DUPLICATA ». De même, il vous faudra mentionner avoir délivré un duplicata dans vos écritures comptables.</w:t>
      </w:r>
    </w:p>
    <w:p w14:paraId="247751FC" w14:textId="47CECE0B" w:rsidR="001A6C33" w:rsidRPr="000D7980" w:rsidRDefault="001A6C33" w:rsidP="009949BE">
      <w:pPr>
        <w:spacing w:after="0" w:line="240" w:lineRule="auto"/>
        <w:jc w:val="both"/>
        <w:rPr>
          <w:lang w:val="fr-BE"/>
        </w:rPr>
      </w:pPr>
    </w:p>
    <w:p w14:paraId="624F426E" w14:textId="61A201A4" w:rsidR="00E36329" w:rsidRPr="000D7980" w:rsidRDefault="00E36329" w:rsidP="009949BE">
      <w:pPr>
        <w:jc w:val="both"/>
        <w:rPr>
          <w:lang w:val="fr-BE"/>
        </w:rPr>
      </w:pPr>
      <w:r w:rsidRPr="000D7980">
        <w:rPr>
          <w:lang w:val="fr-BE"/>
        </w:rPr>
        <w:t>Il vous est également demandé de déclarer la perte des attestations inutilisé</w:t>
      </w:r>
      <w:r w:rsidR="00196643">
        <w:rPr>
          <w:lang w:val="fr-BE"/>
        </w:rPr>
        <w:t>e</w:t>
      </w:r>
      <w:r w:rsidRPr="000D7980">
        <w:rPr>
          <w:lang w:val="fr-BE"/>
        </w:rPr>
        <w:t>s ou utilisé</w:t>
      </w:r>
      <w:r w:rsidR="00196643">
        <w:rPr>
          <w:lang w:val="fr-BE"/>
        </w:rPr>
        <w:t>e</w:t>
      </w:r>
      <w:r w:rsidRPr="000D7980">
        <w:rPr>
          <w:lang w:val="fr-BE"/>
        </w:rPr>
        <w:t xml:space="preserve">s, conformément à la procédure décrite dans la FAQ </w:t>
      </w:r>
      <w:proofErr w:type="spellStart"/>
      <w:r w:rsidRPr="000D7980">
        <w:rPr>
          <w:lang w:val="fr-BE"/>
        </w:rPr>
        <w:t>medattest</w:t>
      </w:r>
      <w:proofErr w:type="spellEnd"/>
      <w:r w:rsidRPr="000D7980">
        <w:rPr>
          <w:lang w:val="fr-BE"/>
        </w:rPr>
        <w:t>, sous le point E.1.16. :</w:t>
      </w:r>
    </w:p>
    <w:p w14:paraId="13B95BD1" w14:textId="77777777" w:rsidR="00E36329" w:rsidRPr="000D7980" w:rsidRDefault="002C00C2" w:rsidP="009949BE">
      <w:pPr>
        <w:jc w:val="both"/>
        <w:rPr>
          <w:rFonts w:ascii="Verdana" w:hAnsi="Verdana"/>
          <w:color w:val="525252"/>
          <w:sz w:val="17"/>
          <w:szCs w:val="17"/>
          <w:lang w:val="fr-BE"/>
        </w:rPr>
      </w:pPr>
      <w:r w:rsidRPr="000D7980">
        <w:rPr>
          <w:rFonts w:ascii="Arial" w:eastAsia="Times New Roman" w:hAnsi="Arial" w:cs="Arial"/>
          <w:b/>
          <w:bCs/>
          <w:color w:val="DC002E"/>
          <w:sz w:val="18"/>
          <w:szCs w:val="18"/>
          <w:lang w:val="fr-BE" w:eastAsia="en-GB"/>
        </w:rPr>
        <w:t xml:space="preserve">E.1.16. </w:t>
      </w:r>
      <w:r w:rsidR="00E36329" w:rsidRPr="000D7980">
        <w:rPr>
          <w:rFonts w:ascii="Arial" w:hAnsi="Arial" w:cs="Arial"/>
          <w:b/>
          <w:bCs/>
          <w:color w:val="DC002E"/>
          <w:sz w:val="18"/>
          <w:szCs w:val="18"/>
          <w:lang w:val="fr-BE"/>
        </w:rPr>
        <w:t>Que faire en cas de perte ou vol de vos attestations de soins?</w:t>
      </w:r>
    </w:p>
    <w:p w14:paraId="490426C3" w14:textId="77777777" w:rsidR="00E36329" w:rsidRPr="000D7980" w:rsidRDefault="00E36329" w:rsidP="009949BE">
      <w:pPr>
        <w:pStyle w:val="NormalWeb"/>
        <w:jc w:val="both"/>
        <w:rPr>
          <w:rFonts w:ascii="Verdana" w:hAnsi="Verdana"/>
          <w:color w:val="525252"/>
          <w:sz w:val="17"/>
          <w:szCs w:val="17"/>
        </w:rPr>
      </w:pPr>
      <w:r w:rsidRPr="000D7980">
        <w:rPr>
          <w:rFonts w:ascii="Verdana" w:hAnsi="Verdana"/>
          <w:color w:val="525252"/>
          <w:sz w:val="17"/>
          <w:szCs w:val="17"/>
        </w:rPr>
        <w:t>Il vous est demandé de signaler la perte ou le vol avec les numéros des attestations de soins donnés concernées si possible, aux deux services de contrôle de l’INAMI à savoir le Service du Contrôle administratif (</w:t>
      </w:r>
      <w:hyperlink r:id="rId12" w:history="1">
        <w:r w:rsidRPr="000D7980">
          <w:rPr>
            <w:rStyle w:val="Hyperlink"/>
            <w:rFonts w:ascii="Verdana" w:hAnsi="Verdana"/>
            <w:color w:val="525252"/>
            <w:sz w:val="17"/>
            <w:szCs w:val="17"/>
          </w:rPr>
          <w:t>secr.dac-sca@riziv-inami.fgov.be</w:t>
        </w:r>
      </w:hyperlink>
      <w:r w:rsidRPr="000D7980">
        <w:rPr>
          <w:rFonts w:ascii="Verdana" w:hAnsi="Verdana"/>
          <w:color w:val="525252"/>
          <w:sz w:val="17"/>
          <w:szCs w:val="17"/>
        </w:rPr>
        <w:t>) et le Service d’Evaluation et de Contrôle médical (</w:t>
      </w:r>
      <w:hyperlink r:id="rId13" w:history="1">
        <w:r w:rsidRPr="000D7980">
          <w:rPr>
            <w:rStyle w:val="Hyperlink"/>
            <w:rFonts w:ascii="Verdana" w:hAnsi="Verdana"/>
            <w:color w:val="525252"/>
            <w:sz w:val="17"/>
            <w:szCs w:val="17"/>
          </w:rPr>
          <w:t>secr.dgec.secm@riziv-inami.fgov.be</w:t>
        </w:r>
      </w:hyperlink>
      <w:r w:rsidRPr="000D7980">
        <w:rPr>
          <w:rFonts w:ascii="Verdana" w:hAnsi="Verdana"/>
          <w:color w:val="525252"/>
          <w:sz w:val="17"/>
          <w:szCs w:val="17"/>
        </w:rPr>
        <w:t>). Il y a lieu de signaler la perte ou le vol à la police et de garder la déclaration à l’attention du SPF Finances pour éviter une taxation sur base des attestations de soins donnés perdues ou volées.</w:t>
      </w:r>
    </w:p>
    <w:p w14:paraId="2EF94315" w14:textId="13F0E6DE" w:rsidR="005D1527" w:rsidRPr="000D7980" w:rsidRDefault="005D1527" w:rsidP="009949BE">
      <w:pPr>
        <w:spacing w:after="0" w:line="240" w:lineRule="auto"/>
        <w:jc w:val="both"/>
        <w:rPr>
          <w:lang w:val="fr-BE"/>
        </w:rPr>
      </w:pPr>
      <w:r w:rsidRPr="000D7980">
        <w:rPr>
          <w:lang w:val="fr-BE"/>
        </w:rPr>
        <w:t xml:space="preserve">La perte de vos dossiers </w:t>
      </w:r>
      <w:r w:rsidR="00C75A17">
        <w:rPr>
          <w:lang w:val="fr-BE"/>
        </w:rPr>
        <w:t>peut</w:t>
      </w:r>
      <w:r w:rsidRPr="000D7980">
        <w:rPr>
          <w:lang w:val="fr-BE"/>
        </w:rPr>
        <w:t xml:space="preserve"> également </w:t>
      </w:r>
      <w:r w:rsidR="00F35FFA">
        <w:rPr>
          <w:lang w:val="fr-BE"/>
        </w:rPr>
        <w:t>être communiquée</w:t>
      </w:r>
      <w:r w:rsidRPr="000D7980">
        <w:rPr>
          <w:lang w:val="fr-BE"/>
        </w:rPr>
        <w:t xml:space="preserve"> au Service d'évaluation et de contrôle médicaux (</w:t>
      </w:r>
      <w:hyperlink r:id="rId14" w:history="1">
        <w:r w:rsidRPr="000D7980">
          <w:rPr>
            <w:rStyle w:val="Hyperlink"/>
            <w:lang w:val="fr-BE"/>
          </w:rPr>
          <w:t>secr.dgec.secm@riziv-inami.fgov.be</w:t>
        </w:r>
      </w:hyperlink>
      <w:r w:rsidRPr="000D7980">
        <w:rPr>
          <w:lang w:val="fr-BE"/>
        </w:rPr>
        <w:t>). En cas d’incertitudes ou d’</w:t>
      </w:r>
      <w:r w:rsidR="000D7980" w:rsidRPr="000D7980">
        <w:rPr>
          <w:lang w:val="fr-BE"/>
        </w:rPr>
        <w:t>ambiguïtés</w:t>
      </w:r>
      <w:r w:rsidRPr="000D7980">
        <w:rPr>
          <w:lang w:val="fr-BE"/>
        </w:rPr>
        <w:t xml:space="preserve">, vous êtes bien entendu libres de demander des avis supplémentaires au Service </w:t>
      </w:r>
      <w:r w:rsidR="005E7C99">
        <w:rPr>
          <w:lang w:val="fr-BE"/>
        </w:rPr>
        <w:t xml:space="preserve">des </w:t>
      </w:r>
      <w:r w:rsidRPr="000D7980">
        <w:rPr>
          <w:lang w:val="fr-BE"/>
        </w:rPr>
        <w:t>soins de santé (</w:t>
      </w:r>
      <w:hyperlink r:id="rId15" w:history="1">
        <w:r w:rsidR="005F0E09" w:rsidRPr="000D7980">
          <w:rPr>
            <w:rStyle w:val="Hyperlink"/>
            <w:lang w:val="fr-BE"/>
          </w:rPr>
          <w:t>jur_reg@riziv-inami.fgov.be</w:t>
        </w:r>
      </w:hyperlink>
      <w:r w:rsidR="005F0E09" w:rsidRPr="000D7980">
        <w:rPr>
          <w:lang w:val="fr-BE"/>
        </w:rPr>
        <w:t xml:space="preserve"> </w:t>
      </w:r>
      <w:r w:rsidRPr="000D7980">
        <w:rPr>
          <w:lang w:val="fr-BE"/>
        </w:rPr>
        <w:t xml:space="preserve">en </w:t>
      </w:r>
      <w:hyperlink r:id="rId16" w:history="1">
        <w:r w:rsidRPr="000D7980">
          <w:rPr>
            <w:rStyle w:val="Hyperlink"/>
            <w:lang w:val="fr-BE"/>
          </w:rPr>
          <w:t>actua@riziv-inami.fgov.be</w:t>
        </w:r>
      </w:hyperlink>
      <w:r w:rsidRPr="000D7980">
        <w:rPr>
          <w:lang w:val="fr-BE"/>
        </w:rPr>
        <w:t>).</w:t>
      </w:r>
    </w:p>
    <w:p w14:paraId="302CF1B5" w14:textId="77777777" w:rsidR="005D1527" w:rsidRPr="000D7980" w:rsidRDefault="005D1527" w:rsidP="009949BE">
      <w:pPr>
        <w:spacing w:after="0" w:line="240" w:lineRule="auto"/>
        <w:jc w:val="both"/>
        <w:rPr>
          <w:lang w:val="fr-BE"/>
        </w:rPr>
      </w:pPr>
    </w:p>
    <w:p w14:paraId="329407C4" w14:textId="5FF430BF" w:rsidR="002473C3" w:rsidRPr="000D7980" w:rsidRDefault="005F0E09" w:rsidP="009949BE">
      <w:pPr>
        <w:jc w:val="both"/>
        <w:rPr>
          <w:lang w:val="fr-BE"/>
        </w:rPr>
      </w:pPr>
      <w:r w:rsidRPr="000D7980">
        <w:rPr>
          <w:lang w:val="fr-BE"/>
        </w:rPr>
        <w:t xml:space="preserve">Ces mesures sont d’application jusqu’au </w:t>
      </w:r>
      <w:r w:rsidR="00CB3287">
        <w:rPr>
          <w:lang w:val="fr-BE"/>
        </w:rPr>
        <w:t>30 juin 2022</w:t>
      </w:r>
      <w:bookmarkStart w:id="0" w:name="_GoBack"/>
      <w:bookmarkEnd w:id="0"/>
      <w:r w:rsidRPr="000D7980">
        <w:rPr>
          <w:lang w:val="fr-BE"/>
        </w:rPr>
        <w:t xml:space="preserve"> inclus. </w:t>
      </w:r>
    </w:p>
    <w:sectPr w:rsidR="002473C3" w:rsidRPr="000D7980" w:rsidSect="00AA53E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1048" w14:textId="77777777" w:rsidR="001E7C02" w:rsidRDefault="001E7C02" w:rsidP="00A96F16">
      <w:pPr>
        <w:spacing w:after="0" w:line="240" w:lineRule="auto"/>
      </w:pPr>
      <w:r>
        <w:separator/>
      </w:r>
    </w:p>
  </w:endnote>
  <w:endnote w:type="continuationSeparator" w:id="0">
    <w:p w14:paraId="6CD66272" w14:textId="77777777" w:rsidR="001E7C02" w:rsidRDefault="001E7C02" w:rsidP="00A9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9EFE3" w14:textId="77777777" w:rsidR="001E7C02" w:rsidRDefault="001E7C02" w:rsidP="00A96F16">
      <w:pPr>
        <w:spacing w:after="0" w:line="240" w:lineRule="auto"/>
      </w:pPr>
      <w:r>
        <w:separator/>
      </w:r>
    </w:p>
  </w:footnote>
  <w:footnote w:type="continuationSeparator" w:id="0">
    <w:p w14:paraId="1C25DA64" w14:textId="77777777" w:rsidR="001E7C02" w:rsidRDefault="001E7C02" w:rsidP="00A96F16">
      <w:pPr>
        <w:spacing w:after="0" w:line="240" w:lineRule="auto"/>
      </w:pPr>
      <w:r>
        <w:continuationSeparator/>
      </w:r>
    </w:p>
  </w:footnote>
  <w:footnote w:id="1">
    <w:p w14:paraId="277C8466" w14:textId="0E061137" w:rsidR="00A4381B" w:rsidRPr="00AF7FB8" w:rsidRDefault="00A4381B">
      <w:pPr>
        <w:pStyle w:val="FootnoteText"/>
        <w:rPr>
          <w:lang w:val="fr-BE"/>
        </w:rPr>
      </w:pPr>
      <w:r>
        <w:rPr>
          <w:rStyle w:val="FootnoteReference"/>
        </w:rPr>
        <w:footnoteRef/>
      </w:r>
      <w:r w:rsidRPr="00AF7FB8">
        <w:rPr>
          <w:lang w:val="fr-BE"/>
        </w:rPr>
        <w:t xml:space="preserve"> </w:t>
      </w:r>
      <w:r w:rsidR="00AF7FB8" w:rsidRPr="00AF7FB8">
        <w:rPr>
          <w:lang w:val="fr-BE"/>
        </w:rPr>
        <w:t>Point 5 de la circulaire OA n</w:t>
      </w:r>
      <w:r w:rsidR="00AF7FB8">
        <w:rPr>
          <w:lang w:val="fr-BE"/>
        </w:rPr>
        <w:t xml:space="preserve">°2020/251 du 26 octobre 2020 : Modalités </w:t>
      </w:r>
      <w:r w:rsidR="000541FC">
        <w:rPr>
          <w:lang w:val="fr-BE"/>
        </w:rPr>
        <w:t>suivant</w:t>
      </w:r>
      <w:r w:rsidR="00AF7FB8">
        <w:rPr>
          <w:lang w:val="fr-BE"/>
        </w:rPr>
        <w:t xml:space="preserve"> lesquelles une </w:t>
      </w:r>
      <w:r w:rsidR="000541FC">
        <w:rPr>
          <w:lang w:val="fr-BE"/>
        </w:rPr>
        <w:t>exception</w:t>
      </w:r>
      <w:r w:rsidR="00AF7FB8">
        <w:rPr>
          <w:lang w:val="fr-BE"/>
        </w:rPr>
        <w:t xml:space="preserve"> à l’interdiction d’</w:t>
      </w:r>
      <w:r w:rsidR="000541FC">
        <w:rPr>
          <w:lang w:val="fr-BE"/>
        </w:rPr>
        <w:t>application du régime</w:t>
      </w:r>
      <w:r w:rsidR="00AF7FB8">
        <w:rPr>
          <w:lang w:val="fr-BE"/>
        </w:rPr>
        <w:t xml:space="preserve"> le tiers payant peut être accordée.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ED9"/>
    <w:multiLevelType w:val="hybridMultilevel"/>
    <w:tmpl w:val="D0CE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92"/>
    <w:rsid w:val="000541FC"/>
    <w:rsid w:val="000D1D06"/>
    <w:rsid w:val="000D7980"/>
    <w:rsid w:val="000F5524"/>
    <w:rsid w:val="00152B01"/>
    <w:rsid w:val="00194147"/>
    <w:rsid w:val="00196643"/>
    <w:rsid w:val="001A6C33"/>
    <w:rsid w:val="001E7C02"/>
    <w:rsid w:val="002473C3"/>
    <w:rsid w:val="00291460"/>
    <w:rsid w:val="002C00C2"/>
    <w:rsid w:val="00342BDB"/>
    <w:rsid w:val="003640B4"/>
    <w:rsid w:val="00382994"/>
    <w:rsid w:val="003B19F5"/>
    <w:rsid w:val="003C21B4"/>
    <w:rsid w:val="004764B2"/>
    <w:rsid w:val="00523FA0"/>
    <w:rsid w:val="00544F6B"/>
    <w:rsid w:val="005D1527"/>
    <w:rsid w:val="005E7C99"/>
    <w:rsid w:val="005F0E09"/>
    <w:rsid w:val="006B2314"/>
    <w:rsid w:val="006C5C71"/>
    <w:rsid w:val="007446C6"/>
    <w:rsid w:val="00886CDF"/>
    <w:rsid w:val="008B34D0"/>
    <w:rsid w:val="008B40F5"/>
    <w:rsid w:val="008D33E2"/>
    <w:rsid w:val="008F30D2"/>
    <w:rsid w:val="008F3197"/>
    <w:rsid w:val="009042DF"/>
    <w:rsid w:val="00921454"/>
    <w:rsid w:val="009557B8"/>
    <w:rsid w:val="009559CC"/>
    <w:rsid w:val="00980450"/>
    <w:rsid w:val="009949BE"/>
    <w:rsid w:val="0099584F"/>
    <w:rsid w:val="00A4381B"/>
    <w:rsid w:val="00A837ED"/>
    <w:rsid w:val="00A93949"/>
    <w:rsid w:val="00A96F16"/>
    <w:rsid w:val="00AA53EE"/>
    <w:rsid w:val="00AF7FB8"/>
    <w:rsid w:val="00B3231D"/>
    <w:rsid w:val="00BC1A64"/>
    <w:rsid w:val="00C23D09"/>
    <w:rsid w:val="00C75A17"/>
    <w:rsid w:val="00CB3287"/>
    <w:rsid w:val="00CC2E83"/>
    <w:rsid w:val="00CD1EF8"/>
    <w:rsid w:val="00CE22C2"/>
    <w:rsid w:val="00CF2BD8"/>
    <w:rsid w:val="00D77092"/>
    <w:rsid w:val="00D77F0B"/>
    <w:rsid w:val="00D85B39"/>
    <w:rsid w:val="00DB24F7"/>
    <w:rsid w:val="00E36329"/>
    <w:rsid w:val="00E71776"/>
    <w:rsid w:val="00F35FFA"/>
    <w:rsid w:val="00F77163"/>
    <w:rsid w:val="00F95EC6"/>
    <w:rsid w:val="00FB7BA8"/>
    <w:rsid w:val="00FE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B9147"/>
  <w15:chartTrackingRefBased/>
  <w15:docId w15:val="{04787445-9156-467C-8403-03A67458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450"/>
    <w:rPr>
      <w:color w:val="0000FF" w:themeColor="hyperlink"/>
      <w:u w:val="single"/>
    </w:rPr>
  </w:style>
  <w:style w:type="paragraph" w:styleId="ListParagraph">
    <w:name w:val="List Paragraph"/>
    <w:basedOn w:val="Normal"/>
    <w:uiPriority w:val="34"/>
    <w:qFormat/>
    <w:rsid w:val="00D77F0B"/>
    <w:pPr>
      <w:ind w:left="720"/>
      <w:contextualSpacing/>
    </w:pPr>
  </w:style>
  <w:style w:type="paragraph" w:styleId="FootnoteText">
    <w:name w:val="footnote text"/>
    <w:basedOn w:val="Normal"/>
    <w:link w:val="FootnoteTextChar"/>
    <w:uiPriority w:val="99"/>
    <w:semiHidden/>
    <w:unhideWhenUsed/>
    <w:rsid w:val="00A96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F16"/>
    <w:rPr>
      <w:sz w:val="20"/>
      <w:szCs w:val="20"/>
    </w:rPr>
  </w:style>
  <w:style w:type="character" w:styleId="FootnoteReference">
    <w:name w:val="footnote reference"/>
    <w:basedOn w:val="DefaultParagraphFont"/>
    <w:uiPriority w:val="99"/>
    <w:semiHidden/>
    <w:unhideWhenUsed/>
    <w:rsid w:val="00A96F16"/>
    <w:rPr>
      <w:vertAlign w:val="superscript"/>
    </w:rPr>
  </w:style>
  <w:style w:type="character" w:styleId="CommentReference">
    <w:name w:val="annotation reference"/>
    <w:basedOn w:val="DefaultParagraphFont"/>
    <w:uiPriority w:val="99"/>
    <w:semiHidden/>
    <w:unhideWhenUsed/>
    <w:rsid w:val="00152B01"/>
    <w:rPr>
      <w:sz w:val="16"/>
      <w:szCs w:val="16"/>
    </w:rPr>
  </w:style>
  <w:style w:type="paragraph" w:styleId="CommentText">
    <w:name w:val="annotation text"/>
    <w:basedOn w:val="Normal"/>
    <w:link w:val="CommentTextChar"/>
    <w:uiPriority w:val="99"/>
    <w:semiHidden/>
    <w:unhideWhenUsed/>
    <w:rsid w:val="00152B01"/>
    <w:pPr>
      <w:spacing w:line="240" w:lineRule="auto"/>
    </w:pPr>
    <w:rPr>
      <w:sz w:val="20"/>
      <w:szCs w:val="20"/>
    </w:rPr>
  </w:style>
  <w:style w:type="character" w:customStyle="1" w:styleId="CommentTextChar">
    <w:name w:val="Comment Text Char"/>
    <w:basedOn w:val="DefaultParagraphFont"/>
    <w:link w:val="CommentText"/>
    <w:uiPriority w:val="99"/>
    <w:semiHidden/>
    <w:rsid w:val="00152B01"/>
    <w:rPr>
      <w:sz w:val="20"/>
      <w:szCs w:val="20"/>
    </w:rPr>
  </w:style>
  <w:style w:type="paragraph" w:styleId="CommentSubject">
    <w:name w:val="annotation subject"/>
    <w:basedOn w:val="CommentText"/>
    <w:next w:val="CommentText"/>
    <w:link w:val="CommentSubjectChar"/>
    <w:uiPriority w:val="99"/>
    <w:semiHidden/>
    <w:unhideWhenUsed/>
    <w:rsid w:val="00152B01"/>
    <w:rPr>
      <w:b/>
      <w:bCs/>
    </w:rPr>
  </w:style>
  <w:style w:type="character" w:customStyle="1" w:styleId="CommentSubjectChar">
    <w:name w:val="Comment Subject Char"/>
    <w:basedOn w:val="CommentTextChar"/>
    <w:link w:val="CommentSubject"/>
    <w:uiPriority w:val="99"/>
    <w:semiHidden/>
    <w:rsid w:val="00152B01"/>
    <w:rPr>
      <w:b/>
      <w:bCs/>
      <w:sz w:val="20"/>
      <w:szCs w:val="20"/>
    </w:rPr>
  </w:style>
  <w:style w:type="paragraph" w:styleId="BalloonText">
    <w:name w:val="Balloon Text"/>
    <w:basedOn w:val="Normal"/>
    <w:link w:val="BalloonTextChar"/>
    <w:uiPriority w:val="99"/>
    <w:semiHidden/>
    <w:unhideWhenUsed/>
    <w:rsid w:val="00152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B01"/>
    <w:rPr>
      <w:rFonts w:ascii="Segoe UI" w:hAnsi="Segoe UI" w:cs="Segoe UI"/>
      <w:sz w:val="18"/>
      <w:szCs w:val="18"/>
    </w:rPr>
  </w:style>
  <w:style w:type="paragraph" w:styleId="NormalWeb">
    <w:name w:val="Normal (Web)"/>
    <w:basedOn w:val="Normal"/>
    <w:uiPriority w:val="99"/>
    <w:semiHidden/>
    <w:unhideWhenUsed/>
    <w:rsid w:val="00E36329"/>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3534">
      <w:bodyDiv w:val="1"/>
      <w:marLeft w:val="0"/>
      <w:marRight w:val="0"/>
      <w:marTop w:val="0"/>
      <w:marBottom w:val="0"/>
      <w:divBdr>
        <w:top w:val="none" w:sz="0" w:space="0" w:color="auto"/>
        <w:left w:val="none" w:sz="0" w:space="0" w:color="auto"/>
        <w:bottom w:val="none" w:sz="0" w:space="0" w:color="auto"/>
        <w:right w:val="none" w:sz="0" w:space="0" w:color="auto"/>
      </w:divBdr>
      <w:divsChild>
        <w:div w:id="1417510888">
          <w:marLeft w:val="0"/>
          <w:marRight w:val="0"/>
          <w:marTop w:val="300"/>
          <w:marBottom w:val="0"/>
          <w:divBdr>
            <w:top w:val="none" w:sz="0" w:space="0" w:color="auto"/>
            <w:left w:val="none" w:sz="0" w:space="0" w:color="auto"/>
            <w:bottom w:val="none" w:sz="0" w:space="0" w:color="auto"/>
            <w:right w:val="none" w:sz="0" w:space="0" w:color="auto"/>
          </w:divBdr>
        </w:div>
        <w:div w:id="1798832512">
          <w:marLeft w:val="0"/>
          <w:marRight w:val="0"/>
          <w:marTop w:val="150"/>
          <w:marBottom w:val="0"/>
          <w:divBdr>
            <w:top w:val="none" w:sz="0" w:space="0" w:color="auto"/>
            <w:left w:val="none" w:sz="0" w:space="0" w:color="auto"/>
            <w:bottom w:val="none" w:sz="0" w:space="0" w:color="auto"/>
            <w:right w:val="none" w:sz="0" w:space="0" w:color="auto"/>
          </w:divBdr>
          <w:divsChild>
            <w:div w:id="5740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6550">
      <w:bodyDiv w:val="1"/>
      <w:marLeft w:val="0"/>
      <w:marRight w:val="0"/>
      <w:marTop w:val="0"/>
      <w:marBottom w:val="0"/>
      <w:divBdr>
        <w:top w:val="none" w:sz="0" w:space="0" w:color="auto"/>
        <w:left w:val="none" w:sz="0" w:space="0" w:color="auto"/>
        <w:bottom w:val="none" w:sz="0" w:space="0" w:color="auto"/>
        <w:right w:val="none" w:sz="0" w:space="0" w:color="auto"/>
      </w:divBdr>
      <w:divsChild>
        <w:div w:id="25569674">
          <w:marLeft w:val="0"/>
          <w:marRight w:val="0"/>
          <w:marTop w:val="300"/>
          <w:marBottom w:val="0"/>
          <w:divBdr>
            <w:top w:val="none" w:sz="0" w:space="0" w:color="auto"/>
            <w:left w:val="none" w:sz="0" w:space="0" w:color="auto"/>
            <w:bottom w:val="none" w:sz="0" w:space="0" w:color="auto"/>
            <w:right w:val="none" w:sz="0" w:space="0" w:color="auto"/>
          </w:divBdr>
        </w:div>
        <w:div w:id="468859832">
          <w:marLeft w:val="0"/>
          <w:marRight w:val="0"/>
          <w:marTop w:val="150"/>
          <w:marBottom w:val="0"/>
          <w:divBdr>
            <w:top w:val="none" w:sz="0" w:space="0" w:color="auto"/>
            <w:left w:val="none" w:sz="0" w:space="0" w:color="auto"/>
            <w:bottom w:val="none" w:sz="0" w:space="0" w:color="auto"/>
            <w:right w:val="none" w:sz="0" w:space="0" w:color="auto"/>
          </w:divBdr>
          <w:divsChild>
            <w:div w:id="4881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3015">
      <w:bodyDiv w:val="1"/>
      <w:marLeft w:val="0"/>
      <w:marRight w:val="0"/>
      <w:marTop w:val="0"/>
      <w:marBottom w:val="0"/>
      <w:divBdr>
        <w:top w:val="none" w:sz="0" w:space="0" w:color="auto"/>
        <w:left w:val="none" w:sz="0" w:space="0" w:color="auto"/>
        <w:bottom w:val="none" w:sz="0" w:space="0" w:color="auto"/>
        <w:right w:val="none" w:sz="0" w:space="0" w:color="auto"/>
      </w:divBdr>
      <w:divsChild>
        <w:div w:id="734278662">
          <w:marLeft w:val="0"/>
          <w:marRight w:val="0"/>
          <w:marTop w:val="300"/>
          <w:marBottom w:val="0"/>
          <w:divBdr>
            <w:top w:val="none" w:sz="0" w:space="0" w:color="auto"/>
            <w:left w:val="none" w:sz="0" w:space="0" w:color="auto"/>
            <w:bottom w:val="none" w:sz="0" w:space="0" w:color="auto"/>
            <w:right w:val="none" w:sz="0" w:space="0" w:color="auto"/>
          </w:divBdr>
        </w:div>
        <w:div w:id="1507818410">
          <w:marLeft w:val="0"/>
          <w:marRight w:val="0"/>
          <w:marTop w:val="150"/>
          <w:marBottom w:val="0"/>
          <w:divBdr>
            <w:top w:val="none" w:sz="0" w:space="0" w:color="auto"/>
            <w:left w:val="none" w:sz="0" w:space="0" w:color="auto"/>
            <w:bottom w:val="none" w:sz="0" w:space="0" w:color="auto"/>
            <w:right w:val="none" w:sz="0" w:space="0" w:color="auto"/>
          </w:divBdr>
          <w:divsChild>
            <w:div w:id="16390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9566">
      <w:bodyDiv w:val="1"/>
      <w:marLeft w:val="0"/>
      <w:marRight w:val="0"/>
      <w:marTop w:val="0"/>
      <w:marBottom w:val="0"/>
      <w:divBdr>
        <w:top w:val="none" w:sz="0" w:space="0" w:color="auto"/>
        <w:left w:val="none" w:sz="0" w:space="0" w:color="auto"/>
        <w:bottom w:val="none" w:sz="0" w:space="0" w:color="auto"/>
        <w:right w:val="none" w:sz="0" w:space="0" w:color="auto"/>
      </w:divBdr>
      <w:divsChild>
        <w:div w:id="794445935">
          <w:marLeft w:val="0"/>
          <w:marRight w:val="0"/>
          <w:marTop w:val="300"/>
          <w:marBottom w:val="0"/>
          <w:divBdr>
            <w:top w:val="none" w:sz="0" w:space="0" w:color="auto"/>
            <w:left w:val="none" w:sz="0" w:space="0" w:color="auto"/>
            <w:bottom w:val="none" w:sz="0" w:space="0" w:color="auto"/>
            <w:right w:val="none" w:sz="0" w:space="0" w:color="auto"/>
          </w:divBdr>
        </w:div>
        <w:div w:id="1961303201">
          <w:marLeft w:val="0"/>
          <w:marRight w:val="0"/>
          <w:marTop w:val="150"/>
          <w:marBottom w:val="0"/>
          <w:divBdr>
            <w:top w:val="none" w:sz="0" w:space="0" w:color="auto"/>
            <w:left w:val="none" w:sz="0" w:space="0" w:color="auto"/>
            <w:bottom w:val="none" w:sz="0" w:space="0" w:color="auto"/>
            <w:right w:val="none" w:sz="0" w:space="0" w:color="auto"/>
          </w:divBdr>
          <w:divsChild>
            <w:div w:id="17777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8847">
      <w:bodyDiv w:val="1"/>
      <w:marLeft w:val="0"/>
      <w:marRight w:val="0"/>
      <w:marTop w:val="0"/>
      <w:marBottom w:val="0"/>
      <w:divBdr>
        <w:top w:val="none" w:sz="0" w:space="0" w:color="auto"/>
        <w:left w:val="none" w:sz="0" w:space="0" w:color="auto"/>
        <w:bottom w:val="none" w:sz="0" w:space="0" w:color="auto"/>
        <w:right w:val="none" w:sz="0" w:space="0" w:color="auto"/>
      </w:divBdr>
      <w:divsChild>
        <w:div w:id="13925658">
          <w:marLeft w:val="0"/>
          <w:marRight w:val="0"/>
          <w:marTop w:val="300"/>
          <w:marBottom w:val="0"/>
          <w:divBdr>
            <w:top w:val="none" w:sz="0" w:space="0" w:color="auto"/>
            <w:left w:val="none" w:sz="0" w:space="0" w:color="auto"/>
            <w:bottom w:val="none" w:sz="0" w:space="0" w:color="auto"/>
            <w:right w:val="none" w:sz="0" w:space="0" w:color="auto"/>
          </w:divBdr>
        </w:div>
        <w:div w:id="137965851">
          <w:marLeft w:val="0"/>
          <w:marRight w:val="0"/>
          <w:marTop w:val="150"/>
          <w:marBottom w:val="0"/>
          <w:divBdr>
            <w:top w:val="none" w:sz="0" w:space="0" w:color="auto"/>
            <w:left w:val="none" w:sz="0" w:space="0" w:color="auto"/>
            <w:bottom w:val="none" w:sz="0" w:space="0" w:color="auto"/>
            <w:right w:val="none" w:sz="0" w:space="0" w:color="auto"/>
          </w:divBdr>
          <w:divsChild>
            <w:div w:id="1639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dgec.secm@riziv-inami.fgov.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dac-sca@riziv-inami.fgov.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ctua@riziv-inami.fgov.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attest.be/site/fr/applications/Riziv/content/help.html" TargetMode="External"/><Relationship Id="rId5" Type="http://schemas.openxmlformats.org/officeDocument/2006/relationships/numbering" Target="numbering.xml"/><Relationship Id="rId15" Type="http://schemas.openxmlformats.org/officeDocument/2006/relationships/hyperlink" Target="mailto:jur_reg@riziv-inami.fgov.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dgec.secm@riziv-inami.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2022-02-03T23:00:00+00:00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C27F-CCE5-4820-8D28-732708F5B1A7}"/>
</file>

<file path=customXml/itemProps2.xml><?xml version="1.0" encoding="utf-8"?>
<ds:datastoreItem xmlns:ds="http://schemas.openxmlformats.org/officeDocument/2006/customXml" ds:itemID="{13981DE1-849A-4CD8-BD9E-4B76C870AED9}"/>
</file>

<file path=customXml/itemProps3.xml><?xml version="1.0" encoding="utf-8"?>
<ds:datastoreItem xmlns:ds="http://schemas.openxmlformats.org/officeDocument/2006/customXml" ds:itemID="{FBACF9D9-DA5C-4D63-92A7-EE3E65085D99}"/>
</file>

<file path=customXml/itemProps4.xml><?xml version="1.0" encoding="utf-8"?>
<ds:datastoreItem xmlns:ds="http://schemas.openxmlformats.org/officeDocument/2006/customXml" ds:itemID="{5F27E020-EBE5-4225-A1EC-52405CE9953B}"/>
</file>

<file path=docProps/app.xml><?xml version="1.0" encoding="utf-8"?>
<Properties xmlns="http://schemas.openxmlformats.org/officeDocument/2006/extended-properties" xmlns:vt="http://schemas.openxmlformats.org/officeDocument/2006/docPropsVTypes">
  <Template>8D7BE96D.dotm</Template>
  <TotalTime>0</TotalTime>
  <Pages>2</Pages>
  <Words>855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Mesures pour les patients et dispensateurs de soins qui sont victimes des récentes inondations : instructions aux dispensateurs de soins</vt:lpstr>
    </vt:vector>
  </TitlesOfParts>
  <Company>RIZIV-INAMI</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Mesures pour les patients et dispensateurs de soins qui sont victimes des récentes inondations : instructions aux dispensateurs de soins</dc:title>
  <dc:subject/>
  <dc:creator>Erlend Pulinx (RIZIV-INAMI)</dc:creator>
  <cp:keywords/>
  <dc:description/>
  <cp:lastModifiedBy>Mathilde Dequenne (RIZIV-INAMI)</cp:lastModifiedBy>
  <cp:revision>2</cp:revision>
  <dcterms:created xsi:type="dcterms:W3CDTF">2022-02-04T08:17:00Z</dcterms:created>
  <dcterms:modified xsi:type="dcterms:W3CDTF">2022-02-04T08:17:00Z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y fmtid="{D5CDD505-2E9C-101B-9397-08002B2CF9AE}" pid="8" name="Order">
    <vt:r8>3412500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