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11BA" w14:textId="69855602" w:rsidR="0043091E" w:rsidRPr="007B013A" w:rsidRDefault="00AD7E2A" w:rsidP="00A83EA3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fr-BE"/>
        </w:rPr>
      </w:pPr>
      <w:r w:rsidRPr="007B013A">
        <w:rPr>
          <w:b/>
          <w:bCs/>
          <w:sz w:val="28"/>
          <w:szCs w:val="28"/>
          <w:u w:val="single"/>
          <w:lang w:val="fr-BE"/>
        </w:rPr>
        <w:t>FAQ – nouvelle règlementation STOMIE</w:t>
      </w:r>
    </w:p>
    <w:p w14:paraId="3B418037" w14:textId="77777777" w:rsidR="001A16B8" w:rsidRPr="007B013A" w:rsidRDefault="001A16B8" w:rsidP="00A83EA3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fr-BE"/>
        </w:rPr>
      </w:pPr>
    </w:p>
    <w:p w14:paraId="024356CB" w14:textId="2B4F0F6B" w:rsidR="00A46D57" w:rsidRPr="007B013A" w:rsidRDefault="00781B1C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Lorsqu’un patient a plusieurs prescriptions successives, laquelle faut-il prendre en compte ?</w:t>
      </w:r>
    </w:p>
    <w:p w14:paraId="144ACBC4" w14:textId="00CF5DC2" w:rsidR="00781B1C" w:rsidRPr="007B013A" w:rsidRDefault="00781B1C" w:rsidP="00A83EA3">
      <w:pPr>
        <w:pStyle w:val="ListParagraph"/>
        <w:spacing w:after="0" w:line="240" w:lineRule="auto"/>
        <w:jc w:val="both"/>
        <w:rPr>
          <w:lang w:val="fr-BE"/>
        </w:rPr>
      </w:pPr>
    </w:p>
    <w:p w14:paraId="3478FFA0" w14:textId="68CC29CB" w:rsidR="0050117F" w:rsidRPr="007B013A" w:rsidRDefault="0050117F" w:rsidP="00A83EA3">
      <w:pPr>
        <w:pStyle w:val="ListParagraph"/>
        <w:spacing w:after="0" w:line="240" w:lineRule="auto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781B1C" w:rsidRPr="007B013A">
        <w:rPr>
          <w:color w:val="0070C0"/>
          <w:lang w:val="fr-BE"/>
        </w:rPr>
        <w:t>La dernière prescription remplace les prescriptions précédentes.</w:t>
      </w:r>
      <w:r w:rsidRPr="007B013A">
        <w:rPr>
          <w:color w:val="0070C0"/>
          <w:lang w:val="fr-BE"/>
        </w:rPr>
        <w:t xml:space="preserve"> Ceci vaut aussi pour les dates de fin de validité</w:t>
      </w:r>
      <w:r w:rsidR="008A3F6A" w:rsidRPr="007B013A">
        <w:rPr>
          <w:color w:val="0070C0"/>
          <w:lang w:val="fr-BE"/>
        </w:rPr>
        <w:t xml:space="preserve"> pour les systèmes convexes/concaves et/ou les situations exceptionnelles</w:t>
      </w:r>
      <w:r w:rsidRPr="007B013A">
        <w:rPr>
          <w:color w:val="0070C0"/>
          <w:lang w:val="fr-BE"/>
        </w:rPr>
        <w:t>.</w:t>
      </w:r>
    </w:p>
    <w:p w14:paraId="2E4C815B" w14:textId="20F35D6A" w:rsidR="00781B1C" w:rsidRPr="007B013A" w:rsidRDefault="00781B1C" w:rsidP="00A83EA3">
      <w:pPr>
        <w:pStyle w:val="ListParagraph"/>
        <w:spacing w:after="0" w:line="240" w:lineRule="auto"/>
        <w:jc w:val="both"/>
        <w:rPr>
          <w:color w:val="0070C0"/>
          <w:lang w:val="fr-BE"/>
        </w:rPr>
      </w:pPr>
    </w:p>
    <w:p w14:paraId="35F53A9B" w14:textId="0A384BD3" w:rsidR="005A3DCB" w:rsidRPr="007B013A" w:rsidRDefault="0050117F" w:rsidP="00A83EA3">
      <w:pPr>
        <w:pStyle w:val="ListParagraph"/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Exemple</w:t>
      </w:r>
      <w:r w:rsidR="00886E93" w:rsidRPr="007B013A">
        <w:rPr>
          <w:b/>
          <w:bCs/>
          <w:lang w:val="fr-BE"/>
        </w:rPr>
        <w:t xml:space="preserve"> </w:t>
      </w:r>
      <w:r w:rsidRPr="007B013A">
        <w:rPr>
          <w:b/>
          <w:bCs/>
          <w:lang w:val="fr-BE"/>
        </w:rPr>
        <w:t>:</w:t>
      </w:r>
    </w:p>
    <w:p w14:paraId="2E60408D" w14:textId="11E842AF" w:rsidR="005A3DCB" w:rsidRPr="007B013A" w:rsidRDefault="005A3DCB" w:rsidP="00A83EA3">
      <w:pPr>
        <w:pStyle w:val="ListParagraph"/>
        <w:spacing w:after="0" w:line="240" w:lineRule="auto"/>
        <w:rPr>
          <w:b/>
          <w:bCs/>
          <w:lang w:val="fr-BE"/>
        </w:rPr>
      </w:pPr>
      <w:r w:rsidRPr="007B013A">
        <w:rPr>
          <w:b/>
          <w:bCs/>
          <w:lang w:val="fr-BE"/>
        </w:rPr>
        <w:t>Le 01/04/202</w:t>
      </w:r>
      <w:r w:rsidR="0050117F" w:rsidRPr="007B013A">
        <w:rPr>
          <w:b/>
          <w:bCs/>
          <w:lang w:val="fr-BE"/>
        </w:rPr>
        <w:t>1</w:t>
      </w:r>
      <w:r w:rsidRPr="007B013A">
        <w:rPr>
          <w:b/>
          <w:bCs/>
          <w:lang w:val="fr-BE"/>
        </w:rPr>
        <w:t xml:space="preserve">, un bénéficiaire a droit à l’intervention pour du matériel convexe/concave pour une stomie existante. Cette </w:t>
      </w:r>
      <w:r w:rsidR="0050117F" w:rsidRPr="007B013A">
        <w:rPr>
          <w:b/>
          <w:bCs/>
          <w:lang w:val="fr-BE"/>
        </w:rPr>
        <w:t>prescription</w:t>
      </w:r>
      <w:r w:rsidRPr="007B013A">
        <w:rPr>
          <w:b/>
          <w:bCs/>
          <w:lang w:val="fr-BE"/>
        </w:rPr>
        <w:t xml:space="preserve"> couvre une période de 1 an. Le </w:t>
      </w:r>
      <w:r w:rsidR="0050117F" w:rsidRPr="007B013A">
        <w:rPr>
          <w:b/>
          <w:bCs/>
          <w:lang w:val="fr-BE"/>
        </w:rPr>
        <w:t>0</w:t>
      </w:r>
      <w:r w:rsidRPr="007B013A">
        <w:rPr>
          <w:b/>
          <w:bCs/>
          <w:lang w:val="fr-BE"/>
        </w:rPr>
        <w:t>1/08/202</w:t>
      </w:r>
      <w:r w:rsidR="0050117F" w:rsidRPr="007B013A">
        <w:rPr>
          <w:b/>
          <w:bCs/>
          <w:lang w:val="fr-BE"/>
        </w:rPr>
        <w:t>1</w:t>
      </w:r>
      <w:r w:rsidRPr="007B013A">
        <w:rPr>
          <w:b/>
          <w:bCs/>
          <w:lang w:val="fr-BE"/>
        </w:rPr>
        <w:t xml:space="preserve">, il remet une nouvelle annexe 93 pour - </w:t>
      </w:r>
      <w:r w:rsidRPr="007B013A">
        <w:rPr>
          <w:b/>
          <w:bCs/>
          <w:i/>
          <w:iCs/>
          <w:lang w:val="fr-BE"/>
        </w:rPr>
        <w:t>en plus du matériel convexe/concave</w:t>
      </w:r>
      <w:r w:rsidRPr="007B013A">
        <w:rPr>
          <w:b/>
          <w:bCs/>
          <w:lang w:val="fr-BE"/>
        </w:rPr>
        <w:t xml:space="preserve"> - une situation exceptionnelle. Quelle validité </w:t>
      </w:r>
      <w:r w:rsidR="0050117F" w:rsidRPr="007B013A">
        <w:rPr>
          <w:b/>
          <w:bCs/>
          <w:lang w:val="fr-BE"/>
        </w:rPr>
        <w:t>de prescription</w:t>
      </w:r>
      <w:r w:rsidRPr="007B013A">
        <w:rPr>
          <w:b/>
          <w:bCs/>
          <w:lang w:val="fr-BE"/>
        </w:rPr>
        <w:t xml:space="preserve"> faut-il prendre en compte ?</w:t>
      </w:r>
    </w:p>
    <w:p w14:paraId="5C868027" w14:textId="2EEF38D4" w:rsidR="0050117F" w:rsidRPr="007B013A" w:rsidRDefault="0050117F" w:rsidP="00A83EA3">
      <w:pPr>
        <w:pStyle w:val="ListParagraph"/>
        <w:spacing w:after="0" w:line="240" w:lineRule="auto"/>
        <w:rPr>
          <w:color w:val="0070C0"/>
          <w:lang w:val="fr-BE"/>
        </w:rPr>
      </w:pPr>
    </w:p>
    <w:p w14:paraId="5413EE7E" w14:textId="1255D367" w:rsidR="0050117F" w:rsidRPr="007B013A" w:rsidRDefault="0050117F" w:rsidP="00A83EA3">
      <w:pPr>
        <w:pStyle w:val="ListParagraph"/>
        <w:spacing w:after="0" w:line="240" w:lineRule="auto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8A3F6A" w:rsidRPr="007B013A">
        <w:rPr>
          <w:color w:val="0070C0"/>
          <w:lang w:val="fr-BE"/>
        </w:rPr>
        <w:t>La prescription du 01/08/2021 remplace celle du 01/04. Sur cette deuxième prescription, la motivation et la période de validité des systèmes convexes/concaves et de la situation exceptionnelle doivent être indiquées. Il s’agit d’un renouvellement pour les systèmes convexes/concaves et d’une première fois pour la situation exceptionnelle.</w:t>
      </w:r>
    </w:p>
    <w:p w14:paraId="3C3B65DE" w14:textId="15D209CA" w:rsidR="00886E93" w:rsidRPr="007B013A" w:rsidRDefault="00886E93" w:rsidP="00886E93">
      <w:pPr>
        <w:pStyle w:val="ListParagraph"/>
        <w:spacing w:after="0" w:line="240" w:lineRule="auto"/>
        <w:rPr>
          <w:color w:val="0070C0"/>
          <w:lang w:val="fr-BE"/>
        </w:rPr>
      </w:pPr>
    </w:p>
    <w:p w14:paraId="186A2D8E" w14:textId="054A0278" w:rsidR="0066025A" w:rsidRPr="007B013A" w:rsidRDefault="0066025A" w:rsidP="006602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La première prescription mentionne la période suivante pour l'utilisation des systèmes convexes/concaves : 04/2021 à 03/2022. La date de la première délivrance en ambulatoire est le 12/05/2021. A partir de quand une nouvelle prescription est-elle nécessaire pour la prolongation des systèmes convexes/concaves ?</w:t>
      </w:r>
    </w:p>
    <w:p w14:paraId="3C625C01" w14:textId="77777777" w:rsidR="0066025A" w:rsidRPr="007B013A" w:rsidRDefault="0066025A" w:rsidP="0066025A">
      <w:pPr>
        <w:pStyle w:val="ListParagraph"/>
        <w:spacing w:after="0" w:line="240" w:lineRule="auto"/>
        <w:rPr>
          <w:color w:val="0070C0"/>
          <w:lang w:val="fr-BE"/>
        </w:rPr>
      </w:pPr>
    </w:p>
    <w:p w14:paraId="40322465" w14:textId="77777777" w:rsidR="00137639" w:rsidRPr="007B013A" w:rsidRDefault="0066025A" w:rsidP="00137639">
      <w:pPr>
        <w:pStyle w:val="ListParagraph"/>
        <w:spacing w:after="0" w:line="240" w:lineRule="auto"/>
        <w:rPr>
          <w:color w:val="0070C0"/>
          <w:lang w:val="fr-BE"/>
        </w:rPr>
      </w:pPr>
      <w:r w:rsidRPr="007B013A">
        <w:rPr>
          <w:color w:val="0070C0"/>
          <w:lang w:val="fr-BE"/>
        </w:rPr>
        <w:t>→ Les trimestres sont déterminés sur la base de la date de première délivrance. Les trimestres sont donc déterminés comme suit : 5-6-7, 8-9-10, 11-12-01, 02-03-04.</w:t>
      </w:r>
      <w:r w:rsidR="00137639" w:rsidRPr="007B013A">
        <w:rPr>
          <w:color w:val="0070C0"/>
          <w:lang w:val="fr-BE"/>
        </w:rPr>
        <w:t xml:space="preserve"> La progression des trimestres peut être consultée dans le carnet du patient.</w:t>
      </w:r>
    </w:p>
    <w:p w14:paraId="083035DA" w14:textId="51835DE3" w:rsidR="0066025A" w:rsidRPr="007B013A" w:rsidRDefault="0066025A" w:rsidP="0066025A">
      <w:pPr>
        <w:pStyle w:val="ListParagraph"/>
        <w:spacing w:after="0" w:line="240" w:lineRule="auto"/>
        <w:rPr>
          <w:color w:val="0070C0"/>
          <w:lang w:val="fr-BE"/>
        </w:rPr>
      </w:pPr>
      <w:r w:rsidRPr="007B013A">
        <w:rPr>
          <w:color w:val="0070C0"/>
          <w:lang w:val="fr-BE"/>
        </w:rPr>
        <w:t xml:space="preserve">La date de fin de la prescription est prolongée </w:t>
      </w:r>
      <w:r w:rsidR="00137639" w:rsidRPr="007B013A">
        <w:rPr>
          <w:color w:val="0070C0"/>
          <w:lang w:val="fr-BE"/>
        </w:rPr>
        <w:t>jusqu’</w:t>
      </w:r>
      <w:r w:rsidRPr="007B013A">
        <w:rPr>
          <w:color w:val="0070C0"/>
          <w:lang w:val="fr-BE"/>
        </w:rPr>
        <w:t>au dernier jour du trimestre en cours, donc au 30/04/2022. Une nouvelle prescription n'est nécessaire qu'à partir du 01/05/2022.</w:t>
      </w:r>
    </w:p>
    <w:p w14:paraId="48679E40" w14:textId="77777777" w:rsidR="0066025A" w:rsidRPr="007B013A" w:rsidRDefault="0066025A" w:rsidP="0066025A">
      <w:pPr>
        <w:pStyle w:val="ListParagraph"/>
        <w:spacing w:after="0" w:line="240" w:lineRule="auto"/>
        <w:rPr>
          <w:color w:val="0070C0"/>
          <w:lang w:val="fr-BE"/>
        </w:rPr>
      </w:pPr>
    </w:p>
    <w:p w14:paraId="2A257C7B" w14:textId="0894CBB9" w:rsidR="009A7BFF" w:rsidRPr="007B013A" w:rsidRDefault="009A7BFF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 xml:space="preserve">Une nouvelle prescription annexe 93 est-elle nécessaire </w:t>
      </w:r>
      <w:r w:rsidR="0050117F" w:rsidRPr="007B013A">
        <w:rPr>
          <w:b/>
          <w:bCs/>
          <w:lang w:val="fr-BE"/>
        </w:rPr>
        <w:t>si le patient</w:t>
      </w:r>
      <w:r w:rsidRPr="007B013A">
        <w:rPr>
          <w:b/>
          <w:bCs/>
          <w:lang w:val="fr-BE"/>
        </w:rPr>
        <w:t xml:space="preserve"> change de bandagiste ?</w:t>
      </w:r>
    </w:p>
    <w:p w14:paraId="534C28F4" w14:textId="77777777" w:rsidR="008A3F6A" w:rsidRPr="007B013A" w:rsidRDefault="008A3F6A" w:rsidP="00A83EA3">
      <w:pPr>
        <w:spacing w:after="0" w:line="240" w:lineRule="auto"/>
        <w:ind w:left="720"/>
        <w:jc w:val="both"/>
        <w:rPr>
          <w:color w:val="0070C0"/>
          <w:lang w:val="fr-BE"/>
        </w:rPr>
      </w:pPr>
    </w:p>
    <w:p w14:paraId="46D0DE54" w14:textId="4BF100FF" w:rsidR="009A7BFF" w:rsidRPr="007B013A" w:rsidRDefault="008A3F6A" w:rsidP="00A83EA3">
      <w:pPr>
        <w:spacing w:after="0" w:line="240" w:lineRule="auto"/>
        <w:ind w:left="720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9A7BFF" w:rsidRPr="007B013A">
        <w:rPr>
          <w:color w:val="0070C0"/>
          <w:lang w:val="fr-BE"/>
        </w:rPr>
        <w:t>Non le patient peut changer de bandagiste comme il le souhaite, aucune procédure complémentaire n’est nécessaire.</w:t>
      </w:r>
    </w:p>
    <w:p w14:paraId="7B96E0C2" w14:textId="77777777" w:rsidR="00A83EA3" w:rsidRPr="007B013A" w:rsidRDefault="00A83EA3" w:rsidP="00A83EA3">
      <w:pPr>
        <w:spacing w:after="0" w:line="240" w:lineRule="auto"/>
        <w:ind w:left="720"/>
        <w:jc w:val="both"/>
        <w:rPr>
          <w:color w:val="0070C0"/>
          <w:lang w:val="fr-BE"/>
        </w:rPr>
      </w:pPr>
    </w:p>
    <w:p w14:paraId="07C20FF6" w14:textId="77777777" w:rsidR="00F65409" w:rsidRPr="007B013A" w:rsidRDefault="00F65409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Un bénéficiaire ayant droit à l’intervention pour du matériel convexe/concave et/ou situation exceptionnelle, doit-il avoir une nouvelle prescription quand il passe à une stomie « normale » ?</w:t>
      </w:r>
    </w:p>
    <w:p w14:paraId="3AEB0006" w14:textId="77777777" w:rsidR="00F65409" w:rsidRPr="007B013A" w:rsidRDefault="00F65409" w:rsidP="00A83EA3">
      <w:pPr>
        <w:pStyle w:val="ListParagraph"/>
        <w:spacing w:after="0" w:line="240" w:lineRule="auto"/>
        <w:jc w:val="both"/>
        <w:rPr>
          <w:color w:val="0070C0"/>
          <w:lang w:val="fr-BE"/>
        </w:rPr>
      </w:pPr>
    </w:p>
    <w:p w14:paraId="1F0007A5" w14:textId="210DC9EC" w:rsidR="00F65409" w:rsidRPr="007B013A" w:rsidRDefault="008A3F6A" w:rsidP="00A83EA3">
      <w:pPr>
        <w:pStyle w:val="ListParagraph"/>
        <w:spacing w:after="0" w:line="240" w:lineRule="auto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F65409" w:rsidRPr="007B013A">
        <w:rPr>
          <w:color w:val="0070C0"/>
          <w:lang w:val="fr-BE"/>
        </w:rPr>
        <w:t>Non, aucune prescription n’est nécessaire. Au trimestre suivant l’échéance de la prescription</w:t>
      </w:r>
      <w:r w:rsidR="0050117F" w:rsidRPr="007B013A">
        <w:rPr>
          <w:color w:val="0070C0"/>
          <w:lang w:val="fr-BE"/>
        </w:rPr>
        <w:t>,</w:t>
      </w:r>
      <w:r w:rsidR="00F65409" w:rsidRPr="007B013A">
        <w:rPr>
          <w:color w:val="0070C0"/>
          <w:lang w:val="fr-BE"/>
        </w:rPr>
        <w:t xml:space="preserve"> le patient retombe automatiquement à une intervention </w:t>
      </w:r>
      <w:r w:rsidR="0050117F" w:rsidRPr="007B013A">
        <w:rPr>
          <w:color w:val="0070C0"/>
          <w:lang w:val="fr-BE"/>
        </w:rPr>
        <w:t>moins élevée</w:t>
      </w:r>
      <w:r w:rsidR="00F65409" w:rsidRPr="007B013A">
        <w:rPr>
          <w:color w:val="0070C0"/>
          <w:lang w:val="fr-BE"/>
        </w:rPr>
        <w:t>.</w:t>
      </w:r>
    </w:p>
    <w:p w14:paraId="2C97ECC1" w14:textId="77777777" w:rsidR="001F25ED" w:rsidRPr="007B013A" w:rsidRDefault="001F25ED" w:rsidP="00A83EA3">
      <w:pPr>
        <w:pStyle w:val="ListParagraph"/>
        <w:spacing w:after="0" w:line="240" w:lineRule="auto"/>
        <w:jc w:val="both"/>
        <w:rPr>
          <w:color w:val="0070C0"/>
          <w:lang w:val="fr-BE"/>
        </w:rPr>
      </w:pPr>
    </w:p>
    <w:p w14:paraId="74A61486" w14:textId="54E7F39D" w:rsidR="00145F8B" w:rsidRPr="007B013A" w:rsidRDefault="00145F8B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Un prescripteur a rempli une annexe 93 pour du matériel convexe/concave mais il s’avère que le patient a besoin de matériel « normal », quel budget faut-il prendre en compte ? Si le budget « normal » doit être appliqué, est-ce que le patient doit avoir une nouvelle prescription s’il a besoin de systèmes convexes/concaves par après ou reste-t-il couvert la période ouverte par la prescription pour du matériel convexe/concave?</w:t>
      </w:r>
    </w:p>
    <w:p w14:paraId="6179B8E2" w14:textId="77777777" w:rsidR="00A83EA3" w:rsidRPr="007B013A" w:rsidRDefault="00A83EA3" w:rsidP="00A83EA3">
      <w:pPr>
        <w:pStyle w:val="ListParagraph"/>
        <w:spacing w:after="0" w:line="240" w:lineRule="auto"/>
        <w:jc w:val="both"/>
        <w:rPr>
          <w:b/>
          <w:bCs/>
          <w:lang w:val="fr-BE"/>
        </w:rPr>
      </w:pPr>
    </w:p>
    <w:p w14:paraId="1010EECE" w14:textId="564E1C79" w:rsidR="00145F8B" w:rsidRPr="007B013A" w:rsidRDefault="00A83EA3" w:rsidP="00A83EA3">
      <w:pPr>
        <w:spacing w:after="0" w:line="240" w:lineRule="auto"/>
        <w:ind w:left="851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lastRenderedPageBreak/>
        <w:t>→</w:t>
      </w:r>
      <w:r w:rsidRPr="007B013A">
        <w:rPr>
          <w:color w:val="0070C0"/>
          <w:lang w:val="fr-BE"/>
        </w:rPr>
        <w:t xml:space="preserve"> </w:t>
      </w:r>
      <w:r w:rsidR="00145F8B" w:rsidRPr="007B013A">
        <w:rPr>
          <w:color w:val="0070C0"/>
          <w:lang w:val="fr-BE"/>
        </w:rPr>
        <w:t>Le patient est couvert par le montant de l’intervention pour matériel convexe/concave jusqu’à l’échéance de sa prescription. A moins qu’une autre prescription n’intervienne, le patient est donc couvert jusqu’à la fin du trimestre d’échéance de sa prescription.</w:t>
      </w:r>
      <w:r w:rsidR="00E67856" w:rsidRPr="007B013A">
        <w:rPr>
          <w:color w:val="0070C0"/>
          <w:lang w:val="fr-BE"/>
        </w:rPr>
        <w:t xml:space="preserve"> La prestation </w:t>
      </w:r>
      <w:r w:rsidR="00AB721A" w:rsidRPr="007B013A">
        <w:rPr>
          <w:color w:val="0070C0"/>
          <w:lang w:val="fr-BE"/>
        </w:rPr>
        <w:t>«</w:t>
      </w:r>
      <w:proofErr w:type="spellStart"/>
      <w:r w:rsidR="000168A7" w:rsidRPr="007B013A">
        <w:rPr>
          <w:color w:val="0070C0"/>
          <w:lang w:val="fr-BE"/>
        </w:rPr>
        <w:t>Internvetion</w:t>
      </w:r>
      <w:proofErr w:type="spellEnd"/>
      <w:r w:rsidR="00AB721A" w:rsidRPr="007B013A">
        <w:rPr>
          <w:color w:val="0070C0"/>
          <w:lang w:val="fr-BE"/>
        </w:rPr>
        <w:t> </w:t>
      </w:r>
      <w:r w:rsidR="00E67856" w:rsidRPr="007B013A">
        <w:rPr>
          <w:color w:val="0070C0"/>
          <w:lang w:val="fr-BE"/>
        </w:rPr>
        <w:t>pour matériel convexe/concave</w:t>
      </w:r>
      <w:r w:rsidR="00AB721A" w:rsidRPr="007B013A">
        <w:rPr>
          <w:color w:val="0070C0"/>
          <w:lang w:val="fr-BE"/>
        </w:rPr>
        <w:t> »</w:t>
      </w:r>
      <w:r w:rsidR="00E67856" w:rsidRPr="007B013A">
        <w:rPr>
          <w:color w:val="0070C0"/>
          <w:lang w:val="fr-BE"/>
        </w:rPr>
        <w:t xml:space="preserve"> doit être attestée même si aucun produit convexe/concave n’est délivré.</w:t>
      </w:r>
    </w:p>
    <w:p w14:paraId="12145408" w14:textId="77777777" w:rsidR="00886E93" w:rsidRPr="007B013A" w:rsidRDefault="00886E93" w:rsidP="00A83EA3">
      <w:pPr>
        <w:spacing w:after="0" w:line="240" w:lineRule="auto"/>
        <w:ind w:left="851"/>
        <w:jc w:val="both"/>
        <w:rPr>
          <w:color w:val="0070C0"/>
          <w:lang w:val="fr-BE"/>
        </w:rPr>
      </w:pPr>
    </w:p>
    <w:p w14:paraId="2A38FF1A" w14:textId="15B690B1" w:rsidR="00F1749E" w:rsidRPr="007B013A" w:rsidRDefault="00F1749E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Lorsqu’il y a une période d’interruption entre 2 prescriptions pour situation exceptionnelle ou plaques convexes/concaves, lors de la seconde prescription, faut-il cocher « PREMIERE FOIS » (période max. de 6 mois) ou « PROLONGATION » (période max. de 24 mois) ?</w:t>
      </w:r>
    </w:p>
    <w:p w14:paraId="17D9A0EF" w14:textId="77777777" w:rsidR="00A83EA3" w:rsidRPr="007B013A" w:rsidRDefault="00A83EA3" w:rsidP="00A83EA3">
      <w:pPr>
        <w:pStyle w:val="ListParagraph"/>
        <w:spacing w:after="0" w:line="240" w:lineRule="auto"/>
        <w:jc w:val="both"/>
        <w:rPr>
          <w:b/>
          <w:bCs/>
          <w:color w:val="0070C0"/>
          <w:lang w:val="fr-BE"/>
        </w:rPr>
      </w:pPr>
    </w:p>
    <w:p w14:paraId="21460AAC" w14:textId="30E87373" w:rsidR="00F1749E" w:rsidRPr="007B013A" w:rsidRDefault="00A83EA3" w:rsidP="00A83EA3">
      <w:pPr>
        <w:spacing w:after="0" w:line="240" w:lineRule="auto"/>
        <w:ind w:left="709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 En cas d’interruption, i</w:t>
      </w:r>
      <w:r w:rsidR="00F1749E" w:rsidRPr="007B013A">
        <w:rPr>
          <w:color w:val="0070C0"/>
          <w:lang w:val="fr-BE"/>
        </w:rPr>
        <w:t>l faut cocher « </w:t>
      </w:r>
      <w:r w:rsidRPr="007B013A">
        <w:rPr>
          <w:color w:val="0070C0"/>
          <w:lang w:val="fr-BE"/>
        </w:rPr>
        <w:t>1</w:t>
      </w:r>
      <w:r w:rsidRPr="007B013A">
        <w:rPr>
          <w:color w:val="0070C0"/>
          <w:vertAlign w:val="superscript"/>
          <w:lang w:val="fr-BE"/>
        </w:rPr>
        <w:t>ère</w:t>
      </w:r>
      <w:r w:rsidRPr="007B013A">
        <w:rPr>
          <w:color w:val="0070C0"/>
          <w:lang w:val="fr-BE"/>
        </w:rPr>
        <w:t xml:space="preserve"> fois</w:t>
      </w:r>
      <w:r w:rsidR="00F1749E" w:rsidRPr="007B013A">
        <w:rPr>
          <w:color w:val="0070C0"/>
          <w:lang w:val="fr-BE"/>
        </w:rPr>
        <w:t> ».</w:t>
      </w:r>
    </w:p>
    <w:p w14:paraId="60A1D3A0" w14:textId="1C7B8EA1" w:rsidR="00886E93" w:rsidRPr="007B013A" w:rsidRDefault="00886E93" w:rsidP="00A83EA3">
      <w:pPr>
        <w:spacing w:after="0" w:line="240" w:lineRule="auto"/>
        <w:ind w:left="709"/>
        <w:jc w:val="both"/>
        <w:rPr>
          <w:color w:val="0070C0"/>
          <w:lang w:val="fr-BE"/>
        </w:rPr>
      </w:pPr>
    </w:p>
    <w:p w14:paraId="3551017A" w14:textId="047C80AD" w:rsidR="009223BD" w:rsidRPr="007B013A" w:rsidRDefault="00886E93" w:rsidP="00A83EA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000000" w:themeColor="text1"/>
          <w:lang w:val="fr-BE"/>
        </w:rPr>
      </w:pPr>
      <w:r w:rsidRPr="007B013A">
        <w:rPr>
          <w:b/>
          <w:bCs/>
          <w:color w:val="000000" w:themeColor="text1"/>
          <w:lang w:val="fr-BE"/>
        </w:rPr>
        <w:t>Comment faire la d</w:t>
      </w:r>
      <w:r w:rsidR="009223BD" w:rsidRPr="007B013A">
        <w:rPr>
          <w:b/>
          <w:bCs/>
          <w:color w:val="000000" w:themeColor="text1"/>
          <w:lang w:val="fr-BE"/>
        </w:rPr>
        <w:t>istinction entre « nouvelle stomie &lt;-&gt; stomie existante » et « première fois &lt;-&gt; prolongation »</w:t>
      </w:r>
      <w:r w:rsidRPr="007B013A">
        <w:rPr>
          <w:b/>
          <w:bCs/>
          <w:color w:val="000000" w:themeColor="text1"/>
          <w:lang w:val="fr-BE"/>
        </w:rPr>
        <w:t xml:space="preserve"> sur la prescription ?</w:t>
      </w:r>
    </w:p>
    <w:p w14:paraId="3AF835BA" w14:textId="77777777" w:rsidR="00E508DF" w:rsidRPr="007B013A" w:rsidRDefault="00E508DF" w:rsidP="00A83EA3">
      <w:pPr>
        <w:pStyle w:val="ListParagraph"/>
        <w:spacing w:after="0" w:line="240" w:lineRule="auto"/>
        <w:rPr>
          <w:color w:val="0070C0"/>
          <w:lang w:val="fr-BE"/>
        </w:rPr>
      </w:pPr>
    </w:p>
    <w:p w14:paraId="1E373E13" w14:textId="62D15890" w:rsidR="00E47312" w:rsidRPr="007B013A" w:rsidRDefault="00E508DF" w:rsidP="00A83EA3">
      <w:pPr>
        <w:pStyle w:val="ListParagraph"/>
        <w:spacing w:after="0" w:line="240" w:lineRule="auto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886E93" w:rsidRPr="007B013A">
        <w:rPr>
          <w:color w:val="0070C0"/>
          <w:lang w:val="fr-BE"/>
        </w:rPr>
        <w:t>Les termes « nouvelle stomie » et « stomie existante » se rapportent à la motivation médicale générale (recto de la prescription).</w:t>
      </w:r>
      <w:r w:rsidR="00E47312" w:rsidRPr="007B013A">
        <w:rPr>
          <w:color w:val="0070C0"/>
          <w:lang w:val="fr-BE"/>
        </w:rPr>
        <w:t xml:space="preserve"> </w:t>
      </w:r>
      <w:bookmarkStart w:id="0" w:name="_Hlk106023128"/>
      <w:r w:rsidR="00E47312" w:rsidRPr="007B013A">
        <w:rPr>
          <w:color w:val="0070C0"/>
          <w:lang w:val="fr-BE"/>
        </w:rPr>
        <w:t>Une nouvelle stomie est une stomie pour laquelle aucun matériel n’a encore été délivré en ambulatoire</w:t>
      </w:r>
      <w:bookmarkEnd w:id="0"/>
      <w:r w:rsidR="00E47312" w:rsidRPr="007B013A">
        <w:rPr>
          <w:color w:val="0070C0"/>
          <w:lang w:val="fr-BE"/>
        </w:rPr>
        <w:t>.</w:t>
      </w:r>
    </w:p>
    <w:p w14:paraId="143F7238" w14:textId="77777777" w:rsidR="00E47312" w:rsidRPr="007B013A" w:rsidRDefault="00E47312" w:rsidP="00A83EA3">
      <w:pPr>
        <w:pStyle w:val="ListParagraph"/>
        <w:spacing w:after="0" w:line="240" w:lineRule="auto"/>
        <w:rPr>
          <w:color w:val="0070C0"/>
          <w:lang w:val="fr-BE"/>
        </w:rPr>
      </w:pPr>
    </w:p>
    <w:p w14:paraId="7FB2653B" w14:textId="488696AC" w:rsidR="009223BD" w:rsidRPr="007B013A" w:rsidRDefault="00886E93" w:rsidP="00A83EA3">
      <w:pPr>
        <w:pStyle w:val="ListParagraph"/>
        <w:spacing w:after="0" w:line="240" w:lineRule="auto"/>
        <w:rPr>
          <w:color w:val="0070C0"/>
          <w:lang w:val="fr-BE"/>
        </w:rPr>
      </w:pPr>
      <w:r w:rsidRPr="007B013A">
        <w:rPr>
          <w:color w:val="0070C0"/>
          <w:lang w:val="fr-BE"/>
        </w:rPr>
        <w:t xml:space="preserve">Les termes « première fois » et « prolongation » se rapportent spécifiquement à la motivation </w:t>
      </w:r>
      <w:r w:rsidR="009223BD" w:rsidRPr="007B013A">
        <w:rPr>
          <w:color w:val="0070C0"/>
          <w:lang w:val="fr-BE"/>
        </w:rPr>
        <w:t>pour l’utilisation de matériel convexe/concave et</w:t>
      </w:r>
      <w:r w:rsidR="001F25ED" w:rsidRPr="007B013A">
        <w:rPr>
          <w:color w:val="0070C0"/>
          <w:lang w:val="fr-BE"/>
        </w:rPr>
        <w:t>/ou</w:t>
      </w:r>
      <w:r w:rsidR="009223BD" w:rsidRPr="007B013A">
        <w:rPr>
          <w:color w:val="0070C0"/>
          <w:lang w:val="fr-BE"/>
        </w:rPr>
        <w:t xml:space="preserve"> pour une situation exceptionnelle</w:t>
      </w:r>
      <w:r w:rsidR="001F25ED" w:rsidRPr="007B013A">
        <w:rPr>
          <w:color w:val="0070C0"/>
          <w:lang w:val="fr-BE"/>
        </w:rPr>
        <w:t xml:space="preserve"> (verso de la prescription).</w:t>
      </w:r>
    </w:p>
    <w:p w14:paraId="6E4F3207" w14:textId="77777777" w:rsidR="001F25ED" w:rsidRPr="007B013A" w:rsidRDefault="001F25ED" w:rsidP="00A83EA3">
      <w:pPr>
        <w:pStyle w:val="ListParagraph"/>
        <w:spacing w:after="0" w:line="240" w:lineRule="auto"/>
        <w:rPr>
          <w:color w:val="0070C0"/>
          <w:lang w:val="fr-BE"/>
        </w:rPr>
      </w:pPr>
    </w:p>
    <w:p w14:paraId="65135475" w14:textId="7635BF69" w:rsidR="00A87082" w:rsidRPr="007B013A" w:rsidRDefault="00A87082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Les prescriptions pour interventions pour plaque</w:t>
      </w:r>
      <w:r w:rsidR="00554447" w:rsidRPr="007B013A">
        <w:rPr>
          <w:b/>
          <w:bCs/>
          <w:lang w:val="fr-BE"/>
        </w:rPr>
        <w:t xml:space="preserve"> convexes</w:t>
      </w:r>
      <w:r w:rsidRPr="007B013A">
        <w:rPr>
          <w:b/>
          <w:bCs/>
          <w:lang w:val="fr-BE"/>
        </w:rPr>
        <w:t>/concaves et pour situation exceptionnelle peuvent-elles être renouvelées plusieurs fois ?</w:t>
      </w:r>
    </w:p>
    <w:p w14:paraId="1CD8EEE1" w14:textId="77777777" w:rsidR="00E508DF" w:rsidRPr="007B013A" w:rsidRDefault="00E508DF" w:rsidP="00E508DF">
      <w:pPr>
        <w:pStyle w:val="ListParagraph"/>
        <w:spacing w:after="0" w:line="240" w:lineRule="auto"/>
        <w:jc w:val="both"/>
        <w:rPr>
          <w:b/>
          <w:bCs/>
          <w:color w:val="0070C0"/>
          <w:lang w:val="fr-BE"/>
        </w:rPr>
      </w:pPr>
    </w:p>
    <w:p w14:paraId="784AA6FD" w14:textId="03D59BF3" w:rsidR="00A87082" w:rsidRPr="007B013A" w:rsidRDefault="00E508DF" w:rsidP="00E508DF">
      <w:pPr>
        <w:spacing w:after="0" w:line="240" w:lineRule="auto"/>
        <w:ind w:left="709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A87082" w:rsidRPr="007B013A">
        <w:rPr>
          <w:color w:val="0070C0"/>
          <w:lang w:val="fr-BE"/>
        </w:rPr>
        <w:t>Oui, ces interventions peuvent être prescrites et renouvelées autant de fois que nécessaire tant que la situation du patient le justifie.</w:t>
      </w:r>
    </w:p>
    <w:p w14:paraId="3E613237" w14:textId="5C47F0F9" w:rsidR="00E508DF" w:rsidRPr="007B013A" w:rsidRDefault="00E508DF" w:rsidP="00E508DF">
      <w:pPr>
        <w:spacing w:after="0" w:line="240" w:lineRule="auto"/>
        <w:ind w:left="709"/>
        <w:jc w:val="both"/>
        <w:rPr>
          <w:color w:val="0070C0"/>
          <w:lang w:val="fr-BE"/>
        </w:rPr>
      </w:pPr>
    </w:p>
    <w:p w14:paraId="316DE823" w14:textId="77777777" w:rsidR="001F25ED" w:rsidRPr="007B013A" w:rsidRDefault="001F25ED" w:rsidP="001F25E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lang w:val="fr-BE"/>
        </w:rPr>
      </w:pPr>
      <w:r w:rsidRPr="007B013A">
        <w:rPr>
          <w:b/>
          <w:bCs/>
          <w:color w:val="000000" w:themeColor="text1"/>
          <w:lang w:val="fr-BE"/>
        </w:rPr>
        <w:t>Une prescription est-elle nécessaire lors de la délivrance de chaque set d’irrigation ?</w:t>
      </w:r>
    </w:p>
    <w:p w14:paraId="606F6067" w14:textId="77777777" w:rsidR="001F25ED" w:rsidRPr="007B013A" w:rsidRDefault="001F25ED" w:rsidP="001F25ED">
      <w:pPr>
        <w:spacing w:after="0" w:line="240" w:lineRule="auto"/>
        <w:ind w:left="567"/>
        <w:jc w:val="both"/>
        <w:rPr>
          <w:rFonts w:cstheme="minorHAnsi"/>
          <w:color w:val="0070C0"/>
          <w:lang w:val="fr-BE"/>
        </w:rPr>
      </w:pPr>
    </w:p>
    <w:p w14:paraId="2BD23985" w14:textId="064FE62E" w:rsidR="001F25ED" w:rsidRPr="007B013A" w:rsidRDefault="001F25ED" w:rsidP="001F25ED">
      <w:pPr>
        <w:spacing w:after="0" w:line="240" w:lineRule="auto"/>
        <w:ind w:left="567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Non, une prescription n’est nécessaire que lors de la délivrance du premier set d’irrigation.</w:t>
      </w:r>
    </w:p>
    <w:p w14:paraId="423E3446" w14:textId="77777777" w:rsidR="00875787" w:rsidRPr="007B013A" w:rsidRDefault="00875787" w:rsidP="001F25ED">
      <w:pPr>
        <w:spacing w:after="0" w:line="240" w:lineRule="auto"/>
        <w:ind w:left="567"/>
        <w:jc w:val="both"/>
        <w:rPr>
          <w:color w:val="0070C0"/>
          <w:lang w:val="fr-BE"/>
        </w:rPr>
      </w:pPr>
    </w:p>
    <w:p w14:paraId="11834CE7" w14:textId="77777777" w:rsidR="00886E93" w:rsidRPr="007B013A" w:rsidRDefault="00886E93" w:rsidP="00886E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rebuchet MS" w:hAnsi="Trebuchet MS"/>
          <w:b/>
          <w:bCs/>
          <w:color w:val="44546A"/>
          <w:sz w:val="20"/>
          <w:szCs w:val="20"/>
          <w:lang w:val="fr-BE"/>
        </w:rPr>
      </w:pPr>
      <w:r w:rsidRPr="007B013A">
        <w:rPr>
          <w:b/>
          <w:bCs/>
          <w:lang w:val="fr-BE"/>
        </w:rPr>
        <w:t>Le 01/04/2021, un bénéficiaire a droit à 655336 (colostomie – 3 premiers mois). Le 01/07, il passe automatiquement au 655531 (sans nouvelle notification). Le 15/08, une notification pour des plaques convexes est introduite.</w:t>
      </w:r>
    </w:p>
    <w:p w14:paraId="7529F03D" w14:textId="77777777" w:rsidR="00886E93" w:rsidRPr="007B013A" w:rsidRDefault="00886E93" w:rsidP="00886E93">
      <w:pPr>
        <w:pStyle w:val="ListParagraph"/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fr-BE"/>
        </w:rPr>
      </w:pPr>
    </w:p>
    <w:p w14:paraId="64F24872" w14:textId="77777777" w:rsidR="00886E93" w:rsidRPr="007B013A" w:rsidRDefault="00886E93" w:rsidP="00886E93">
      <w:pPr>
        <w:pStyle w:val="ListParagraph"/>
        <w:spacing w:after="0" w:line="240" w:lineRule="auto"/>
        <w:ind w:left="709"/>
        <w:jc w:val="both"/>
        <w:rPr>
          <w:rFonts w:ascii="Trebuchet MS" w:hAnsi="Trebuchet MS"/>
          <w:b/>
          <w:bCs/>
          <w:color w:val="44546A"/>
          <w:sz w:val="20"/>
          <w:szCs w:val="20"/>
          <w:lang w:val="fr-BE"/>
        </w:rPr>
      </w:pPr>
      <w:r w:rsidRPr="007B013A">
        <w:rPr>
          <w:b/>
          <w:bCs/>
          <w:lang w:val="fr-BE"/>
        </w:rPr>
        <w:t>a) A quelle date débute la période couverte par cette notification convexe ?</w:t>
      </w:r>
    </w:p>
    <w:p w14:paraId="3DD23A05" w14:textId="77777777" w:rsidR="00886E93" w:rsidRPr="007B013A" w:rsidRDefault="00886E93" w:rsidP="00886E93">
      <w:pPr>
        <w:spacing w:after="0" w:line="240" w:lineRule="auto"/>
        <w:ind w:left="720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le 01/08</w:t>
      </w:r>
    </w:p>
    <w:p w14:paraId="4508AE47" w14:textId="77777777" w:rsidR="00886E93" w:rsidRPr="007B013A" w:rsidRDefault="00886E93" w:rsidP="00886E93">
      <w:pPr>
        <w:spacing w:after="0" w:line="240" w:lineRule="auto"/>
        <w:ind w:left="720"/>
        <w:jc w:val="both"/>
        <w:rPr>
          <w:color w:val="0070C0"/>
          <w:lang w:val="fr-BE"/>
        </w:rPr>
      </w:pPr>
    </w:p>
    <w:p w14:paraId="7912B92C" w14:textId="77777777" w:rsidR="00886E93" w:rsidRPr="007B013A" w:rsidRDefault="00886E93" w:rsidP="00886E93">
      <w:pPr>
        <w:spacing w:after="0" w:line="240" w:lineRule="auto"/>
        <w:ind w:left="720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b) Quelle prestation doit être accordée ? 655491 (colo convexe 3 premiers mois) ou 655550 (colo convexe à p. 4° mois) ?</w:t>
      </w:r>
    </w:p>
    <w:p w14:paraId="5E56D5F4" w14:textId="77777777" w:rsidR="00886E93" w:rsidRPr="007B013A" w:rsidRDefault="00886E93" w:rsidP="00886E93">
      <w:pPr>
        <w:spacing w:after="0" w:line="240" w:lineRule="auto"/>
        <w:ind w:left="720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la prestation 655550</w:t>
      </w:r>
    </w:p>
    <w:p w14:paraId="445ACCFA" w14:textId="77777777" w:rsidR="00886E93" w:rsidRPr="007B013A" w:rsidRDefault="00886E93" w:rsidP="00886E93">
      <w:pPr>
        <w:spacing w:after="0" w:line="240" w:lineRule="auto"/>
        <w:ind w:left="720"/>
        <w:jc w:val="both"/>
        <w:rPr>
          <w:color w:val="0070C0"/>
          <w:lang w:val="fr-BE"/>
        </w:rPr>
      </w:pPr>
    </w:p>
    <w:p w14:paraId="6A767CC4" w14:textId="77777777" w:rsidR="00886E93" w:rsidRPr="007B013A" w:rsidRDefault="00886E93" w:rsidP="00886E93">
      <w:pPr>
        <w:spacing w:after="0" w:line="240" w:lineRule="auto"/>
        <w:ind w:left="720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c) Quelles sont les dates à prendre en considération pour les différentes prestations ?</w:t>
      </w:r>
    </w:p>
    <w:p w14:paraId="5E9D6543" w14:textId="310F122F" w:rsidR="00886E93" w:rsidRPr="007B013A" w:rsidRDefault="00886E93" w:rsidP="00886E93">
      <w:pPr>
        <w:spacing w:after="0" w:line="240" w:lineRule="auto"/>
        <w:ind w:left="720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655336 du 01/04 au 30/06; 655351 du 01/07 au </w:t>
      </w:r>
      <w:r w:rsidR="00554447" w:rsidRPr="007B013A">
        <w:rPr>
          <w:color w:val="0070C0"/>
          <w:lang w:val="fr-BE"/>
        </w:rPr>
        <w:t>31/07</w:t>
      </w:r>
      <w:r w:rsidRPr="007B013A">
        <w:rPr>
          <w:color w:val="0070C0"/>
          <w:lang w:val="fr-BE"/>
        </w:rPr>
        <w:t>;</w:t>
      </w:r>
      <w:r w:rsidR="0018778E" w:rsidRPr="007B013A">
        <w:rPr>
          <w:color w:val="0070C0"/>
          <w:lang w:val="fr-BE"/>
        </w:rPr>
        <w:t xml:space="preserve"> </w:t>
      </w:r>
      <w:r w:rsidRPr="007B013A">
        <w:rPr>
          <w:color w:val="0070C0"/>
          <w:lang w:val="fr-BE"/>
        </w:rPr>
        <w:t>655550 du 01/08 jusqu’à la fin de période mentionnée sur la prescription, prolongée jusqu’à la fin du trimestre en cours</w:t>
      </w:r>
    </w:p>
    <w:p w14:paraId="4EF46995" w14:textId="77777777" w:rsidR="00886E93" w:rsidRPr="007B013A" w:rsidRDefault="00886E93" w:rsidP="00E508DF">
      <w:pPr>
        <w:spacing w:after="0" w:line="240" w:lineRule="auto"/>
        <w:ind w:left="709"/>
        <w:jc w:val="both"/>
        <w:rPr>
          <w:color w:val="0070C0"/>
          <w:lang w:val="fr-BE"/>
        </w:rPr>
      </w:pPr>
    </w:p>
    <w:p w14:paraId="132E38C5" w14:textId="266541B7" w:rsidR="009223BD" w:rsidRPr="007B013A" w:rsidRDefault="009223BD" w:rsidP="00A83EA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lang w:val="fr-BE"/>
        </w:rPr>
      </w:pPr>
      <w:r w:rsidRPr="007B013A">
        <w:rPr>
          <w:b/>
          <w:bCs/>
          <w:lang w:val="fr-BE"/>
        </w:rPr>
        <w:lastRenderedPageBreak/>
        <w:t xml:space="preserve">Si une première notification est refusée parce que </w:t>
      </w:r>
      <w:r w:rsidR="00BA77EF" w:rsidRPr="007B013A">
        <w:rPr>
          <w:b/>
          <w:bCs/>
          <w:lang w:val="fr-BE"/>
        </w:rPr>
        <w:t>le délai</w:t>
      </w:r>
      <w:r w:rsidRPr="007B013A">
        <w:rPr>
          <w:b/>
          <w:bCs/>
          <w:lang w:val="fr-BE"/>
        </w:rPr>
        <w:t xml:space="preserve"> de 40 jours est dépassé, l'annexe 93 qui a été envoyée et qui est restée en possession de l'OA reste-t-elle valable pour un renouvellement 3 mois après ?</w:t>
      </w:r>
    </w:p>
    <w:p w14:paraId="2181E8FF" w14:textId="77777777" w:rsidR="00E67856" w:rsidRPr="007B013A" w:rsidRDefault="00E67856" w:rsidP="00E67856">
      <w:pPr>
        <w:pStyle w:val="ListParagraph"/>
        <w:spacing w:after="0" w:line="240" w:lineRule="auto"/>
        <w:jc w:val="both"/>
        <w:rPr>
          <w:rFonts w:cstheme="minorHAnsi"/>
          <w:color w:val="0070C0"/>
          <w:lang w:val="fr-BE"/>
        </w:rPr>
      </w:pPr>
    </w:p>
    <w:p w14:paraId="0FD44C44" w14:textId="3DE4662C" w:rsidR="00E67856" w:rsidRPr="007B013A" w:rsidRDefault="00E67856" w:rsidP="00E67856">
      <w:pPr>
        <w:pStyle w:val="ListParagraph"/>
        <w:spacing w:after="0" w:line="240" w:lineRule="auto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Oui, la prescription reste valable.</w:t>
      </w:r>
    </w:p>
    <w:p w14:paraId="5E7E8712" w14:textId="77777777" w:rsidR="00E67856" w:rsidRPr="007B013A" w:rsidRDefault="00E67856" w:rsidP="00E67856">
      <w:pPr>
        <w:pStyle w:val="ListParagraph"/>
        <w:spacing w:after="0" w:line="240" w:lineRule="auto"/>
        <w:jc w:val="both"/>
        <w:rPr>
          <w:color w:val="0070C0"/>
          <w:lang w:val="fr-BE"/>
        </w:rPr>
      </w:pPr>
    </w:p>
    <w:p w14:paraId="35073527" w14:textId="459201E9" w:rsidR="00145F8B" w:rsidRPr="007B013A" w:rsidRDefault="00145F8B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Que se passe-t-il si le montant de l’intervention est indexé en cours de trimestre ?</w:t>
      </w:r>
      <w:r w:rsidR="00A87082" w:rsidRPr="007B013A">
        <w:rPr>
          <w:b/>
          <w:bCs/>
          <w:lang w:val="fr-BE"/>
        </w:rPr>
        <w:t xml:space="preserve"> </w:t>
      </w:r>
    </w:p>
    <w:p w14:paraId="2E84CEFF" w14:textId="4D022878" w:rsidR="00781B1C" w:rsidRPr="007B013A" w:rsidRDefault="00ED16C4" w:rsidP="00A83EA3">
      <w:pPr>
        <w:pStyle w:val="ListParagraph"/>
        <w:spacing w:after="0" w:line="240" w:lineRule="auto"/>
        <w:jc w:val="both"/>
        <w:rPr>
          <w:b/>
          <w:bCs/>
          <w:i/>
          <w:iCs/>
          <w:sz w:val="18"/>
          <w:szCs w:val="18"/>
          <w:lang w:val="fr-BE"/>
        </w:rPr>
      </w:pPr>
      <w:r w:rsidRPr="007B013A">
        <w:rPr>
          <w:b/>
          <w:bCs/>
          <w:lang w:val="fr-BE"/>
        </w:rPr>
        <w:t>Ex. : portefeuille pour les mois 11, 12 et 01, avec indexation des valeurs des différents portefeuilles entre les mois 12 et 01 ?</w:t>
      </w:r>
    </w:p>
    <w:p w14:paraId="6F8718BA" w14:textId="77777777" w:rsidR="00ED16C4" w:rsidRPr="007B013A" w:rsidRDefault="00ED16C4" w:rsidP="00ED16C4">
      <w:pPr>
        <w:pStyle w:val="ListParagraph"/>
        <w:rPr>
          <w:color w:val="0070C0"/>
          <w:lang w:val="fr-BE"/>
        </w:rPr>
      </w:pPr>
    </w:p>
    <w:p w14:paraId="3E8A8DAC" w14:textId="733DE123" w:rsidR="00ED16C4" w:rsidRPr="007B013A" w:rsidRDefault="00886E93" w:rsidP="00ED16C4">
      <w:pPr>
        <w:pStyle w:val="ListParagrap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ED16C4" w:rsidRPr="007B013A">
        <w:rPr>
          <w:color w:val="0070C0"/>
          <w:lang w:val="fr-BE"/>
        </w:rPr>
        <w:t>C’est le premier mois du trimestre qui détermine le budget trimestriel maximum, même si l’on change d’année (et de montant suite à une éventuelle indexation) au cours de ce trimestre.</w:t>
      </w:r>
    </w:p>
    <w:p w14:paraId="50CC0938" w14:textId="77777777" w:rsidR="00ED16C4" w:rsidRPr="007B013A" w:rsidRDefault="00ED16C4" w:rsidP="00A83EA3">
      <w:pPr>
        <w:pStyle w:val="ListParagraph"/>
        <w:spacing w:after="0" w:line="240" w:lineRule="auto"/>
        <w:jc w:val="both"/>
        <w:rPr>
          <w:color w:val="0070C0"/>
          <w:sz w:val="18"/>
          <w:szCs w:val="18"/>
          <w:lang w:val="fr-BE"/>
        </w:rPr>
      </w:pPr>
    </w:p>
    <w:p w14:paraId="2BBB527E" w14:textId="330B02E9" w:rsidR="007C3A4D" w:rsidRPr="007B013A" w:rsidRDefault="00781B1C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lang w:val="fr-BE"/>
        </w:rPr>
      </w:pPr>
      <w:r w:rsidRPr="007B013A">
        <w:rPr>
          <w:b/>
          <w:bCs/>
          <w:lang w:val="fr-BE"/>
        </w:rPr>
        <w:t>Le bandagiste a-t-il le droit de facturer du matériel de stomie à un prix inférieur au prix repris sur la liste limitative ?</w:t>
      </w:r>
    </w:p>
    <w:p w14:paraId="44069459" w14:textId="77777777" w:rsidR="00781B1C" w:rsidRPr="007B013A" w:rsidRDefault="00781B1C" w:rsidP="00A83EA3">
      <w:pPr>
        <w:pStyle w:val="ListParagraph"/>
        <w:spacing w:after="0" w:line="240" w:lineRule="auto"/>
        <w:rPr>
          <w:color w:val="0070C0"/>
          <w:lang w:val="fr-BE"/>
        </w:rPr>
      </w:pPr>
    </w:p>
    <w:p w14:paraId="4BDB1330" w14:textId="035171CC" w:rsidR="006958EF" w:rsidRPr="007B013A" w:rsidRDefault="00E508DF" w:rsidP="00E508DF">
      <w:pPr>
        <w:spacing w:after="0" w:line="240" w:lineRule="auto"/>
        <w:ind w:left="567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781B1C" w:rsidRPr="007B013A">
        <w:rPr>
          <w:color w:val="0070C0"/>
          <w:lang w:val="fr-BE"/>
        </w:rPr>
        <w:t xml:space="preserve">Oui, la liste limitative des produits de stomie reprend le prix maximum qui peut être facturé par le bandagiste. </w:t>
      </w:r>
      <w:r w:rsidRPr="007B013A">
        <w:rPr>
          <w:color w:val="0070C0"/>
          <w:lang w:val="fr-BE"/>
        </w:rPr>
        <w:t>Le bandagiste ne peut pas facturer plus, mais il peut facturer moins.</w:t>
      </w:r>
      <w:r w:rsidR="00875787" w:rsidRPr="007B013A">
        <w:rPr>
          <w:color w:val="0070C0"/>
          <w:lang w:val="fr-BE"/>
        </w:rPr>
        <w:t xml:space="preserve"> Dans ce cas, la mutuelle doit accepter un montant inférieur.</w:t>
      </w:r>
    </w:p>
    <w:p w14:paraId="35BCE809" w14:textId="77777777" w:rsidR="00886E93" w:rsidRPr="007B013A" w:rsidRDefault="00886E93" w:rsidP="00E508DF">
      <w:pPr>
        <w:spacing w:after="0" w:line="240" w:lineRule="auto"/>
        <w:ind w:left="567"/>
        <w:jc w:val="both"/>
        <w:rPr>
          <w:color w:val="0070C0"/>
          <w:lang w:val="fr-BE"/>
        </w:rPr>
      </w:pPr>
    </w:p>
    <w:p w14:paraId="7B71F705" w14:textId="48E41024" w:rsidR="00F1749E" w:rsidRPr="007B013A" w:rsidRDefault="00F1749E" w:rsidP="00A83EA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lang w:val="fr-BE"/>
        </w:rPr>
      </w:pPr>
      <w:r w:rsidRPr="007B013A">
        <w:rPr>
          <w:b/>
          <w:bCs/>
          <w:lang w:val="fr-BE"/>
        </w:rPr>
        <w:t>Est-il autorisé d’inscrire « RENOUVELLEMENT » sur l’annexe 13ter en lieu et place du nom du médecin prescripteur, de son numéro INAMI et de la date de prescription ?</w:t>
      </w:r>
    </w:p>
    <w:p w14:paraId="57DBC94A" w14:textId="77777777" w:rsidR="00E508DF" w:rsidRPr="007B013A" w:rsidRDefault="00E508DF" w:rsidP="00ED16C4">
      <w:pPr>
        <w:spacing w:after="0" w:line="240" w:lineRule="auto"/>
        <w:ind w:left="567"/>
        <w:rPr>
          <w:rFonts w:cstheme="minorHAnsi"/>
          <w:color w:val="0070C0"/>
          <w:lang w:val="fr-BE"/>
        </w:rPr>
      </w:pPr>
    </w:p>
    <w:p w14:paraId="6BD537CB" w14:textId="0AC4AD44" w:rsidR="009D04CB" w:rsidRPr="007B013A" w:rsidRDefault="00E508DF" w:rsidP="00ED16C4">
      <w:pPr>
        <w:spacing w:after="0" w:line="240" w:lineRule="auto"/>
        <w:ind w:left="567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F1749E" w:rsidRPr="007B013A">
        <w:rPr>
          <w:color w:val="0070C0"/>
          <w:lang w:val="fr-BE"/>
        </w:rPr>
        <w:t xml:space="preserve">Non, ce n’est pas autorisé. Il est nécessaire de compléter </w:t>
      </w:r>
      <w:r w:rsidR="00E507D0" w:rsidRPr="007B013A">
        <w:rPr>
          <w:color w:val="0070C0"/>
          <w:lang w:val="fr-BE"/>
        </w:rPr>
        <w:t xml:space="preserve">tous </w:t>
      </w:r>
      <w:r w:rsidR="00F1749E" w:rsidRPr="007B013A">
        <w:rPr>
          <w:color w:val="0070C0"/>
          <w:lang w:val="fr-BE"/>
        </w:rPr>
        <w:t>les champs concernant la prescription</w:t>
      </w:r>
      <w:r w:rsidR="001F25ED" w:rsidRPr="007B013A">
        <w:rPr>
          <w:color w:val="0070C0"/>
          <w:lang w:val="fr-BE"/>
        </w:rPr>
        <w:t>, tant pour la première délivrance que pour les délivrances suivantes</w:t>
      </w:r>
      <w:r w:rsidR="00F1749E" w:rsidRPr="007B013A">
        <w:rPr>
          <w:color w:val="0070C0"/>
          <w:lang w:val="fr-BE"/>
        </w:rPr>
        <w:t>.</w:t>
      </w:r>
    </w:p>
    <w:p w14:paraId="5105799B" w14:textId="77777777" w:rsidR="00F1749E" w:rsidRPr="007B013A" w:rsidRDefault="00F1749E" w:rsidP="00ED16C4">
      <w:pPr>
        <w:spacing w:after="0" w:line="240" w:lineRule="auto"/>
        <w:ind w:left="567"/>
        <w:rPr>
          <w:color w:val="0070C0"/>
          <w:lang w:val="fr-BE"/>
        </w:rPr>
      </w:pPr>
    </w:p>
    <w:p w14:paraId="468AE60F" w14:textId="73BE6D7A" w:rsidR="00781B1C" w:rsidRPr="007B013A" w:rsidRDefault="00781B1C" w:rsidP="00A83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lang w:val="fr-BE"/>
        </w:rPr>
      </w:pPr>
      <w:r w:rsidRPr="007B013A">
        <w:rPr>
          <w:b/>
          <w:bCs/>
          <w:color w:val="000000" w:themeColor="text1"/>
          <w:lang w:val="fr-BE"/>
        </w:rPr>
        <w:t>Quelle annexe doit-être complétée lors de la délivrance d’un set d’irrigation ?</w:t>
      </w:r>
    </w:p>
    <w:p w14:paraId="72F00450" w14:textId="77777777" w:rsidR="00ED16C4" w:rsidRPr="007B013A" w:rsidRDefault="00ED16C4" w:rsidP="00ED16C4">
      <w:pPr>
        <w:spacing w:after="0" w:line="240" w:lineRule="auto"/>
        <w:ind w:left="567"/>
        <w:jc w:val="both"/>
        <w:rPr>
          <w:rFonts w:cstheme="minorHAnsi"/>
          <w:color w:val="0070C0"/>
          <w:lang w:val="fr-BE"/>
        </w:rPr>
      </w:pPr>
    </w:p>
    <w:p w14:paraId="6B7ACEDD" w14:textId="64615AE0" w:rsidR="00781B1C" w:rsidRDefault="00ED16C4" w:rsidP="00ED16C4">
      <w:pPr>
        <w:spacing w:after="0" w:line="240" w:lineRule="auto"/>
        <w:ind w:left="567"/>
        <w:jc w:val="both"/>
        <w:rPr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>→</w:t>
      </w:r>
      <w:r w:rsidRPr="007B013A">
        <w:rPr>
          <w:color w:val="0070C0"/>
          <w:lang w:val="fr-BE"/>
        </w:rPr>
        <w:t xml:space="preserve"> </w:t>
      </w:r>
      <w:r w:rsidR="00781B1C" w:rsidRPr="007B013A">
        <w:rPr>
          <w:color w:val="0070C0"/>
          <w:lang w:val="fr-BE"/>
        </w:rPr>
        <w:t xml:space="preserve">Le set d’irrigation </w:t>
      </w:r>
      <w:r w:rsidR="00BF42A9">
        <w:rPr>
          <w:color w:val="0070C0"/>
          <w:lang w:val="fr-BE"/>
        </w:rPr>
        <w:t>(</w:t>
      </w:r>
      <w:r w:rsidR="00BF42A9" w:rsidRPr="00BF42A9">
        <w:rPr>
          <w:color w:val="0070C0"/>
          <w:lang w:val="fr-BE"/>
        </w:rPr>
        <w:t>656073</w:t>
      </w:r>
      <w:r w:rsidR="00BF42A9">
        <w:rPr>
          <w:color w:val="0070C0"/>
          <w:lang w:val="fr-BE"/>
        </w:rPr>
        <w:t xml:space="preserve">) </w:t>
      </w:r>
      <w:r w:rsidR="00781B1C" w:rsidRPr="007B013A">
        <w:rPr>
          <w:color w:val="0070C0"/>
          <w:lang w:val="fr-BE"/>
        </w:rPr>
        <w:t xml:space="preserve">est une prestation </w:t>
      </w:r>
      <w:r w:rsidR="009D04CB" w:rsidRPr="007B013A">
        <w:rPr>
          <w:color w:val="0070C0"/>
          <w:lang w:val="fr-BE"/>
        </w:rPr>
        <w:t>classique qui doit être attestée sur l’annexe 13.</w:t>
      </w:r>
    </w:p>
    <w:p w14:paraId="556876C0" w14:textId="77777777" w:rsidR="00194620" w:rsidRDefault="00194620" w:rsidP="00194620">
      <w:pPr>
        <w:ind w:left="567"/>
        <w:jc w:val="both"/>
        <w:rPr>
          <w:color w:val="0070C0"/>
          <w:lang w:val="fr-BE"/>
        </w:rPr>
      </w:pPr>
      <w:r>
        <w:rPr>
          <w:color w:val="0070C0"/>
          <w:highlight w:val="yellow"/>
          <w:lang w:val="fr-BE"/>
        </w:rPr>
        <w:t xml:space="preserve">Si un patient souhaite du </w:t>
      </w:r>
      <w:r w:rsidRPr="00194620">
        <w:rPr>
          <w:color w:val="0070C0"/>
          <w:highlight w:val="yellow"/>
          <w:lang w:val="fr-BE"/>
        </w:rPr>
        <w:t>matériel d’irrigation supplémentaire</w:t>
      </w:r>
      <w:r>
        <w:rPr>
          <w:color w:val="0070C0"/>
          <w:highlight w:val="yellow"/>
          <w:lang w:val="fr-BE"/>
        </w:rPr>
        <w:t>, cela est possible mais doit être attesté via l'annexe 13</w:t>
      </w:r>
      <w:r>
        <w:rPr>
          <w:i/>
          <w:iCs/>
          <w:color w:val="0070C0"/>
          <w:highlight w:val="yellow"/>
          <w:lang w:val="fr-BE"/>
        </w:rPr>
        <w:t>ter</w:t>
      </w:r>
      <w:r>
        <w:rPr>
          <w:color w:val="0070C0"/>
          <w:highlight w:val="yellow"/>
          <w:lang w:val="fr-BE"/>
        </w:rPr>
        <w:t>.</w:t>
      </w:r>
    </w:p>
    <w:p w14:paraId="486FC265" w14:textId="072AE57F" w:rsidR="00E47312" w:rsidRPr="007B013A" w:rsidRDefault="00E47312" w:rsidP="00E473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color w:val="000000" w:themeColor="text1"/>
          <w:lang w:val="fr-BE"/>
        </w:rPr>
      </w:pPr>
      <w:r w:rsidRPr="007B013A">
        <w:rPr>
          <w:b/>
          <w:bCs/>
          <w:color w:val="000000" w:themeColor="text1"/>
          <w:lang w:val="fr-BE"/>
        </w:rPr>
        <w:t>Qu’entend-on par autre stomie ?</w:t>
      </w:r>
    </w:p>
    <w:p w14:paraId="13B2EF03" w14:textId="04452504" w:rsidR="00E47312" w:rsidRPr="007B013A" w:rsidRDefault="00E47312" w:rsidP="00E67856">
      <w:pPr>
        <w:spacing w:after="0" w:line="240" w:lineRule="auto"/>
        <w:ind w:left="567"/>
        <w:jc w:val="both"/>
        <w:rPr>
          <w:color w:val="0070C0"/>
          <w:lang w:val="fr-BE"/>
        </w:rPr>
      </w:pPr>
    </w:p>
    <w:p w14:paraId="1A84DF13" w14:textId="28FBBB37" w:rsidR="00E47312" w:rsidRPr="007B013A" w:rsidRDefault="00E96724" w:rsidP="00E96724">
      <w:pPr>
        <w:spacing w:after="0" w:line="240" w:lineRule="auto"/>
        <w:ind w:left="567"/>
        <w:jc w:val="both"/>
        <w:rPr>
          <w:rFonts w:cstheme="minorHAnsi"/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 xml:space="preserve">→ </w:t>
      </w:r>
      <w:r w:rsidR="00E47312" w:rsidRPr="007B013A">
        <w:rPr>
          <w:rFonts w:cstheme="minorHAnsi"/>
          <w:color w:val="0070C0"/>
          <w:lang w:val="fr-BE"/>
        </w:rPr>
        <w:t>Stomie digestive: œsophagostomie, appendicostomie (</w:t>
      </w:r>
      <w:proofErr w:type="spellStart"/>
      <w:r w:rsidR="00E47312" w:rsidRPr="007B013A">
        <w:rPr>
          <w:rFonts w:cstheme="minorHAnsi"/>
          <w:color w:val="0070C0"/>
          <w:lang w:val="fr-BE"/>
        </w:rPr>
        <w:t>malone</w:t>
      </w:r>
      <w:proofErr w:type="spellEnd"/>
      <w:r w:rsidR="00E47312" w:rsidRPr="007B013A">
        <w:rPr>
          <w:rFonts w:cstheme="minorHAnsi"/>
          <w:color w:val="0070C0"/>
          <w:lang w:val="fr-BE"/>
        </w:rPr>
        <w:t xml:space="preserve">), gastrostomie, jéjunostomie, stomie grêle court, </w:t>
      </w:r>
      <w:proofErr w:type="spellStart"/>
      <w:r w:rsidRPr="007B013A">
        <w:rPr>
          <w:rFonts w:cstheme="minorHAnsi"/>
          <w:color w:val="0070C0"/>
          <w:lang w:val="fr-BE"/>
        </w:rPr>
        <w:t>ca</w:t>
      </w:r>
      <w:r w:rsidR="00E67856" w:rsidRPr="007B013A">
        <w:rPr>
          <w:rFonts w:cstheme="minorHAnsi"/>
          <w:color w:val="0070C0"/>
          <w:lang w:val="fr-BE"/>
        </w:rPr>
        <w:t>e</w:t>
      </w:r>
      <w:r w:rsidRPr="007B013A">
        <w:rPr>
          <w:rFonts w:cstheme="minorHAnsi"/>
          <w:color w:val="0070C0"/>
          <w:lang w:val="fr-BE"/>
        </w:rPr>
        <w:t>costomie</w:t>
      </w:r>
      <w:proofErr w:type="spellEnd"/>
      <w:r w:rsidRPr="007B013A">
        <w:rPr>
          <w:rFonts w:cstheme="minorHAnsi"/>
          <w:color w:val="0070C0"/>
          <w:lang w:val="fr-BE"/>
        </w:rPr>
        <w:t>.</w:t>
      </w:r>
    </w:p>
    <w:p w14:paraId="766EAA0D" w14:textId="50F5FFF6" w:rsidR="00E47312" w:rsidRPr="00E96724" w:rsidRDefault="00FD35D8" w:rsidP="00E96724">
      <w:pPr>
        <w:spacing w:after="0" w:line="240" w:lineRule="auto"/>
        <w:ind w:left="567"/>
        <w:jc w:val="both"/>
        <w:rPr>
          <w:rFonts w:cstheme="minorHAnsi"/>
          <w:color w:val="0070C0"/>
          <w:lang w:val="fr-BE"/>
        </w:rPr>
      </w:pPr>
      <w:r w:rsidRPr="007B013A">
        <w:rPr>
          <w:rFonts w:cstheme="minorHAnsi"/>
          <w:color w:val="0070C0"/>
          <w:lang w:val="fr-BE"/>
        </w:rPr>
        <w:t xml:space="preserve">→ </w:t>
      </w:r>
      <w:r w:rsidR="00E47312" w:rsidRPr="007B013A">
        <w:rPr>
          <w:rFonts w:cstheme="minorHAnsi"/>
          <w:color w:val="0070C0"/>
          <w:lang w:val="fr-BE"/>
        </w:rPr>
        <w:t>Stomie urinaire: néphrostomie, cathétérisme sus-pubien</w:t>
      </w:r>
      <w:r w:rsidR="00E96724" w:rsidRPr="007B013A">
        <w:rPr>
          <w:rFonts w:cstheme="minorHAnsi"/>
          <w:color w:val="0070C0"/>
          <w:lang w:val="fr-BE"/>
        </w:rPr>
        <w:t>.</w:t>
      </w:r>
    </w:p>
    <w:p w14:paraId="2991179D" w14:textId="77777777" w:rsidR="00E67856" w:rsidRPr="00E47312" w:rsidRDefault="00E67856" w:rsidP="00CA1624">
      <w:pPr>
        <w:spacing w:after="0" w:line="240" w:lineRule="auto"/>
        <w:ind w:left="567"/>
        <w:jc w:val="both"/>
        <w:rPr>
          <w:color w:val="0070C0"/>
          <w:lang w:val="fr-BE"/>
        </w:rPr>
      </w:pPr>
    </w:p>
    <w:sectPr w:rsidR="00E67856" w:rsidRPr="00E4731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E8D0D" w14:textId="77777777" w:rsidR="00875787" w:rsidRDefault="00875787" w:rsidP="00875787">
      <w:pPr>
        <w:spacing w:after="0" w:line="240" w:lineRule="auto"/>
      </w:pPr>
      <w:r>
        <w:separator/>
      </w:r>
    </w:p>
  </w:endnote>
  <w:endnote w:type="continuationSeparator" w:id="0">
    <w:p w14:paraId="44EDC344" w14:textId="77777777" w:rsidR="00875787" w:rsidRDefault="00875787" w:rsidP="0087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F909" w14:textId="77777777" w:rsidR="00875787" w:rsidRDefault="00875787" w:rsidP="00875787">
      <w:pPr>
        <w:spacing w:after="0" w:line="240" w:lineRule="auto"/>
      </w:pPr>
      <w:r>
        <w:separator/>
      </w:r>
    </w:p>
  </w:footnote>
  <w:footnote w:type="continuationSeparator" w:id="0">
    <w:p w14:paraId="40B59CD0" w14:textId="77777777" w:rsidR="00875787" w:rsidRDefault="00875787" w:rsidP="0087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5101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1A9B3A" w14:textId="427C85C4" w:rsidR="00E67856" w:rsidRDefault="00E6785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CFC3A" w14:textId="77777777" w:rsidR="00E67856" w:rsidRDefault="00E67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DA8"/>
    <w:multiLevelType w:val="hybridMultilevel"/>
    <w:tmpl w:val="0BF06294"/>
    <w:lvl w:ilvl="0" w:tplc="4776D3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4D4"/>
    <w:multiLevelType w:val="hybridMultilevel"/>
    <w:tmpl w:val="AE6C16AA"/>
    <w:lvl w:ilvl="0" w:tplc="5CFA59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7034"/>
    <w:multiLevelType w:val="hybridMultilevel"/>
    <w:tmpl w:val="4F2CC55A"/>
    <w:lvl w:ilvl="0" w:tplc="39F6DED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B02BA"/>
    <w:multiLevelType w:val="hybridMultilevel"/>
    <w:tmpl w:val="7C703838"/>
    <w:lvl w:ilvl="0" w:tplc="60BCA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15620"/>
    <w:multiLevelType w:val="hybridMultilevel"/>
    <w:tmpl w:val="B64863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F1B8F"/>
    <w:multiLevelType w:val="hybridMultilevel"/>
    <w:tmpl w:val="15BE64C4"/>
    <w:lvl w:ilvl="0" w:tplc="4776D3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6C71"/>
    <w:multiLevelType w:val="hybridMultilevel"/>
    <w:tmpl w:val="492454E2"/>
    <w:lvl w:ilvl="0" w:tplc="4776D3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47315"/>
    <w:multiLevelType w:val="hybridMultilevel"/>
    <w:tmpl w:val="1CEE2BD6"/>
    <w:lvl w:ilvl="0" w:tplc="4776D3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B7DD9"/>
    <w:multiLevelType w:val="hybridMultilevel"/>
    <w:tmpl w:val="B87622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99161">
    <w:abstractNumId w:val="4"/>
  </w:num>
  <w:num w:numId="2" w16cid:durableId="271985154">
    <w:abstractNumId w:val="7"/>
  </w:num>
  <w:num w:numId="3" w16cid:durableId="632951125">
    <w:abstractNumId w:val="8"/>
  </w:num>
  <w:num w:numId="4" w16cid:durableId="1345938090">
    <w:abstractNumId w:val="6"/>
  </w:num>
  <w:num w:numId="5" w16cid:durableId="468208926">
    <w:abstractNumId w:val="5"/>
  </w:num>
  <w:num w:numId="6" w16cid:durableId="2126193906">
    <w:abstractNumId w:val="0"/>
  </w:num>
  <w:num w:numId="7" w16cid:durableId="1692216309">
    <w:abstractNumId w:val="2"/>
  </w:num>
  <w:num w:numId="8" w16cid:durableId="2113043720">
    <w:abstractNumId w:val="3"/>
  </w:num>
  <w:num w:numId="9" w16cid:durableId="207554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2A"/>
    <w:rsid w:val="000168A7"/>
    <w:rsid w:val="000170F5"/>
    <w:rsid w:val="0002127D"/>
    <w:rsid w:val="00026DB8"/>
    <w:rsid w:val="0004424A"/>
    <w:rsid w:val="00067BA0"/>
    <w:rsid w:val="00097B2D"/>
    <w:rsid w:val="000C4A5A"/>
    <w:rsid w:val="00115B3E"/>
    <w:rsid w:val="00121024"/>
    <w:rsid w:val="00137639"/>
    <w:rsid w:val="00142928"/>
    <w:rsid w:val="0014403D"/>
    <w:rsid w:val="00145F64"/>
    <w:rsid w:val="00145F8B"/>
    <w:rsid w:val="00177D9C"/>
    <w:rsid w:val="0018778E"/>
    <w:rsid w:val="00194620"/>
    <w:rsid w:val="001965C7"/>
    <w:rsid w:val="001A0113"/>
    <w:rsid w:val="001A16B8"/>
    <w:rsid w:val="001B0375"/>
    <w:rsid w:val="001C22AA"/>
    <w:rsid w:val="001D38C4"/>
    <w:rsid w:val="001F25ED"/>
    <w:rsid w:val="0021060D"/>
    <w:rsid w:val="00232579"/>
    <w:rsid w:val="00252CB2"/>
    <w:rsid w:val="00274BCB"/>
    <w:rsid w:val="00277C07"/>
    <w:rsid w:val="00280A28"/>
    <w:rsid w:val="00285FCB"/>
    <w:rsid w:val="002A3A5D"/>
    <w:rsid w:val="002B71AC"/>
    <w:rsid w:val="002C54E0"/>
    <w:rsid w:val="002F3561"/>
    <w:rsid w:val="002F713D"/>
    <w:rsid w:val="00317C62"/>
    <w:rsid w:val="00325907"/>
    <w:rsid w:val="00340978"/>
    <w:rsid w:val="003469CA"/>
    <w:rsid w:val="00372515"/>
    <w:rsid w:val="00390096"/>
    <w:rsid w:val="003D7656"/>
    <w:rsid w:val="003E5D11"/>
    <w:rsid w:val="003F753D"/>
    <w:rsid w:val="004159A4"/>
    <w:rsid w:val="0043091E"/>
    <w:rsid w:val="0044441F"/>
    <w:rsid w:val="00444A96"/>
    <w:rsid w:val="00474FBB"/>
    <w:rsid w:val="004F4011"/>
    <w:rsid w:val="004F6D06"/>
    <w:rsid w:val="0050117F"/>
    <w:rsid w:val="0053618E"/>
    <w:rsid w:val="00540A0C"/>
    <w:rsid w:val="00553129"/>
    <w:rsid w:val="00554447"/>
    <w:rsid w:val="00560E21"/>
    <w:rsid w:val="00582F57"/>
    <w:rsid w:val="00590016"/>
    <w:rsid w:val="005A03B0"/>
    <w:rsid w:val="005A3DCB"/>
    <w:rsid w:val="005A68D4"/>
    <w:rsid w:val="005C359E"/>
    <w:rsid w:val="005E7BC9"/>
    <w:rsid w:val="00607E30"/>
    <w:rsid w:val="00644450"/>
    <w:rsid w:val="00653595"/>
    <w:rsid w:val="0066025A"/>
    <w:rsid w:val="00662DEC"/>
    <w:rsid w:val="00691945"/>
    <w:rsid w:val="006958EF"/>
    <w:rsid w:val="0069775D"/>
    <w:rsid w:val="006977B1"/>
    <w:rsid w:val="006A33B0"/>
    <w:rsid w:val="00703F4A"/>
    <w:rsid w:val="00720226"/>
    <w:rsid w:val="00732647"/>
    <w:rsid w:val="00741C4E"/>
    <w:rsid w:val="00772D76"/>
    <w:rsid w:val="00773549"/>
    <w:rsid w:val="00781B1C"/>
    <w:rsid w:val="00787232"/>
    <w:rsid w:val="007A0740"/>
    <w:rsid w:val="007B013A"/>
    <w:rsid w:val="007C3A4D"/>
    <w:rsid w:val="007D5D22"/>
    <w:rsid w:val="00841348"/>
    <w:rsid w:val="008621B9"/>
    <w:rsid w:val="00875787"/>
    <w:rsid w:val="008815B5"/>
    <w:rsid w:val="00886E93"/>
    <w:rsid w:val="00886EE8"/>
    <w:rsid w:val="008A3F6A"/>
    <w:rsid w:val="008B7671"/>
    <w:rsid w:val="008E1474"/>
    <w:rsid w:val="008E681E"/>
    <w:rsid w:val="008F0058"/>
    <w:rsid w:val="00911C2B"/>
    <w:rsid w:val="009174E0"/>
    <w:rsid w:val="009223BD"/>
    <w:rsid w:val="0092269D"/>
    <w:rsid w:val="00930120"/>
    <w:rsid w:val="00952082"/>
    <w:rsid w:val="00994A78"/>
    <w:rsid w:val="009A7BFF"/>
    <w:rsid w:val="009C5054"/>
    <w:rsid w:val="009C5F4C"/>
    <w:rsid w:val="009D04CB"/>
    <w:rsid w:val="009D38F5"/>
    <w:rsid w:val="009E7300"/>
    <w:rsid w:val="009E7B7D"/>
    <w:rsid w:val="009F537E"/>
    <w:rsid w:val="00A05A31"/>
    <w:rsid w:val="00A1778B"/>
    <w:rsid w:val="00A251F6"/>
    <w:rsid w:val="00A31A3D"/>
    <w:rsid w:val="00A46D57"/>
    <w:rsid w:val="00A6117D"/>
    <w:rsid w:val="00A83EA3"/>
    <w:rsid w:val="00A87082"/>
    <w:rsid w:val="00AB684F"/>
    <w:rsid w:val="00AB721A"/>
    <w:rsid w:val="00AD7E2A"/>
    <w:rsid w:val="00AF6CA4"/>
    <w:rsid w:val="00B154B4"/>
    <w:rsid w:val="00B27242"/>
    <w:rsid w:val="00B64933"/>
    <w:rsid w:val="00B75AAE"/>
    <w:rsid w:val="00B77074"/>
    <w:rsid w:val="00B77ADE"/>
    <w:rsid w:val="00BA65F1"/>
    <w:rsid w:val="00BA77EF"/>
    <w:rsid w:val="00BB3820"/>
    <w:rsid w:val="00BC71E8"/>
    <w:rsid w:val="00BD4ED8"/>
    <w:rsid w:val="00BF42A9"/>
    <w:rsid w:val="00C41849"/>
    <w:rsid w:val="00C462D4"/>
    <w:rsid w:val="00C55473"/>
    <w:rsid w:val="00C622D2"/>
    <w:rsid w:val="00C810D1"/>
    <w:rsid w:val="00C93425"/>
    <w:rsid w:val="00CA1624"/>
    <w:rsid w:val="00CC0961"/>
    <w:rsid w:val="00CD6A82"/>
    <w:rsid w:val="00CF4AB5"/>
    <w:rsid w:val="00CF7A2E"/>
    <w:rsid w:val="00D27D70"/>
    <w:rsid w:val="00D353C0"/>
    <w:rsid w:val="00D60E57"/>
    <w:rsid w:val="00D772F0"/>
    <w:rsid w:val="00D82238"/>
    <w:rsid w:val="00D90B3D"/>
    <w:rsid w:val="00D9353A"/>
    <w:rsid w:val="00DA2D60"/>
    <w:rsid w:val="00DC5BF2"/>
    <w:rsid w:val="00DE6205"/>
    <w:rsid w:val="00DE77D9"/>
    <w:rsid w:val="00E123E4"/>
    <w:rsid w:val="00E47312"/>
    <w:rsid w:val="00E507D0"/>
    <w:rsid w:val="00E508DF"/>
    <w:rsid w:val="00E67856"/>
    <w:rsid w:val="00E73042"/>
    <w:rsid w:val="00E96724"/>
    <w:rsid w:val="00EB1BF2"/>
    <w:rsid w:val="00ED16C4"/>
    <w:rsid w:val="00F0255D"/>
    <w:rsid w:val="00F1749E"/>
    <w:rsid w:val="00F17519"/>
    <w:rsid w:val="00F35E84"/>
    <w:rsid w:val="00F64ACB"/>
    <w:rsid w:val="00F65409"/>
    <w:rsid w:val="00F72F0A"/>
    <w:rsid w:val="00F76759"/>
    <w:rsid w:val="00F9473C"/>
    <w:rsid w:val="00FA1FD1"/>
    <w:rsid w:val="00FC461D"/>
    <w:rsid w:val="00FC6ABC"/>
    <w:rsid w:val="00FD35D8"/>
    <w:rsid w:val="00FD3663"/>
    <w:rsid w:val="00FE4C80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463C"/>
  <w15:chartTrackingRefBased/>
  <w15:docId w15:val="{CF4375B2-9E83-415D-B395-1CDA462F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E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1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B1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87"/>
  </w:style>
  <w:style w:type="paragraph" w:styleId="Footer">
    <w:name w:val="footer"/>
    <w:basedOn w:val="Normal"/>
    <w:link w:val="FooterChar"/>
    <w:uiPriority w:val="99"/>
    <w:unhideWhenUsed/>
    <w:rsid w:val="0087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Deheuy Nadine</dc:creator>
  <cp:keywords/>
  <dc:description/>
  <cp:lastModifiedBy>Nathalie De Rudder (RIZIV-INAMI)</cp:lastModifiedBy>
  <cp:revision>4</cp:revision>
  <dcterms:created xsi:type="dcterms:W3CDTF">2024-05-23T09:35:00Z</dcterms:created>
  <dcterms:modified xsi:type="dcterms:W3CDTF">2024-07-08T13:39:00Z</dcterms:modified>
</cp:coreProperties>
</file>