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5FC9" w14:textId="77777777" w:rsidR="002E72DD" w:rsidRPr="004D4433" w:rsidRDefault="004D4433" w:rsidP="004D4433">
      <w:pPr>
        <w:jc w:val="center"/>
        <w:rPr>
          <w:b/>
          <w:smallCaps/>
        </w:rPr>
      </w:pPr>
      <w:r w:rsidRPr="004D4433">
        <w:rPr>
          <w:b/>
          <w:smallCaps/>
        </w:rPr>
        <w:t>Annexe 15, de l’arrêté royal du 8 octobre 1981 sur l’accès au territoire, le séjour, l’établissement et l’éloignement des étrangers :</w:t>
      </w:r>
    </w:p>
    <w:p w14:paraId="7A289DA6" w14:textId="77777777" w:rsidR="004D4433" w:rsidRDefault="004D4433"/>
    <w:tbl>
      <w:tblPr>
        <w:tblStyle w:val="TableauGrille1Clair-Accentuation2"/>
        <w:tblW w:w="0" w:type="auto"/>
        <w:tblLook w:val="04A0" w:firstRow="1" w:lastRow="0" w:firstColumn="1" w:lastColumn="0" w:noHBand="0" w:noVBand="1"/>
      </w:tblPr>
      <w:tblGrid>
        <w:gridCol w:w="3397"/>
        <w:gridCol w:w="2835"/>
        <w:gridCol w:w="2694"/>
        <w:gridCol w:w="2269"/>
        <w:gridCol w:w="2799"/>
      </w:tblGrid>
      <w:tr w:rsidR="004D4433" w:rsidRPr="004D4433" w14:paraId="42563A31" w14:textId="77777777" w:rsidTr="00DC05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334DE46" w14:textId="77777777" w:rsidR="004D4433" w:rsidRPr="004D4433" w:rsidRDefault="004D4433" w:rsidP="004D4433">
            <w:pPr>
              <w:jc w:val="center"/>
              <w:rPr>
                <w:smallCaps/>
              </w:rPr>
            </w:pPr>
            <w:r w:rsidRPr="004D4433">
              <w:rPr>
                <w:smallCaps/>
              </w:rPr>
              <w:t>Hypothèses de délivrance</w:t>
            </w:r>
          </w:p>
        </w:tc>
        <w:tc>
          <w:tcPr>
            <w:tcW w:w="2835" w:type="dxa"/>
          </w:tcPr>
          <w:p w14:paraId="1E3FC560"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Durée de validité</w:t>
            </w:r>
          </w:p>
        </w:tc>
        <w:tc>
          <w:tcPr>
            <w:tcW w:w="2694" w:type="dxa"/>
          </w:tcPr>
          <w:p w14:paraId="0F83B239"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Prolongation</w:t>
            </w:r>
          </w:p>
        </w:tc>
        <w:tc>
          <w:tcPr>
            <w:tcW w:w="2269" w:type="dxa"/>
          </w:tcPr>
          <w:p w14:paraId="4A58DD9E"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Inscription dans le registre national</w:t>
            </w:r>
          </w:p>
        </w:tc>
        <w:tc>
          <w:tcPr>
            <w:tcW w:w="2799" w:type="dxa"/>
          </w:tcPr>
          <w:p w14:paraId="4E3AD6FB" w14:textId="77777777" w:rsidR="004D4433" w:rsidRPr="004D4433" w:rsidRDefault="004D4433" w:rsidP="004D4433">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Référence légale/réglementaire</w:t>
            </w:r>
          </w:p>
        </w:tc>
      </w:tr>
      <w:tr w:rsidR="004D4433" w:rsidRPr="004D4433" w14:paraId="76AAFDB0"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01034FEF" w14:textId="77777777" w:rsidR="004D4433" w:rsidRPr="004D4433" w:rsidRDefault="004F64AA" w:rsidP="004F64AA">
            <w:pPr>
              <w:jc w:val="both"/>
              <w:rPr>
                <w:b w:val="0"/>
              </w:rPr>
            </w:pPr>
            <w:r>
              <w:rPr>
                <w:b w:val="0"/>
              </w:rPr>
              <w:t>Introduction d’une demande d’établissement ou d’acquisition du statut de résident de longue durée et la carte A ou la carte B dont l’étranger est en possession arrive à échéance pendant le délai octroyé à l’Office des étrangers pour statuer sur ladite demande</w:t>
            </w:r>
          </w:p>
        </w:tc>
        <w:tc>
          <w:tcPr>
            <w:tcW w:w="2835" w:type="dxa"/>
          </w:tcPr>
          <w:p w14:paraId="771E270A"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Durée de validité au délai octroyé à l’Office des étrangers pour statue sur la demande restant à courir (durée de validité variable)</w:t>
            </w:r>
          </w:p>
        </w:tc>
        <w:tc>
          <w:tcPr>
            <w:tcW w:w="2694" w:type="dxa"/>
          </w:tcPr>
          <w:p w14:paraId="5ACC92B5"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Jusqu’à la délivrance de la nouvelle carte électronique</w:t>
            </w:r>
          </w:p>
        </w:tc>
        <w:tc>
          <w:tcPr>
            <w:tcW w:w="2269" w:type="dxa"/>
          </w:tcPr>
          <w:p w14:paraId="75251AAB"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Oui</w:t>
            </w:r>
          </w:p>
        </w:tc>
        <w:tc>
          <w:tcPr>
            <w:tcW w:w="2799" w:type="dxa"/>
          </w:tcPr>
          <w:p w14:paraId="2B7D080F" w14:textId="77777777"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Article 30, de l’arrêté royal du 8 octobre 1981</w:t>
            </w:r>
          </w:p>
        </w:tc>
      </w:tr>
      <w:tr w:rsidR="004D4433" w:rsidRPr="004D4433" w14:paraId="2CEEC394"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18D34BC4" w14:textId="77777777" w:rsidR="004D4433" w:rsidRPr="004D4433" w:rsidRDefault="004F64AA" w:rsidP="004F64AA">
            <w:pPr>
              <w:jc w:val="both"/>
              <w:rPr>
                <w:b w:val="0"/>
              </w:rPr>
            </w:pPr>
            <w:r>
              <w:rPr>
                <w:b w:val="0"/>
              </w:rPr>
              <w:t>Introduction d’une demande de renouvellement de la carte électronique et échéance de ladite carte avant son renouvellement</w:t>
            </w:r>
          </w:p>
        </w:tc>
        <w:tc>
          <w:tcPr>
            <w:tcW w:w="2835" w:type="dxa"/>
          </w:tcPr>
          <w:p w14:paraId="7D0E575F"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45 jours</w:t>
            </w:r>
          </w:p>
        </w:tc>
        <w:tc>
          <w:tcPr>
            <w:tcW w:w="2694" w:type="dxa"/>
          </w:tcPr>
          <w:p w14:paraId="2A3AC80E"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2 x 45 jours</w:t>
            </w:r>
          </w:p>
        </w:tc>
        <w:tc>
          <w:tcPr>
            <w:tcW w:w="2269" w:type="dxa"/>
          </w:tcPr>
          <w:p w14:paraId="2C199455"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Oui</w:t>
            </w:r>
          </w:p>
        </w:tc>
        <w:tc>
          <w:tcPr>
            <w:tcW w:w="2799" w:type="dxa"/>
          </w:tcPr>
          <w:p w14:paraId="6C5C5326" w14:textId="77777777"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Article</w:t>
            </w:r>
            <w:r w:rsidR="003514A4">
              <w:t>s</w:t>
            </w:r>
            <w:r>
              <w:t xml:space="preserve"> 33</w:t>
            </w:r>
            <w:r w:rsidR="003514A4">
              <w:t xml:space="preserve"> et 101</w:t>
            </w:r>
            <w:r>
              <w:t>, de l’arrêté royal du 8 octobre 1981</w:t>
            </w:r>
          </w:p>
        </w:tc>
      </w:tr>
      <w:tr w:rsidR="004D4433" w:rsidRPr="004D4433" w14:paraId="3CB9702C"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5ED1D875" w14:textId="77777777" w:rsidR="004D4433" w:rsidRPr="004D4433" w:rsidRDefault="004F64AA" w:rsidP="004F64AA">
            <w:pPr>
              <w:jc w:val="both"/>
              <w:rPr>
                <w:b w:val="0"/>
              </w:rPr>
            </w:pPr>
            <w:r>
              <w:rPr>
                <w:b w:val="0"/>
              </w:rPr>
              <w:t>Etranger s’étant absenté du territoire du Royaume mais qui n’a pas pu revenir dans les délais prévus. Une annexe 15 est délivrée dans l’attente d’une décision de l’Office des étrangers replaçant ou non l’étranger dans sa situation de séjour antérieure (contexte du droit de retour).</w:t>
            </w:r>
          </w:p>
        </w:tc>
        <w:tc>
          <w:tcPr>
            <w:tcW w:w="2835" w:type="dxa"/>
          </w:tcPr>
          <w:p w14:paraId="3369FC96"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3 mois</w:t>
            </w:r>
          </w:p>
        </w:tc>
        <w:tc>
          <w:tcPr>
            <w:tcW w:w="2694" w:type="dxa"/>
          </w:tcPr>
          <w:p w14:paraId="040BD88B"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Pas de prolongation</w:t>
            </w:r>
          </w:p>
        </w:tc>
        <w:tc>
          <w:tcPr>
            <w:tcW w:w="2269" w:type="dxa"/>
          </w:tcPr>
          <w:p w14:paraId="557EFC00" w14:textId="77777777" w:rsidR="004D4433" w:rsidRPr="004D4433" w:rsidRDefault="004F64AA" w:rsidP="004F64AA">
            <w:pPr>
              <w:jc w:val="center"/>
              <w:cnfStyle w:val="000000000000" w:firstRow="0" w:lastRow="0" w:firstColumn="0" w:lastColumn="0" w:oddVBand="0" w:evenVBand="0" w:oddHBand="0" w:evenHBand="0" w:firstRowFirstColumn="0" w:firstRowLastColumn="0" w:lastRowFirstColumn="0" w:lastRowLastColumn="0"/>
            </w:pPr>
            <w:r>
              <w:t>Possible</w:t>
            </w:r>
          </w:p>
        </w:tc>
        <w:tc>
          <w:tcPr>
            <w:tcW w:w="2799" w:type="dxa"/>
          </w:tcPr>
          <w:p w14:paraId="03966BFD" w14:textId="77777777" w:rsidR="004D4433" w:rsidRPr="004D4433" w:rsidRDefault="004F64AA" w:rsidP="004F64AA">
            <w:pPr>
              <w:jc w:val="both"/>
              <w:cnfStyle w:val="000000000000" w:firstRow="0" w:lastRow="0" w:firstColumn="0" w:lastColumn="0" w:oddVBand="0" w:evenVBand="0" w:oddHBand="0" w:evenHBand="0" w:firstRowFirstColumn="0" w:firstRowLastColumn="0" w:lastRowFirstColumn="0" w:lastRowLastColumn="0"/>
            </w:pPr>
            <w:r>
              <w:t>Article 40, de l’arrêté royal du 8 octobre 1981</w:t>
            </w:r>
          </w:p>
        </w:tc>
      </w:tr>
      <w:tr w:rsidR="003514A4" w:rsidRPr="004D4433" w14:paraId="62828E7F"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311128B8" w14:textId="77777777" w:rsidR="003514A4" w:rsidRPr="004D4433" w:rsidRDefault="003514A4" w:rsidP="003514A4">
            <w:pPr>
              <w:jc w:val="both"/>
              <w:rPr>
                <w:b w:val="0"/>
              </w:rPr>
            </w:pPr>
            <w:r>
              <w:rPr>
                <w:b w:val="0"/>
              </w:rPr>
              <w:t>Introduction d’une demande de séjour permanent par un membre de la famille d’un citoyen de l’Union et la carte F dont il est en possession arrive à échéance pendant le délai octroyé à l’Office des étrangers pour statuer sur ladite demande</w:t>
            </w:r>
          </w:p>
        </w:tc>
        <w:tc>
          <w:tcPr>
            <w:tcW w:w="2835" w:type="dxa"/>
          </w:tcPr>
          <w:p w14:paraId="7A53E16C"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Durée de validité au délai octroyé à l’Office des étrangers pour statue sur la demande restant à courir (durée de validité variable)</w:t>
            </w:r>
          </w:p>
        </w:tc>
        <w:tc>
          <w:tcPr>
            <w:tcW w:w="2694" w:type="dxa"/>
          </w:tcPr>
          <w:p w14:paraId="7EFBF07B"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Jusqu’à la délivrance de la nouvelle carte électronique</w:t>
            </w:r>
          </w:p>
        </w:tc>
        <w:tc>
          <w:tcPr>
            <w:tcW w:w="2269" w:type="dxa"/>
          </w:tcPr>
          <w:p w14:paraId="22458F74" w14:textId="77777777" w:rsidR="003514A4" w:rsidRPr="004D4433" w:rsidRDefault="003514A4" w:rsidP="003514A4">
            <w:pPr>
              <w:jc w:val="center"/>
              <w:cnfStyle w:val="000000000000" w:firstRow="0" w:lastRow="0" w:firstColumn="0" w:lastColumn="0" w:oddVBand="0" w:evenVBand="0" w:oddHBand="0" w:evenHBand="0" w:firstRowFirstColumn="0" w:firstRowLastColumn="0" w:lastRowFirstColumn="0" w:lastRowLastColumn="0"/>
            </w:pPr>
            <w:r>
              <w:t>Oui</w:t>
            </w:r>
          </w:p>
        </w:tc>
        <w:tc>
          <w:tcPr>
            <w:tcW w:w="2799" w:type="dxa"/>
          </w:tcPr>
          <w:p w14:paraId="619D16DA" w14:textId="77777777" w:rsidR="003514A4" w:rsidRPr="004D4433" w:rsidRDefault="003514A4" w:rsidP="003514A4">
            <w:pPr>
              <w:jc w:val="both"/>
              <w:cnfStyle w:val="000000000000" w:firstRow="0" w:lastRow="0" w:firstColumn="0" w:lastColumn="0" w:oddVBand="0" w:evenVBand="0" w:oddHBand="0" w:evenHBand="0" w:firstRowFirstColumn="0" w:firstRowLastColumn="0" w:lastRowFirstColumn="0" w:lastRowLastColumn="0"/>
            </w:pPr>
            <w:r>
              <w:t>Article 56, de l’arrêté royal du 8 octobre 1981</w:t>
            </w:r>
          </w:p>
        </w:tc>
      </w:tr>
      <w:tr w:rsidR="00DC058F" w:rsidRPr="004D4433" w14:paraId="4E60D32B"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5CE1FECF" w14:textId="2E987261" w:rsidR="00DC058F" w:rsidRPr="003C0181" w:rsidRDefault="00DC058F" w:rsidP="003514A4">
            <w:pPr>
              <w:jc w:val="both"/>
              <w:rPr>
                <w:b w:val="0"/>
                <w:bCs w:val="0"/>
              </w:rPr>
            </w:pPr>
            <w:r w:rsidRPr="003C0181">
              <w:rPr>
                <w:b w:val="0"/>
                <w:bCs w:val="0"/>
              </w:rPr>
              <w:lastRenderedPageBreak/>
              <w:t xml:space="preserve">Recherche d’emploi ou création d’entreprise après études </w:t>
            </w:r>
          </w:p>
        </w:tc>
        <w:tc>
          <w:tcPr>
            <w:tcW w:w="2835" w:type="dxa"/>
          </w:tcPr>
          <w:p w14:paraId="64F92A95" w14:textId="200342F9" w:rsidR="00DC058F" w:rsidRPr="003C0181" w:rsidRDefault="00DC058F" w:rsidP="003514A4">
            <w:pPr>
              <w:jc w:val="center"/>
              <w:cnfStyle w:val="000000000000" w:firstRow="0" w:lastRow="0" w:firstColumn="0" w:lastColumn="0" w:oddVBand="0" w:evenVBand="0" w:oddHBand="0" w:evenHBand="0" w:firstRowFirstColumn="0" w:firstRowLastColumn="0" w:lastRowFirstColumn="0" w:lastRowLastColumn="0"/>
            </w:pPr>
            <w:r w:rsidRPr="003C0181">
              <w:t>45 jours</w:t>
            </w:r>
          </w:p>
        </w:tc>
        <w:tc>
          <w:tcPr>
            <w:tcW w:w="2694" w:type="dxa"/>
          </w:tcPr>
          <w:p w14:paraId="45E378BC" w14:textId="5CA55905" w:rsidR="00DC058F" w:rsidRPr="003C0181" w:rsidRDefault="00DC058F" w:rsidP="003514A4">
            <w:pPr>
              <w:jc w:val="center"/>
              <w:cnfStyle w:val="000000000000" w:firstRow="0" w:lastRow="0" w:firstColumn="0" w:lastColumn="0" w:oddVBand="0" w:evenVBand="0" w:oddHBand="0" w:evenHBand="0" w:firstRowFirstColumn="0" w:firstRowLastColumn="0" w:lastRowFirstColumn="0" w:lastRowLastColumn="0"/>
            </w:pPr>
            <w:r w:rsidRPr="003C0181">
              <w:t>2 x 45 jours</w:t>
            </w:r>
          </w:p>
        </w:tc>
        <w:tc>
          <w:tcPr>
            <w:tcW w:w="2269" w:type="dxa"/>
          </w:tcPr>
          <w:p w14:paraId="429B9FA2" w14:textId="459A6030" w:rsidR="00DC058F" w:rsidRPr="003C0181" w:rsidRDefault="00DC058F" w:rsidP="003514A4">
            <w:pPr>
              <w:jc w:val="center"/>
              <w:cnfStyle w:val="000000000000" w:firstRow="0" w:lastRow="0" w:firstColumn="0" w:lastColumn="0" w:oddVBand="0" w:evenVBand="0" w:oddHBand="0" w:evenHBand="0" w:firstRowFirstColumn="0" w:firstRowLastColumn="0" w:lastRowFirstColumn="0" w:lastRowLastColumn="0"/>
            </w:pPr>
            <w:r w:rsidRPr="003C0181">
              <w:t>Oui</w:t>
            </w:r>
          </w:p>
        </w:tc>
        <w:tc>
          <w:tcPr>
            <w:tcW w:w="2799" w:type="dxa"/>
          </w:tcPr>
          <w:p w14:paraId="6747F3CC" w14:textId="488B9204" w:rsidR="00DC058F" w:rsidRPr="003C0181" w:rsidRDefault="00DC058F" w:rsidP="003514A4">
            <w:pPr>
              <w:jc w:val="both"/>
              <w:cnfStyle w:val="000000000000" w:firstRow="0" w:lastRow="0" w:firstColumn="0" w:lastColumn="0" w:oddVBand="0" w:evenVBand="0" w:oddHBand="0" w:evenHBand="0" w:firstRowFirstColumn="0" w:firstRowLastColumn="0" w:lastRowFirstColumn="0" w:lastRowLastColumn="0"/>
            </w:pPr>
            <w:r w:rsidRPr="003C0181">
              <w:t>Article 104/5, de l’arrêté royale du 8 octobre 1981</w:t>
            </w:r>
          </w:p>
        </w:tc>
      </w:tr>
      <w:tr w:rsidR="00DC058F" w:rsidRPr="004D4433" w14:paraId="490A85B2"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41100498" w14:textId="5642D461" w:rsidR="00DC058F" w:rsidRPr="003C0181" w:rsidRDefault="00DC058F" w:rsidP="00DC058F">
            <w:pPr>
              <w:jc w:val="both"/>
              <w:rPr>
                <w:b w:val="0"/>
                <w:bCs w:val="0"/>
              </w:rPr>
            </w:pPr>
            <w:r w:rsidRPr="003C0181">
              <w:rPr>
                <w:b w:val="0"/>
                <w:bCs w:val="0"/>
              </w:rPr>
              <w:t>Recherche d’emploi ou création d’entreprise après recherches</w:t>
            </w:r>
          </w:p>
        </w:tc>
        <w:tc>
          <w:tcPr>
            <w:tcW w:w="2835" w:type="dxa"/>
          </w:tcPr>
          <w:p w14:paraId="1E8D24A5" w14:textId="1FACF141"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45 jours</w:t>
            </w:r>
          </w:p>
        </w:tc>
        <w:tc>
          <w:tcPr>
            <w:tcW w:w="2694" w:type="dxa"/>
          </w:tcPr>
          <w:p w14:paraId="27C39739" w14:textId="48B00522"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2 x 45 jours</w:t>
            </w:r>
          </w:p>
        </w:tc>
        <w:tc>
          <w:tcPr>
            <w:tcW w:w="2269" w:type="dxa"/>
          </w:tcPr>
          <w:p w14:paraId="158D31E9" w14:textId="23C1BDDF"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Oui</w:t>
            </w:r>
          </w:p>
        </w:tc>
        <w:tc>
          <w:tcPr>
            <w:tcW w:w="2799" w:type="dxa"/>
          </w:tcPr>
          <w:p w14:paraId="64C08711" w14:textId="309C4F20" w:rsidR="00DC058F" w:rsidRPr="003C0181" w:rsidRDefault="00DC058F" w:rsidP="00DC058F">
            <w:pPr>
              <w:jc w:val="both"/>
              <w:cnfStyle w:val="000000000000" w:firstRow="0" w:lastRow="0" w:firstColumn="0" w:lastColumn="0" w:oddVBand="0" w:evenVBand="0" w:oddHBand="0" w:evenHBand="0" w:firstRowFirstColumn="0" w:firstRowLastColumn="0" w:lastRowFirstColumn="0" w:lastRowLastColumn="0"/>
            </w:pPr>
            <w:r w:rsidRPr="003C0181">
              <w:t>Article 105/91, de l’arrêté royale du 8 octobre 1981</w:t>
            </w:r>
          </w:p>
        </w:tc>
      </w:tr>
      <w:tr w:rsidR="00DC058F" w:rsidRPr="004D4433" w14:paraId="241CFBC2"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45A18E28" w14:textId="77777777" w:rsidR="00DC058F" w:rsidRPr="003C0181" w:rsidRDefault="00DC058F" w:rsidP="00DC058F">
            <w:pPr>
              <w:jc w:val="both"/>
              <w:rPr>
                <w:b w:val="0"/>
              </w:rPr>
            </w:pPr>
            <w:r w:rsidRPr="003C0181">
              <w:rPr>
                <w:b w:val="0"/>
              </w:rPr>
              <w:t>Travailleurs frontaliers</w:t>
            </w:r>
          </w:p>
        </w:tc>
        <w:tc>
          <w:tcPr>
            <w:tcW w:w="2835" w:type="dxa"/>
          </w:tcPr>
          <w:p w14:paraId="61D75D36" w14:textId="77777777"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Identique à la durée de l’occupation de l’étranger comme travailleur frontalier (durée de validité variable)</w:t>
            </w:r>
          </w:p>
        </w:tc>
        <w:tc>
          <w:tcPr>
            <w:tcW w:w="2694" w:type="dxa"/>
          </w:tcPr>
          <w:p w14:paraId="1E1FC1CD" w14:textId="77777777"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Non</w:t>
            </w:r>
          </w:p>
        </w:tc>
        <w:tc>
          <w:tcPr>
            <w:tcW w:w="2269" w:type="dxa"/>
          </w:tcPr>
          <w:p w14:paraId="435A9F80" w14:textId="77777777"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Non</w:t>
            </w:r>
          </w:p>
        </w:tc>
        <w:tc>
          <w:tcPr>
            <w:tcW w:w="2799" w:type="dxa"/>
          </w:tcPr>
          <w:p w14:paraId="06A5DD07" w14:textId="77777777" w:rsidR="00DC058F" w:rsidRPr="003C0181" w:rsidRDefault="00DC058F" w:rsidP="00DC058F">
            <w:pPr>
              <w:jc w:val="both"/>
              <w:cnfStyle w:val="000000000000" w:firstRow="0" w:lastRow="0" w:firstColumn="0" w:lastColumn="0" w:oddVBand="0" w:evenVBand="0" w:oddHBand="0" w:evenHBand="0" w:firstRowFirstColumn="0" w:firstRowLastColumn="0" w:lastRowFirstColumn="0" w:lastRowLastColumn="0"/>
            </w:pPr>
            <w:r w:rsidRPr="003C0181">
              <w:t>Article 109, de l’arrêté royal du 8 octobre 1980</w:t>
            </w:r>
          </w:p>
        </w:tc>
      </w:tr>
      <w:tr w:rsidR="00DC058F" w:rsidRPr="004D4433" w14:paraId="5C3D1E65"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06F30D62" w14:textId="77777777" w:rsidR="00DC058F" w:rsidRPr="003C0181" w:rsidRDefault="00DC058F" w:rsidP="00DC058F">
            <w:pPr>
              <w:jc w:val="both"/>
              <w:rPr>
                <w:b w:val="0"/>
              </w:rPr>
            </w:pPr>
            <w:r w:rsidRPr="003C0181">
              <w:rPr>
                <w:b w:val="0"/>
              </w:rPr>
              <w:t>Procédure de séjour en qualité de victimes de la traite des êtres humains</w:t>
            </w:r>
          </w:p>
        </w:tc>
        <w:tc>
          <w:tcPr>
            <w:tcW w:w="2835" w:type="dxa"/>
          </w:tcPr>
          <w:p w14:paraId="35551C27" w14:textId="77777777"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45 jours</w:t>
            </w:r>
          </w:p>
        </w:tc>
        <w:tc>
          <w:tcPr>
            <w:tcW w:w="2694" w:type="dxa"/>
          </w:tcPr>
          <w:p w14:paraId="1D25DCD0" w14:textId="77777777"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Non</w:t>
            </w:r>
          </w:p>
        </w:tc>
        <w:tc>
          <w:tcPr>
            <w:tcW w:w="2269" w:type="dxa"/>
          </w:tcPr>
          <w:p w14:paraId="5094C678" w14:textId="77777777" w:rsidR="00DC058F" w:rsidRPr="003C0181" w:rsidRDefault="00DC058F" w:rsidP="00DC058F">
            <w:pPr>
              <w:jc w:val="center"/>
              <w:cnfStyle w:val="000000000000" w:firstRow="0" w:lastRow="0" w:firstColumn="0" w:lastColumn="0" w:oddVBand="0" w:evenVBand="0" w:oddHBand="0" w:evenHBand="0" w:firstRowFirstColumn="0" w:firstRowLastColumn="0" w:lastRowFirstColumn="0" w:lastRowLastColumn="0"/>
            </w:pPr>
            <w:r w:rsidRPr="003C0181">
              <w:t>Non</w:t>
            </w:r>
          </w:p>
        </w:tc>
        <w:tc>
          <w:tcPr>
            <w:tcW w:w="2799" w:type="dxa"/>
          </w:tcPr>
          <w:p w14:paraId="768EB831" w14:textId="77777777" w:rsidR="00DC058F" w:rsidRPr="003C0181" w:rsidRDefault="00DC058F" w:rsidP="00DC058F">
            <w:pPr>
              <w:jc w:val="both"/>
              <w:cnfStyle w:val="000000000000" w:firstRow="0" w:lastRow="0" w:firstColumn="0" w:lastColumn="0" w:oddVBand="0" w:evenVBand="0" w:oddHBand="0" w:evenHBand="0" w:firstRowFirstColumn="0" w:firstRowLastColumn="0" w:lastRowFirstColumn="0" w:lastRowLastColumn="0"/>
            </w:pPr>
            <w:r w:rsidRPr="003C0181">
              <w:t>Article 110</w:t>
            </w:r>
            <w:r w:rsidRPr="003C0181">
              <w:rPr>
                <w:i/>
              </w:rPr>
              <w:t>bis</w:t>
            </w:r>
            <w:r w:rsidRPr="003C0181">
              <w:t>, de l’arrêté royal du 8 octobre 1981</w:t>
            </w:r>
          </w:p>
        </w:tc>
      </w:tr>
      <w:tr w:rsidR="00DC058F" w:rsidRPr="004D4433" w14:paraId="2546240C"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2FC3E66E" w14:textId="77777777" w:rsidR="00DC058F" w:rsidRDefault="00DC058F" w:rsidP="00DC058F">
            <w:pPr>
              <w:jc w:val="both"/>
              <w:rPr>
                <w:b w:val="0"/>
              </w:rPr>
            </w:pPr>
            <w:r>
              <w:rPr>
                <w:b w:val="0"/>
              </w:rPr>
              <w:t>Impossibilité d’inscrire immédiatement un étranger pour autant que l’étranger dispose d’un droit à l’inscription</w:t>
            </w:r>
            <w:r>
              <w:rPr>
                <w:rStyle w:val="Appelnotedebasdep"/>
                <w:b w:val="0"/>
              </w:rPr>
              <w:footnoteReference w:id="1"/>
            </w:r>
          </w:p>
        </w:tc>
        <w:tc>
          <w:tcPr>
            <w:tcW w:w="2835" w:type="dxa"/>
          </w:tcPr>
          <w:p w14:paraId="096BC65B" w14:textId="77777777" w:rsidR="00DC058F" w:rsidRDefault="00DC058F" w:rsidP="00DC058F">
            <w:pPr>
              <w:jc w:val="center"/>
              <w:cnfStyle w:val="000000000000" w:firstRow="0" w:lastRow="0" w:firstColumn="0" w:lastColumn="0" w:oddVBand="0" w:evenVBand="0" w:oddHBand="0" w:evenHBand="0" w:firstRowFirstColumn="0" w:firstRowLastColumn="0" w:lastRowFirstColumn="0" w:lastRowLastColumn="0"/>
            </w:pPr>
            <w:r>
              <w:t>45 jours</w:t>
            </w:r>
          </w:p>
        </w:tc>
        <w:tc>
          <w:tcPr>
            <w:tcW w:w="2694" w:type="dxa"/>
          </w:tcPr>
          <w:p w14:paraId="06A553F9" w14:textId="77777777" w:rsidR="00DC058F" w:rsidRDefault="00DC058F" w:rsidP="00DC058F">
            <w:pPr>
              <w:jc w:val="center"/>
              <w:cnfStyle w:val="000000000000" w:firstRow="0" w:lastRow="0" w:firstColumn="0" w:lastColumn="0" w:oddVBand="0" w:evenVBand="0" w:oddHBand="0" w:evenHBand="0" w:firstRowFirstColumn="0" w:firstRowLastColumn="0" w:lastRowFirstColumn="0" w:lastRowLastColumn="0"/>
            </w:pPr>
            <w:r>
              <w:t>2 x 45 jours</w:t>
            </w:r>
          </w:p>
        </w:tc>
        <w:tc>
          <w:tcPr>
            <w:tcW w:w="2269" w:type="dxa"/>
          </w:tcPr>
          <w:p w14:paraId="0F9332CE" w14:textId="25613608" w:rsidR="00DC058F" w:rsidRDefault="00DC058F" w:rsidP="00DC058F">
            <w:pPr>
              <w:jc w:val="center"/>
              <w:cnfStyle w:val="000000000000" w:firstRow="0" w:lastRow="0" w:firstColumn="0" w:lastColumn="0" w:oddVBand="0" w:evenVBand="0" w:oddHBand="0" w:evenHBand="0" w:firstRowFirstColumn="0" w:firstRowLastColumn="0" w:lastRowFirstColumn="0" w:lastRowLastColumn="0"/>
            </w:pPr>
            <w:r>
              <w:t>Pas encore</w:t>
            </w:r>
          </w:p>
        </w:tc>
        <w:tc>
          <w:tcPr>
            <w:tcW w:w="2799" w:type="dxa"/>
          </w:tcPr>
          <w:p w14:paraId="1D10B6EB" w14:textId="77777777" w:rsidR="00DC058F" w:rsidRDefault="00DC058F" w:rsidP="00DC058F">
            <w:pPr>
              <w:jc w:val="both"/>
              <w:cnfStyle w:val="000000000000" w:firstRow="0" w:lastRow="0" w:firstColumn="0" w:lastColumn="0" w:oddVBand="0" w:evenVBand="0" w:oddHBand="0" w:evenHBand="0" w:firstRowFirstColumn="0" w:firstRowLastColumn="0" w:lastRowFirstColumn="0" w:lastRowLastColumn="0"/>
            </w:pPr>
            <w:r>
              <w:t>Article 119, de l’arrêté royal du 8 octobre 1981</w:t>
            </w:r>
          </w:p>
        </w:tc>
      </w:tr>
      <w:tr w:rsidR="00DC058F" w:rsidRPr="004D4433" w14:paraId="457905AD" w14:textId="77777777" w:rsidTr="00DC058F">
        <w:tc>
          <w:tcPr>
            <w:cnfStyle w:val="001000000000" w:firstRow="0" w:lastRow="0" w:firstColumn="1" w:lastColumn="0" w:oddVBand="0" w:evenVBand="0" w:oddHBand="0" w:evenHBand="0" w:firstRowFirstColumn="0" w:firstRowLastColumn="0" w:lastRowFirstColumn="0" w:lastRowLastColumn="0"/>
            <w:tcW w:w="3397" w:type="dxa"/>
          </w:tcPr>
          <w:p w14:paraId="0EE1AF90" w14:textId="77777777" w:rsidR="00DC058F" w:rsidRDefault="00DC058F" w:rsidP="00DC058F">
            <w:pPr>
              <w:jc w:val="both"/>
              <w:rPr>
                <w:b w:val="0"/>
              </w:rPr>
            </w:pPr>
            <w:r>
              <w:rPr>
                <w:b w:val="0"/>
              </w:rPr>
              <w:t>Impossibilité de délivrer immédiatement un titre ou un document de séjour à un étranger pour autant que l’étranger dispose d’un droit à l’obtention du titre ou du document de séjour</w:t>
            </w:r>
            <w:r>
              <w:rPr>
                <w:rStyle w:val="Appelnotedebasdep"/>
                <w:b w:val="0"/>
              </w:rPr>
              <w:footnoteReference w:id="2"/>
            </w:r>
          </w:p>
        </w:tc>
        <w:tc>
          <w:tcPr>
            <w:tcW w:w="2835" w:type="dxa"/>
          </w:tcPr>
          <w:p w14:paraId="0318DA91" w14:textId="77777777" w:rsidR="00DC058F" w:rsidRDefault="00DC058F" w:rsidP="00DC058F">
            <w:pPr>
              <w:jc w:val="center"/>
              <w:cnfStyle w:val="000000000000" w:firstRow="0" w:lastRow="0" w:firstColumn="0" w:lastColumn="0" w:oddVBand="0" w:evenVBand="0" w:oddHBand="0" w:evenHBand="0" w:firstRowFirstColumn="0" w:firstRowLastColumn="0" w:lastRowFirstColumn="0" w:lastRowLastColumn="0"/>
            </w:pPr>
            <w:r>
              <w:t>45 jours</w:t>
            </w:r>
          </w:p>
        </w:tc>
        <w:tc>
          <w:tcPr>
            <w:tcW w:w="2694" w:type="dxa"/>
          </w:tcPr>
          <w:p w14:paraId="6B85A971" w14:textId="77777777" w:rsidR="00DC058F" w:rsidRDefault="00DC058F" w:rsidP="00DC058F">
            <w:pPr>
              <w:jc w:val="center"/>
              <w:cnfStyle w:val="000000000000" w:firstRow="0" w:lastRow="0" w:firstColumn="0" w:lastColumn="0" w:oddVBand="0" w:evenVBand="0" w:oddHBand="0" w:evenHBand="0" w:firstRowFirstColumn="0" w:firstRowLastColumn="0" w:lastRowFirstColumn="0" w:lastRowLastColumn="0"/>
            </w:pPr>
            <w:r>
              <w:t>2 x 45 jours</w:t>
            </w:r>
          </w:p>
        </w:tc>
        <w:tc>
          <w:tcPr>
            <w:tcW w:w="2269" w:type="dxa"/>
          </w:tcPr>
          <w:p w14:paraId="01C239CF" w14:textId="77777777" w:rsidR="00DC058F" w:rsidRDefault="00DC058F" w:rsidP="00DC058F">
            <w:pPr>
              <w:jc w:val="center"/>
              <w:cnfStyle w:val="000000000000" w:firstRow="0" w:lastRow="0" w:firstColumn="0" w:lastColumn="0" w:oddVBand="0" w:evenVBand="0" w:oddHBand="0" w:evenHBand="0" w:firstRowFirstColumn="0" w:firstRowLastColumn="0" w:lastRowFirstColumn="0" w:lastRowLastColumn="0"/>
            </w:pPr>
            <w:r>
              <w:t>Possible</w:t>
            </w:r>
          </w:p>
        </w:tc>
        <w:tc>
          <w:tcPr>
            <w:tcW w:w="2799" w:type="dxa"/>
          </w:tcPr>
          <w:p w14:paraId="13307805" w14:textId="77777777" w:rsidR="00DC058F" w:rsidRDefault="00DC058F" w:rsidP="00DC058F">
            <w:pPr>
              <w:jc w:val="both"/>
              <w:cnfStyle w:val="000000000000" w:firstRow="0" w:lastRow="0" w:firstColumn="0" w:lastColumn="0" w:oddVBand="0" w:evenVBand="0" w:oddHBand="0" w:evenHBand="0" w:firstRowFirstColumn="0" w:firstRowLastColumn="0" w:lastRowFirstColumn="0" w:lastRowLastColumn="0"/>
            </w:pPr>
            <w:r>
              <w:t>Article 119, de l’arrêté royal du 8 octobre 1981</w:t>
            </w:r>
          </w:p>
        </w:tc>
      </w:tr>
    </w:tbl>
    <w:p w14:paraId="4EDB8E9F" w14:textId="77777777" w:rsidR="004D4433" w:rsidRDefault="004D4433"/>
    <w:p w14:paraId="57FB3C42" w14:textId="77777777" w:rsidR="004D4433" w:rsidRDefault="004D4433">
      <w:r>
        <w:br w:type="page"/>
      </w:r>
    </w:p>
    <w:p w14:paraId="5C43894A" w14:textId="77777777" w:rsidR="004D4433" w:rsidRPr="004D4433" w:rsidRDefault="004D4433" w:rsidP="004D4433">
      <w:pPr>
        <w:jc w:val="center"/>
        <w:rPr>
          <w:b/>
          <w:smallCaps/>
        </w:rPr>
      </w:pPr>
      <w:r>
        <w:rPr>
          <w:b/>
          <w:smallCaps/>
        </w:rPr>
        <w:lastRenderedPageBreak/>
        <w:t>Annexe 49</w:t>
      </w:r>
      <w:r w:rsidRPr="004D4433">
        <w:rPr>
          <w:b/>
          <w:smallCaps/>
        </w:rPr>
        <w:t>, de l’arrêté royal du 8 octobre 1981 sur l’accès au territoire, le séjour, l’établissement et l’éloignement des étrangers :</w:t>
      </w:r>
    </w:p>
    <w:p w14:paraId="25F6C981" w14:textId="77777777" w:rsidR="004D4433" w:rsidRDefault="004D4433" w:rsidP="004D4433"/>
    <w:tbl>
      <w:tblPr>
        <w:tblStyle w:val="TableauGrille1Clair-Accentuation2"/>
        <w:tblW w:w="0" w:type="auto"/>
        <w:tblLook w:val="04A0" w:firstRow="1" w:lastRow="0" w:firstColumn="1" w:lastColumn="0" w:noHBand="0" w:noVBand="1"/>
      </w:tblPr>
      <w:tblGrid>
        <w:gridCol w:w="2798"/>
        <w:gridCol w:w="2799"/>
        <w:gridCol w:w="2799"/>
        <w:gridCol w:w="2799"/>
        <w:gridCol w:w="2799"/>
      </w:tblGrid>
      <w:tr w:rsidR="004D4433" w:rsidRPr="004D4433" w14:paraId="17144017" w14:textId="77777777" w:rsidTr="00F72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tcPr>
          <w:p w14:paraId="079D29BE" w14:textId="77777777" w:rsidR="004D4433" w:rsidRPr="004D4433" w:rsidRDefault="004D4433" w:rsidP="00F724DF">
            <w:pPr>
              <w:jc w:val="center"/>
              <w:rPr>
                <w:smallCaps/>
              </w:rPr>
            </w:pPr>
            <w:r w:rsidRPr="004D4433">
              <w:rPr>
                <w:smallCaps/>
              </w:rPr>
              <w:t>Hypothèses de délivrance</w:t>
            </w:r>
          </w:p>
        </w:tc>
        <w:tc>
          <w:tcPr>
            <w:tcW w:w="2799" w:type="dxa"/>
          </w:tcPr>
          <w:p w14:paraId="33570344"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Durée de validité</w:t>
            </w:r>
          </w:p>
        </w:tc>
        <w:tc>
          <w:tcPr>
            <w:tcW w:w="2799" w:type="dxa"/>
          </w:tcPr>
          <w:p w14:paraId="2C2505BF"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Prolongation</w:t>
            </w:r>
          </w:p>
        </w:tc>
        <w:tc>
          <w:tcPr>
            <w:tcW w:w="2799" w:type="dxa"/>
          </w:tcPr>
          <w:p w14:paraId="235A3326"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Inscription dans le registre national</w:t>
            </w:r>
          </w:p>
        </w:tc>
        <w:tc>
          <w:tcPr>
            <w:tcW w:w="2799" w:type="dxa"/>
          </w:tcPr>
          <w:p w14:paraId="56690C93" w14:textId="77777777" w:rsidR="004D4433" w:rsidRPr="004D4433" w:rsidRDefault="004D4433" w:rsidP="00F724DF">
            <w:pPr>
              <w:jc w:val="center"/>
              <w:cnfStyle w:val="100000000000" w:firstRow="1" w:lastRow="0" w:firstColumn="0" w:lastColumn="0" w:oddVBand="0" w:evenVBand="0" w:oddHBand="0" w:evenHBand="0" w:firstRowFirstColumn="0" w:firstRowLastColumn="0" w:lastRowFirstColumn="0" w:lastRowLastColumn="0"/>
              <w:rPr>
                <w:smallCaps/>
              </w:rPr>
            </w:pPr>
            <w:r w:rsidRPr="004D4433">
              <w:rPr>
                <w:smallCaps/>
              </w:rPr>
              <w:t>Référence légale/réglementaire</w:t>
            </w:r>
          </w:p>
        </w:tc>
      </w:tr>
      <w:tr w:rsidR="004D4433" w:rsidRPr="004D4433" w14:paraId="602BF91D"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EEB8047" w14:textId="77777777" w:rsidR="004D4433" w:rsidRPr="004D4433" w:rsidRDefault="004D4433" w:rsidP="004D4433">
            <w:pPr>
              <w:jc w:val="both"/>
              <w:rPr>
                <w:rFonts w:cstheme="minorHAnsi"/>
                <w:b w:val="0"/>
                <w:sz w:val="20"/>
                <w:szCs w:val="20"/>
              </w:rPr>
            </w:pPr>
            <w:r w:rsidRPr="004D4433">
              <w:rPr>
                <w:rFonts w:cstheme="minorHAnsi"/>
                <w:b w:val="0"/>
                <w:sz w:val="20"/>
                <w:szCs w:val="20"/>
              </w:rPr>
              <w:t>Introduction d’une demande de renouvellement d’un permis unique et l’autorité régionale ou communautaire et le Ministre (ou l’Office des étrangers) n’ont pas pris de décision avant l’expiration du permis unique dont le renouvellement a été demandé</w:t>
            </w:r>
          </w:p>
        </w:tc>
        <w:tc>
          <w:tcPr>
            <w:tcW w:w="2799" w:type="dxa"/>
          </w:tcPr>
          <w:p w14:paraId="2BA52066"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jours</w:t>
            </w:r>
          </w:p>
        </w:tc>
        <w:tc>
          <w:tcPr>
            <w:tcW w:w="2799" w:type="dxa"/>
          </w:tcPr>
          <w:p w14:paraId="78D8C597"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30 jours</w:t>
            </w:r>
          </w:p>
        </w:tc>
        <w:tc>
          <w:tcPr>
            <w:tcW w:w="2799" w:type="dxa"/>
          </w:tcPr>
          <w:p w14:paraId="2F211835"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Oui</w:t>
            </w:r>
          </w:p>
        </w:tc>
        <w:tc>
          <w:tcPr>
            <w:tcW w:w="2799" w:type="dxa"/>
          </w:tcPr>
          <w:p w14:paraId="23AA87E4"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33, § 5, de l’arrêté royal du 8 octobre 1981</w:t>
            </w:r>
          </w:p>
        </w:tc>
      </w:tr>
      <w:tr w:rsidR="004D4433" w:rsidRPr="004D4433" w14:paraId="0D4C9175"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1200ABB9" w14:textId="77777777" w:rsidR="004D4433" w:rsidRPr="004D4433" w:rsidRDefault="004D4433" w:rsidP="004D4433">
            <w:pPr>
              <w:jc w:val="both"/>
              <w:rPr>
                <w:rFonts w:cstheme="minorHAnsi"/>
                <w:b w:val="0"/>
                <w:sz w:val="20"/>
                <w:szCs w:val="20"/>
              </w:rPr>
            </w:pPr>
            <w:r w:rsidRPr="004D4433">
              <w:rPr>
                <w:rFonts w:cstheme="minorHAnsi"/>
                <w:b w:val="0"/>
                <w:sz w:val="20"/>
                <w:szCs w:val="20"/>
              </w:rPr>
              <w:t>Introduction d’une demande permis unique par un ressortissant de pays tiers en possession d’un permis de travail B (sauf au pair)</w:t>
            </w:r>
          </w:p>
        </w:tc>
        <w:tc>
          <w:tcPr>
            <w:tcW w:w="2799" w:type="dxa"/>
          </w:tcPr>
          <w:p w14:paraId="3EC8980C"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jours</w:t>
            </w:r>
          </w:p>
        </w:tc>
        <w:tc>
          <w:tcPr>
            <w:tcW w:w="2799" w:type="dxa"/>
          </w:tcPr>
          <w:p w14:paraId="307DD4E9"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30 jours</w:t>
            </w:r>
          </w:p>
        </w:tc>
        <w:tc>
          <w:tcPr>
            <w:tcW w:w="2799" w:type="dxa"/>
          </w:tcPr>
          <w:p w14:paraId="665DAC3C"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Oui</w:t>
            </w:r>
          </w:p>
        </w:tc>
        <w:tc>
          <w:tcPr>
            <w:tcW w:w="2799" w:type="dxa"/>
          </w:tcPr>
          <w:p w14:paraId="32A55F7A"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33, § 5</w:t>
            </w:r>
            <w:r w:rsidRPr="007E6EFB">
              <w:rPr>
                <w:rFonts w:cstheme="minorHAnsi"/>
                <w:i/>
                <w:sz w:val="20"/>
                <w:szCs w:val="20"/>
              </w:rPr>
              <w:t>bis</w:t>
            </w:r>
            <w:r>
              <w:rPr>
                <w:rFonts w:cstheme="minorHAnsi"/>
                <w:sz w:val="20"/>
                <w:szCs w:val="20"/>
              </w:rPr>
              <w:t>, de l’arrêté royal du 8 octobre 1981</w:t>
            </w:r>
          </w:p>
        </w:tc>
      </w:tr>
      <w:tr w:rsidR="004D4433" w:rsidRPr="004D4433" w14:paraId="467C10A1"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4D74E994" w14:textId="77777777" w:rsidR="004D4433" w:rsidRPr="004D4433" w:rsidRDefault="004D4433" w:rsidP="004D4433">
            <w:pPr>
              <w:jc w:val="both"/>
              <w:rPr>
                <w:rFonts w:cstheme="minorHAnsi"/>
                <w:b w:val="0"/>
                <w:sz w:val="20"/>
                <w:szCs w:val="20"/>
              </w:rPr>
            </w:pPr>
            <w:r w:rsidRPr="004D4433">
              <w:rPr>
                <w:rFonts w:cstheme="minorHAnsi"/>
                <w:b w:val="0"/>
                <w:sz w:val="20"/>
                <w:szCs w:val="20"/>
              </w:rPr>
              <w:t>Introduction d’une demande de renouvellement d’une carte bleue européenne (« carte H ») et l’autorité régionale ou communautaire et le Ministre (ou l’Office des étrangers) n’ont pas pris de décision avant l’expiration de la carte bleue européenne dont le renouvellement a été demandé</w:t>
            </w:r>
          </w:p>
        </w:tc>
        <w:tc>
          <w:tcPr>
            <w:tcW w:w="2799" w:type="dxa"/>
          </w:tcPr>
          <w:p w14:paraId="1931B5D3"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30 jours</w:t>
            </w:r>
          </w:p>
        </w:tc>
        <w:tc>
          <w:tcPr>
            <w:tcW w:w="2799" w:type="dxa"/>
          </w:tcPr>
          <w:p w14:paraId="23191813"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1 x 30 jours</w:t>
            </w:r>
          </w:p>
        </w:tc>
        <w:tc>
          <w:tcPr>
            <w:tcW w:w="2799" w:type="dxa"/>
          </w:tcPr>
          <w:p w14:paraId="14BD6221"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Oui</w:t>
            </w:r>
          </w:p>
        </w:tc>
        <w:tc>
          <w:tcPr>
            <w:tcW w:w="2799" w:type="dxa"/>
          </w:tcPr>
          <w:p w14:paraId="406A3B91"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33, § 6, de l’arrêté royal du 8 octobre 1981</w:t>
            </w:r>
          </w:p>
        </w:tc>
      </w:tr>
      <w:tr w:rsidR="004D4433" w:rsidRPr="004D4433" w14:paraId="7793BAE8"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2096B9FF" w14:textId="77777777" w:rsidR="004D4433" w:rsidRPr="004D4433" w:rsidRDefault="004D4433" w:rsidP="004D4433">
            <w:pPr>
              <w:jc w:val="both"/>
              <w:rPr>
                <w:rFonts w:cstheme="minorHAnsi"/>
                <w:b w:val="0"/>
                <w:sz w:val="20"/>
                <w:szCs w:val="20"/>
              </w:rPr>
            </w:pPr>
            <w:r w:rsidRPr="004D4433">
              <w:rPr>
                <w:rFonts w:cstheme="minorHAnsi"/>
                <w:b w:val="0"/>
                <w:sz w:val="20"/>
                <w:szCs w:val="20"/>
              </w:rPr>
              <w:t xml:space="preserve">Introduction d’une demande de renouvellement d’une « carte A » portant la mention « travailleur saisonnier » et l’autorité régionale ou communautaire et le Ministre </w:t>
            </w:r>
            <w:r w:rsidRPr="004D4433">
              <w:rPr>
                <w:rFonts w:cstheme="minorHAnsi"/>
                <w:b w:val="0"/>
                <w:sz w:val="20"/>
                <w:szCs w:val="20"/>
              </w:rPr>
              <w:lastRenderedPageBreak/>
              <w:t>(ou l’Office des étrangers) n’ont pas pris de décision avant l’expiration de la « carte A » dont le renouvellement a été demandé</w:t>
            </w:r>
          </w:p>
        </w:tc>
        <w:tc>
          <w:tcPr>
            <w:tcW w:w="2799" w:type="dxa"/>
          </w:tcPr>
          <w:p w14:paraId="516A2661"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lastRenderedPageBreak/>
              <w:t>15 jours</w:t>
            </w:r>
          </w:p>
        </w:tc>
        <w:tc>
          <w:tcPr>
            <w:tcW w:w="2799" w:type="dxa"/>
          </w:tcPr>
          <w:p w14:paraId="704F40A9"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1 x 15 jours</w:t>
            </w:r>
          </w:p>
        </w:tc>
        <w:tc>
          <w:tcPr>
            <w:tcW w:w="2799" w:type="dxa"/>
          </w:tcPr>
          <w:p w14:paraId="2B70830A"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Oui</w:t>
            </w:r>
          </w:p>
        </w:tc>
        <w:tc>
          <w:tcPr>
            <w:tcW w:w="2799" w:type="dxa"/>
          </w:tcPr>
          <w:p w14:paraId="165FE2FD"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33, § 7, de l’arrêté royal du 8 octobre 1981</w:t>
            </w:r>
          </w:p>
        </w:tc>
      </w:tr>
      <w:tr w:rsidR="004D4433" w:rsidRPr="004D4433" w14:paraId="2B6BCFBF"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9763C8E" w14:textId="77777777" w:rsidR="004D4433" w:rsidRPr="004D4433" w:rsidRDefault="004D4433" w:rsidP="004D4433">
            <w:pPr>
              <w:jc w:val="both"/>
              <w:rPr>
                <w:rFonts w:cstheme="minorHAnsi"/>
                <w:b w:val="0"/>
                <w:sz w:val="20"/>
                <w:szCs w:val="20"/>
              </w:rPr>
            </w:pPr>
            <w:r w:rsidRPr="004D4433">
              <w:rPr>
                <w:rFonts w:cstheme="minorHAnsi"/>
                <w:b w:val="0"/>
                <w:sz w:val="20"/>
                <w:szCs w:val="20"/>
              </w:rPr>
              <w:t>Dans l’attente de l’inscription dans le registre des étrangers et de la délivrance du permis unique au ressortissant de pays tiers titulaire d’un visa « B34 »</w:t>
            </w:r>
          </w:p>
        </w:tc>
        <w:tc>
          <w:tcPr>
            <w:tcW w:w="2799" w:type="dxa"/>
          </w:tcPr>
          <w:p w14:paraId="47FE118A"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jours</w:t>
            </w:r>
          </w:p>
        </w:tc>
        <w:tc>
          <w:tcPr>
            <w:tcW w:w="2799" w:type="dxa"/>
          </w:tcPr>
          <w:p w14:paraId="78F3C202" w14:textId="77777777" w:rsidR="004D4433" w:rsidRPr="004D4433" w:rsidRDefault="004D4433"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jours</w:t>
            </w:r>
          </w:p>
        </w:tc>
        <w:tc>
          <w:tcPr>
            <w:tcW w:w="2799" w:type="dxa"/>
          </w:tcPr>
          <w:p w14:paraId="3A66AFA0" w14:textId="77777777" w:rsidR="004D4433" w:rsidRPr="004D4433" w:rsidRDefault="007E6EFB" w:rsidP="004D443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w:t>
            </w:r>
          </w:p>
        </w:tc>
        <w:tc>
          <w:tcPr>
            <w:tcW w:w="2799" w:type="dxa"/>
          </w:tcPr>
          <w:p w14:paraId="106C725B" w14:textId="77777777" w:rsidR="004D4433" w:rsidRPr="004D4433" w:rsidRDefault="007E6EFB" w:rsidP="004D4433">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105/2, § 4, de l’arrêté royal du 8 octobre 1981</w:t>
            </w:r>
          </w:p>
        </w:tc>
      </w:tr>
      <w:tr w:rsidR="007E6EFB" w:rsidRPr="004D4433" w14:paraId="426984FB"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620D9F30" w14:textId="77777777" w:rsidR="007E6EFB" w:rsidRPr="004D4433" w:rsidRDefault="007E6EFB" w:rsidP="007E6EFB">
            <w:pPr>
              <w:jc w:val="both"/>
              <w:rPr>
                <w:rFonts w:cstheme="minorHAnsi"/>
                <w:b w:val="0"/>
                <w:sz w:val="20"/>
                <w:szCs w:val="20"/>
              </w:rPr>
            </w:pPr>
            <w:r w:rsidRPr="004D4433">
              <w:rPr>
                <w:rFonts w:cstheme="minorHAnsi"/>
                <w:b w:val="0"/>
                <w:sz w:val="20"/>
                <w:szCs w:val="20"/>
              </w:rPr>
              <w:t>Dans l’attente de l’éventuelle inscription dans le registre des étrangers et de la délivrance du permis unique au ressortissant de pays tiers dont la demande introduite alors qu’il séjournait déjà sur le territoire du Royaume a été acceptée</w:t>
            </w:r>
          </w:p>
        </w:tc>
        <w:tc>
          <w:tcPr>
            <w:tcW w:w="2799" w:type="dxa"/>
          </w:tcPr>
          <w:p w14:paraId="3FA0D53F"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jours</w:t>
            </w:r>
          </w:p>
        </w:tc>
        <w:tc>
          <w:tcPr>
            <w:tcW w:w="2799" w:type="dxa"/>
          </w:tcPr>
          <w:p w14:paraId="18219F71"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jours</w:t>
            </w:r>
          </w:p>
        </w:tc>
        <w:tc>
          <w:tcPr>
            <w:tcW w:w="2799" w:type="dxa"/>
          </w:tcPr>
          <w:p w14:paraId="5CEE6573"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 ou oui (les deux possibilités peuvent exister en fonction du cas d’espèce)</w:t>
            </w:r>
          </w:p>
        </w:tc>
        <w:tc>
          <w:tcPr>
            <w:tcW w:w="2799" w:type="dxa"/>
          </w:tcPr>
          <w:p w14:paraId="40B6DDD8" w14:textId="77777777"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105/2, § 5, de l’arrêté royal du 8 octobre 1981</w:t>
            </w:r>
          </w:p>
        </w:tc>
      </w:tr>
      <w:tr w:rsidR="007E6EFB" w:rsidRPr="004D4433" w14:paraId="007DEA4B"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651F5F08" w14:textId="77777777" w:rsidR="007E6EFB" w:rsidRPr="004D4433" w:rsidRDefault="007E6EFB" w:rsidP="007E6EFB">
            <w:pPr>
              <w:jc w:val="both"/>
              <w:rPr>
                <w:rFonts w:cstheme="minorHAnsi"/>
                <w:b w:val="0"/>
                <w:sz w:val="20"/>
                <w:szCs w:val="20"/>
              </w:rPr>
            </w:pPr>
            <w:r w:rsidRPr="004D4433">
              <w:rPr>
                <w:rFonts w:cstheme="minorHAnsi"/>
                <w:b w:val="0"/>
                <w:sz w:val="20"/>
                <w:szCs w:val="20"/>
              </w:rPr>
              <w:t>Dans l’attente de l’inscription dans le registre des étrangers et de la délivrance de la carte bleue européenne (« carte H ») au ressortissant de pays tiers titulaire d’un visa « B29 »</w:t>
            </w:r>
          </w:p>
        </w:tc>
        <w:tc>
          <w:tcPr>
            <w:tcW w:w="2799" w:type="dxa"/>
          </w:tcPr>
          <w:p w14:paraId="7F8DAB8A"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jours</w:t>
            </w:r>
          </w:p>
        </w:tc>
        <w:tc>
          <w:tcPr>
            <w:tcW w:w="2799" w:type="dxa"/>
          </w:tcPr>
          <w:p w14:paraId="78FAD413"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jours</w:t>
            </w:r>
          </w:p>
        </w:tc>
        <w:tc>
          <w:tcPr>
            <w:tcW w:w="2799" w:type="dxa"/>
          </w:tcPr>
          <w:p w14:paraId="49A6E259"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w:t>
            </w:r>
          </w:p>
        </w:tc>
        <w:tc>
          <w:tcPr>
            <w:tcW w:w="2799" w:type="dxa"/>
          </w:tcPr>
          <w:p w14:paraId="22465D81" w14:textId="77777777"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105/8, § 3, de l’arrêté royal du 8 octobre 1981</w:t>
            </w:r>
          </w:p>
        </w:tc>
      </w:tr>
      <w:tr w:rsidR="007E6EFB" w:rsidRPr="004D4433" w14:paraId="0C92C64C"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991FD35" w14:textId="77777777" w:rsidR="007E6EFB" w:rsidRPr="004D4433" w:rsidRDefault="007E6EFB" w:rsidP="007E6EFB">
            <w:pPr>
              <w:jc w:val="both"/>
              <w:rPr>
                <w:rFonts w:cstheme="minorHAnsi"/>
                <w:b w:val="0"/>
                <w:sz w:val="20"/>
                <w:szCs w:val="20"/>
              </w:rPr>
            </w:pPr>
            <w:r w:rsidRPr="004D4433">
              <w:rPr>
                <w:rFonts w:cstheme="minorHAnsi"/>
                <w:b w:val="0"/>
                <w:sz w:val="20"/>
                <w:szCs w:val="20"/>
              </w:rPr>
              <w:t>Dans l’attente de l’éventuelle inscription dans le registre des étrangers et de la délivrance de la carte bleue européenne (« carte H ») au ressortissant de pays tiers dont la demande introduite alors qu’il séjournait déjà sur le territoire du Royaume a été acceptée</w:t>
            </w:r>
          </w:p>
        </w:tc>
        <w:tc>
          <w:tcPr>
            <w:tcW w:w="2799" w:type="dxa"/>
          </w:tcPr>
          <w:p w14:paraId="70ABE2C6"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45 jours</w:t>
            </w:r>
          </w:p>
        </w:tc>
        <w:tc>
          <w:tcPr>
            <w:tcW w:w="2799" w:type="dxa"/>
          </w:tcPr>
          <w:p w14:paraId="0D27A95D"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2 x 45 jours</w:t>
            </w:r>
          </w:p>
        </w:tc>
        <w:tc>
          <w:tcPr>
            <w:tcW w:w="2799" w:type="dxa"/>
          </w:tcPr>
          <w:p w14:paraId="459909C2"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 ou oui (les deux possibilités peuvent exister en fonction du cas d’espèce)</w:t>
            </w:r>
          </w:p>
        </w:tc>
        <w:tc>
          <w:tcPr>
            <w:tcW w:w="2799" w:type="dxa"/>
          </w:tcPr>
          <w:p w14:paraId="1B18416E" w14:textId="77777777"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105/8, § 4, de l’arrêté royal du 8 octobre 1981</w:t>
            </w:r>
          </w:p>
        </w:tc>
      </w:tr>
      <w:tr w:rsidR="007E6EFB" w:rsidRPr="004D4433" w14:paraId="27640C7C" w14:textId="77777777" w:rsidTr="00F724DF">
        <w:tc>
          <w:tcPr>
            <w:cnfStyle w:val="001000000000" w:firstRow="0" w:lastRow="0" w:firstColumn="1" w:lastColumn="0" w:oddVBand="0" w:evenVBand="0" w:oddHBand="0" w:evenHBand="0" w:firstRowFirstColumn="0" w:firstRowLastColumn="0" w:lastRowFirstColumn="0" w:lastRowLastColumn="0"/>
            <w:tcW w:w="2798" w:type="dxa"/>
          </w:tcPr>
          <w:p w14:paraId="75CE00F6" w14:textId="77777777" w:rsidR="007E6EFB" w:rsidRPr="004D4433" w:rsidRDefault="007E6EFB" w:rsidP="007E6EFB">
            <w:pPr>
              <w:jc w:val="both"/>
              <w:rPr>
                <w:rFonts w:cstheme="minorHAnsi"/>
                <w:b w:val="0"/>
                <w:sz w:val="20"/>
                <w:szCs w:val="20"/>
              </w:rPr>
            </w:pPr>
            <w:r w:rsidRPr="004D4433">
              <w:rPr>
                <w:rFonts w:cstheme="minorHAnsi"/>
                <w:b w:val="0"/>
                <w:sz w:val="20"/>
                <w:szCs w:val="20"/>
              </w:rPr>
              <w:t xml:space="preserve">Dans l’attente de l’inscription dans le registre des étrangers et de la délivrance de la carte A </w:t>
            </w:r>
            <w:r w:rsidRPr="004D4433">
              <w:rPr>
                <w:rFonts w:cstheme="minorHAnsi"/>
                <w:b w:val="0"/>
                <w:sz w:val="20"/>
                <w:szCs w:val="20"/>
              </w:rPr>
              <w:lastRenderedPageBreak/>
              <w:t>portant la mention « Travailleur saisonnier » au ressortissant de pays tiers titulaire d’un visa portant la mention « Travailleur saisonnier »</w:t>
            </w:r>
          </w:p>
        </w:tc>
        <w:tc>
          <w:tcPr>
            <w:tcW w:w="2799" w:type="dxa"/>
          </w:tcPr>
          <w:p w14:paraId="7B07D5C6"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lastRenderedPageBreak/>
              <w:t>45 jours</w:t>
            </w:r>
          </w:p>
        </w:tc>
        <w:tc>
          <w:tcPr>
            <w:tcW w:w="2799" w:type="dxa"/>
          </w:tcPr>
          <w:p w14:paraId="76A1093C"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D4433">
              <w:rPr>
                <w:rFonts w:cstheme="minorHAnsi"/>
                <w:sz w:val="20"/>
                <w:szCs w:val="20"/>
              </w:rPr>
              <w:t>Jusqu’à l’inscription et/ou la délivrance de la « carte A »</w:t>
            </w:r>
          </w:p>
        </w:tc>
        <w:tc>
          <w:tcPr>
            <w:tcW w:w="2799" w:type="dxa"/>
          </w:tcPr>
          <w:p w14:paraId="1AEC29D3" w14:textId="77777777" w:rsidR="007E6EFB" w:rsidRPr="004D4433" w:rsidRDefault="007E6EFB" w:rsidP="007E6EF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Pas encore</w:t>
            </w:r>
          </w:p>
        </w:tc>
        <w:tc>
          <w:tcPr>
            <w:tcW w:w="2799" w:type="dxa"/>
          </w:tcPr>
          <w:p w14:paraId="710D5433" w14:textId="77777777" w:rsidR="007E6EFB" w:rsidRPr="004D4433" w:rsidRDefault="007E6EFB" w:rsidP="007E6EFB">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Article 105/24, § 2, alinéa 2, de l’arrêté royal du 8 octobre 1981</w:t>
            </w:r>
          </w:p>
        </w:tc>
      </w:tr>
    </w:tbl>
    <w:p w14:paraId="443FB083" w14:textId="77777777" w:rsidR="004D4433" w:rsidRDefault="004D4433" w:rsidP="004D4433"/>
    <w:p w14:paraId="5A6365A8" w14:textId="77777777" w:rsidR="004D4433" w:rsidRDefault="004D4433"/>
    <w:sectPr w:rsidR="004D4433" w:rsidSect="004D443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1232" w14:textId="77777777" w:rsidR="003514A4" w:rsidRDefault="003514A4" w:rsidP="003514A4">
      <w:pPr>
        <w:spacing w:after="0" w:line="240" w:lineRule="auto"/>
      </w:pPr>
      <w:r>
        <w:separator/>
      </w:r>
    </w:p>
  </w:endnote>
  <w:endnote w:type="continuationSeparator" w:id="0">
    <w:p w14:paraId="1014C023" w14:textId="77777777" w:rsidR="003514A4" w:rsidRDefault="003514A4" w:rsidP="00351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D698" w14:textId="77777777" w:rsidR="003514A4" w:rsidRDefault="003514A4" w:rsidP="003514A4">
      <w:pPr>
        <w:spacing w:after="0" w:line="240" w:lineRule="auto"/>
      </w:pPr>
      <w:r>
        <w:separator/>
      </w:r>
    </w:p>
  </w:footnote>
  <w:footnote w:type="continuationSeparator" w:id="0">
    <w:p w14:paraId="7BC22522" w14:textId="77777777" w:rsidR="003514A4" w:rsidRDefault="003514A4" w:rsidP="003514A4">
      <w:pPr>
        <w:spacing w:after="0" w:line="240" w:lineRule="auto"/>
      </w:pPr>
      <w:r>
        <w:continuationSeparator/>
      </w:r>
    </w:p>
  </w:footnote>
  <w:footnote w:id="1">
    <w:p w14:paraId="000E854C" w14:textId="77777777" w:rsidR="00DC058F" w:rsidRDefault="00DC058F">
      <w:pPr>
        <w:pStyle w:val="Notedebasdepage"/>
      </w:pPr>
      <w:r>
        <w:rPr>
          <w:rStyle w:val="Appelnotedebasdep"/>
        </w:rPr>
        <w:footnoteRef/>
      </w:r>
      <w:r>
        <w:t xml:space="preserve"> Non application aux citoyens de l’Union.</w:t>
      </w:r>
    </w:p>
  </w:footnote>
  <w:footnote w:id="2">
    <w:p w14:paraId="481C6F21" w14:textId="77777777" w:rsidR="00DC058F" w:rsidRDefault="00DC058F">
      <w:pPr>
        <w:pStyle w:val="Notedebasdepage"/>
      </w:pPr>
      <w:r>
        <w:rPr>
          <w:rStyle w:val="Appelnotedebasdep"/>
        </w:rPr>
        <w:footnoteRef/>
      </w:r>
      <w:r>
        <w:t xml:space="preserve"> Non application aux citoyens de l’Union.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433"/>
    <w:rsid w:val="00050A5B"/>
    <w:rsid w:val="001E4CF1"/>
    <w:rsid w:val="001F2537"/>
    <w:rsid w:val="00291026"/>
    <w:rsid w:val="002E72DD"/>
    <w:rsid w:val="003514A4"/>
    <w:rsid w:val="00394612"/>
    <w:rsid w:val="003C0181"/>
    <w:rsid w:val="004D4433"/>
    <w:rsid w:val="004F64AA"/>
    <w:rsid w:val="007E6EFB"/>
    <w:rsid w:val="00DC05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F0F8D"/>
  <w15:chartTrackingRefBased/>
  <w15:docId w15:val="{8FE5EE42-93FC-401C-9627-C2E0E146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D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2">
    <w:name w:val="Grid Table 1 Light Accent 2"/>
    <w:basedOn w:val="TableauNormal"/>
    <w:uiPriority w:val="46"/>
    <w:rsid w:val="004D443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uiPriority w:val="99"/>
    <w:semiHidden/>
    <w:unhideWhenUsed/>
    <w:rsid w:val="003514A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14A4"/>
    <w:rPr>
      <w:sz w:val="20"/>
      <w:szCs w:val="20"/>
    </w:rPr>
  </w:style>
  <w:style w:type="character" w:styleId="Appelnotedebasdep">
    <w:name w:val="footnote reference"/>
    <w:basedOn w:val="Policepardfaut"/>
    <w:uiPriority w:val="99"/>
    <w:semiHidden/>
    <w:unhideWhenUsed/>
    <w:rsid w:val="003514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2299 - Personen ingeschreven in het Rijksregister</TermName>
          <TermId xmlns="http://schemas.microsoft.com/office/infopath/2007/PartnerControls">8dfac25a-f88b-447a-b30e-c9a0110f4121</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339</Omzendbrief_x0020_volgnr>
    <TaxCatchAll xmlns="872641a8-5ee1-4ad8-a2c8-179bbc26f47e">
      <Value>14</Value>
      <Value>395</Value>
      <Value>42</Value>
    </TaxCatchAll>
    <replaces-ozb-nr xmlns="a445d3d8-28a8-4826-ad51-85ae78dbc123" xsi:nil="true"/>
    <Omzendbrief_x0020_nr xmlns="a445d3d8-28a8-4826-ad51-85ae78dbc123">2023</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class="ExternalClass81D9A746B2E44079B577C134783AC3CD"&gt;&lt;p&gt;&lt;span lang="EN-US" style="font-size&amp;#58;9pt;line-height&amp;#58;107%;font-family&amp;#58;arial, sans-serif;"&gt;​&lt;strong&gt;&lt;span lang="EN-US" style="font-size&amp;#58;9pt;line-height&amp;#58;107%;font-family&amp;#58;arial, sans-serif;"&gt;Modalités de preuve pour l'inscription en
qualité de personne inscrite au Registre national des personnes physiques en
application de l'article 32, alinéa 1, 15° de la loi relative à l'assurance
obligatoire soins de santé et indemnités, coordonnée le 14 juillet 1994.&lt;/span&gt;&lt;/strong&gt;&lt;span lang="EN-US" style="font-size&amp;#58;9pt;line-height&amp;#58;107%;font-family&amp;#58;arial, sans-serif;"&gt;​&lt;/span&gt;​&lt;/span&gt;&lt;br&gt;&lt;/p&gt;&lt;/div&gt;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2023-12-07T23:00:00+00:00</Omzendbrief_x0020_datum>
    <Betreft xmlns="a445d3d8-28a8-4826-ad51-85ae78dbc123">&lt;div class="ExternalClassE4A4C9014D014C4AB2225C2ABCC4AAE8"&gt;&lt;p&gt;​&lt;strong&gt;Bewijsmodaliteiten voor de inschrijving in de hoedanigheid van ingeschrevene in het Rijksregister van de natuurlijke personen, met toepassing van artikel 32, eerste lid, 15°, van de wet betreffende de verplichte verzekering voor geneeskundige verzorging en uitkeringen, gecoördineerd op 14 juli 1994.&lt;/strong&gt;&lt;br&gt;&lt;/p&gt;&lt;/div&gt;</Betreft>
    <Taal xmlns="a445d3d8-28a8-4826-ad51-85ae78dbc123">FR</Taal>
    <Circulaire-Name xmlns="5c99ba27-9f4a-43d1-a433-cd21c0c58a91" xsi:nil="true"/>
    <Dossier xmlns="a445d3d8-28a8-4826-ad51-85ae78dbc123">4180</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rubr_x002d_multiline xmlns="5c99ba27-9f4a-43d1-a433-cd21c0c58a91">    2299 /19</rubr_x002d_multiline>
  </documentManagement>
</p:properties>
</file>

<file path=customXml/item6.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2" ma:contentTypeDescription="" ma:contentTypeScope="" ma:versionID="a5f85da62125bc0a0a6ce29c9f9b1841">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3e79499f84329c0bc2b54bee6421906e"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A65D8-631B-4A99-A5B5-544C37C40C03}">
  <ds:schemaRefs>
    <ds:schemaRef ds:uri="http://schemas.microsoft.com/sharepoint/v3/contenttype/forms/url"/>
  </ds:schemaRefs>
</ds:datastoreItem>
</file>

<file path=customXml/itemProps2.xml><?xml version="1.0" encoding="utf-8"?>
<ds:datastoreItem xmlns:ds="http://schemas.openxmlformats.org/officeDocument/2006/customXml" ds:itemID="{EAEBE809-0B36-4A3C-803E-41F74A2CD0DD}">
  <ds:schemaRefs>
    <ds:schemaRef ds:uri="http://schemas.microsoft.com/sharepoint/v3/contenttype/forms"/>
  </ds:schemaRefs>
</ds:datastoreItem>
</file>

<file path=customXml/itemProps3.xml><?xml version="1.0" encoding="utf-8"?>
<ds:datastoreItem xmlns:ds="http://schemas.openxmlformats.org/officeDocument/2006/customXml" ds:itemID="{C2E4FBBF-B780-483C-8FA0-270C84178799}">
  <ds:schemaRefs/>
</ds:datastoreItem>
</file>

<file path=customXml/itemProps4.xml><?xml version="1.0" encoding="utf-8"?>
<ds:datastoreItem xmlns:ds="http://schemas.openxmlformats.org/officeDocument/2006/customXml" ds:itemID="{A934AFF7-26EA-4B72-B909-A2753E2D62B1}">
  <ds:schemaRefs>
    <ds:schemaRef ds:uri="http://schemas.openxmlformats.org/officeDocument/2006/bibliography"/>
  </ds:schemaRefs>
</ds:datastoreItem>
</file>

<file path=customXml/itemProps5.xml><?xml version="1.0" encoding="utf-8"?>
<ds:datastoreItem xmlns:ds="http://schemas.openxmlformats.org/officeDocument/2006/customXml" ds:itemID="{B1D68519-7C67-4FEB-9AD6-4DFA4B68E5FB}">
  <ds:schemaRefs>
    <ds:schemaRef ds:uri="http://schemas.microsoft.com/office/2006/documentManagement/types"/>
    <ds:schemaRef ds:uri="http://purl.org/dc/terms/"/>
    <ds:schemaRef ds:uri="a445d3d8-28a8-4826-ad51-85ae78dbc123"/>
    <ds:schemaRef ds:uri="http://schemas.microsoft.com/office/infopath/2007/PartnerControls"/>
    <ds:schemaRef ds:uri="http://purl.org/dc/dcmitype/"/>
    <ds:schemaRef ds:uri="http://schemas.microsoft.com/sharepoint/v3"/>
    <ds:schemaRef ds:uri="http://purl.org/dc/elements/1.1/"/>
    <ds:schemaRef ds:uri="http://schemas.openxmlformats.org/package/2006/metadata/core-properties"/>
    <ds:schemaRef ds:uri="a771fd84-99d5-44c2-9dac-0b7cb5888153"/>
    <ds:schemaRef ds:uri="872641a8-5ee1-4ad8-a2c8-179bbc26f47e"/>
    <ds:schemaRef ds:uri="5c99ba27-9f4a-43d1-a433-cd21c0c58a91"/>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4DE345C-CE5E-4420-85D8-D2234388BF7B}"/>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Preuves inscription en qualité de résident</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Modalités de preuve pour l'inscription en qualité de personne inscrite au Registre national des personnes physiques en application de l'article 32, alinéa 1, 15° de la loi relative à l'assurance obligatoire soins de santé et indemnités, coordonnée le 14</dc:title>
  <dc:subject/>
  <dc:creator>Duterme Frédéric</dc:creator>
  <cp:keywords/>
  <dc:description/>
  <cp:lastModifiedBy>Simon Noël (RIZIV-INAMI)</cp:lastModifiedBy>
  <cp:revision>3</cp:revision>
  <dcterms:created xsi:type="dcterms:W3CDTF">2023-09-18T07:54:00Z</dcterms:created>
  <dcterms:modified xsi:type="dcterms:W3CDTF">2023-10-26T09:39:00Z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42;#2299 - Personen ingeschreven in het Rijksregister|8dfac25a-f88b-447a-b30e-c9a0110f4121</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