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3A14" w14:textId="77777777" w:rsidR="00257C4F" w:rsidRPr="00257C4F" w:rsidRDefault="00257C4F" w:rsidP="00257C4F">
      <w:pPr>
        <w:tabs>
          <w:tab w:val="left" w:pos="284"/>
        </w:tabs>
        <w:spacing w:after="0" w:line="240" w:lineRule="auto"/>
        <w:jc w:val="both"/>
        <w:rPr>
          <w:rFonts w:ascii="Arial" w:eastAsia="Times New Roman" w:hAnsi="Arial" w:cs="Arial"/>
          <w:b/>
          <w:sz w:val="20"/>
          <w:szCs w:val="20"/>
          <w:lang w:val="fr-BE"/>
        </w:rPr>
      </w:pPr>
      <w:r w:rsidRPr="00257C4F">
        <w:rPr>
          <w:rFonts w:ascii="Arial" w:eastAsia="Times New Roman" w:hAnsi="Arial" w:cs="Arial"/>
          <w:b/>
          <w:sz w:val="20"/>
          <w:szCs w:val="20"/>
          <w:lang w:val="fr-BE"/>
        </w:rPr>
        <w:t xml:space="preserve">Annexe I : Rapport sur le nombre de DSH </w:t>
      </w:r>
    </w:p>
    <w:p w14:paraId="0780E304"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p w14:paraId="7691CA72"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Date de transmission : jj/mm/aaaa</w:t>
      </w:r>
    </w:p>
    <w:p w14:paraId="521067E1"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Organisme assureur (O.A.): 0</w:t>
      </w:r>
    </w:p>
    <w:p w14:paraId="5A6E154D"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Semestre: semestre 1 (1/07/aaaa-1 - 31/12/aaaa-1) / semestre 2 (1/01/aaaa - 30/06/aaaa)</w:t>
      </w:r>
    </w:p>
    <w:p w14:paraId="4C3420C2"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429"/>
        <w:gridCol w:w="1679"/>
        <w:gridCol w:w="1679"/>
        <w:gridCol w:w="1679"/>
      </w:tblGrid>
      <w:tr w:rsidR="00257C4F" w:rsidRPr="00257C4F" w14:paraId="761C7A3E" w14:textId="77777777" w:rsidTr="00ED4F4C">
        <w:trPr>
          <w:trHeight w:val="887"/>
          <w:jc w:val="center"/>
        </w:trPr>
        <w:tc>
          <w:tcPr>
            <w:tcW w:w="223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D9A100" w14:textId="77777777" w:rsidR="00257C4F" w:rsidRPr="00257C4F" w:rsidRDefault="00257C4F" w:rsidP="00257C4F">
            <w:pPr>
              <w:tabs>
                <w:tab w:val="left" w:pos="284"/>
              </w:tabs>
              <w:spacing w:after="0"/>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Période de référence de la DSH</w:t>
            </w:r>
          </w:p>
        </w:tc>
        <w:tc>
          <w:tcPr>
            <w:tcW w:w="14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022D67" w14:textId="77777777" w:rsidR="00257C4F" w:rsidRPr="00257C4F" w:rsidRDefault="00257C4F" w:rsidP="00257C4F">
            <w:pPr>
              <w:tabs>
                <w:tab w:val="left" w:pos="284"/>
              </w:tabs>
              <w:spacing w:after="0"/>
              <w:jc w:val="center"/>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Nombre de DSH</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C94AF4B" w14:textId="77777777" w:rsidR="00257C4F" w:rsidRPr="00257C4F" w:rsidRDefault="00257C4F" w:rsidP="00257C4F">
            <w:pPr>
              <w:tabs>
                <w:tab w:val="left" w:pos="284"/>
              </w:tabs>
              <w:spacing w:after="0"/>
              <w:jc w:val="center"/>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Nombre DSH approuvées (ouvertures de droit)</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15B925" w14:textId="77777777" w:rsidR="00257C4F" w:rsidRPr="00257C4F" w:rsidRDefault="00257C4F" w:rsidP="00257C4F">
            <w:pPr>
              <w:tabs>
                <w:tab w:val="left" w:pos="284"/>
              </w:tabs>
              <w:spacing w:after="0"/>
              <w:jc w:val="center"/>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Nombre de DSH refusées</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6CA5AC" w14:textId="77777777" w:rsidR="00257C4F" w:rsidRPr="00257C4F" w:rsidRDefault="00257C4F" w:rsidP="00257C4F">
            <w:pPr>
              <w:tabs>
                <w:tab w:val="left" w:pos="284"/>
              </w:tabs>
              <w:spacing w:after="0"/>
              <w:jc w:val="center"/>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Dossiers en suspens</w:t>
            </w:r>
          </w:p>
        </w:tc>
      </w:tr>
      <w:tr w:rsidR="00257C4F" w:rsidRPr="00257C4F" w14:paraId="071A2885" w14:textId="77777777" w:rsidTr="00ED4F4C">
        <w:trPr>
          <w:trHeight w:val="261"/>
          <w:jc w:val="center"/>
        </w:trPr>
        <w:tc>
          <w:tcPr>
            <w:tcW w:w="2232" w:type="dxa"/>
            <w:tcBorders>
              <w:top w:val="single" w:sz="4" w:space="0" w:color="auto"/>
              <w:left w:val="single" w:sz="4" w:space="0" w:color="auto"/>
              <w:bottom w:val="single" w:sz="4" w:space="0" w:color="auto"/>
              <w:right w:val="single" w:sz="4" w:space="0" w:color="auto"/>
            </w:tcBorders>
            <w:shd w:val="clear" w:color="auto" w:fill="D9D9D9"/>
            <w:noWrap/>
            <w:hideMark/>
          </w:tcPr>
          <w:p w14:paraId="3D8A96A8" w14:textId="77777777" w:rsidR="00257C4F" w:rsidRPr="00257C4F" w:rsidRDefault="00257C4F" w:rsidP="00257C4F">
            <w:pPr>
              <w:tabs>
                <w:tab w:val="left" w:pos="284"/>
              </w:tabs>
              <w:spacing w:after="0"/>
              <w:jc w:val="center"/>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Période de référence d’un mois</w:t>
            </w:r>
          </w:p>
        </w:tc>
        <w:tc>
          <w:tcPr>
            <w:tcW w:w="1429" w:type="dxa"/>
            <w:tcBorders>
              <w:top w:val="single" w:sz="4" w:space="0" w:color="auto"/>
              <w:left w:val="single" w:sz="4" w:space="0" w:color="auto"/>
              <w:bottom w:val="single" w:sz="4" w:space="0" w:color="auto"/>
              <w:right w:val="single" w:sz="4" w:space="0" w:color="auto"/>
            </w:tcBorders>
          </w:tcPr>
          <w:p w14:paraId="08C287DF" w14:textId="77777777" w:rsidR="00257C4F" w:rsidRPr="00257C4F" w:rsidRDefault="00257C4F" w:rsidP="00257C4F">
            <w:pPr>
              <w:tabs>
                <w:tab w:val="left" w:pos="284"/>
              </w:tabs>
              <w:spacing w:after="0"/>
              <w:rPr>
                <w:rFonts w:ascii="Arial" w:eastAsia="Times New Roman" w:hAnsi="Arial" w:cs="Arial"/>
                <w:b/>
                <w:bCs/>
                <w:sz w:val="20"/>
                <w:szCs w:val="20"/>
                <w:lang w:val="fr-BE" w:eastAsia="nl-BE"/>
              </w:rPr>
            </w:pPr>
          </w:p>
        </w:tc>
        <w:tc>
          <w:tcPr>
            <w:tcW w:w="1679" w:type="dxa"/>
            <w:tcBorders>
              <w:top w:val="single" w:sz="4" w:space="0" w:color="auto"/>
              <w:left w:val="single" w:sz="4" w:space="0" w:color="auto"/>
              <w:bottom w:val="single" w:sz="4" w:space="0" w:color="auto"/>
              <w:right w:val="single" w:sz="4" w:space="0" w:color="auto"/>
            </w:tcBorders>
          </w:tcPr>
          <w:p w14:paraId="29E32B83" w14:textId="77777777" w:rsidR="00257C4F" w:rsidRPr="00257C4F" w:rsidRDefault="00257C4F" w:rsidP="00257C4F">
            <w:pPr>
              <w:tabs>
                <w:tab w:val="left" w:pos="284"/>
              </w:tabs>
              <w:spacing w:after="0"/>
              <w:rPr>
                <w:rFonts w:ascii="Arial" w:eastAsia="Times New Roman" w:hAnsi="Arial" w:cs="Arial"/>
                <w:b/>
                <w:bCs/>
                <w:sz w:val="20"/>
                <w:szCs w:val="20"/>
                <w:lang w:val="fr-BE" w:eastAsia="nl-BE"/>
              </w:rPr>
            </w:pPr>
          </w:p>
        </w:tc>
        <w:tc>
          <w:tcPr>
            <w:tcW w:w="1679" w:type="dxa"/>
            <w:tcBorders>
              <w:top w:val="single" w:sz="4" w:space="0" w:color="auto"/>
              <w:left w:val="single" w:sz="4" w:space="0" w:color="auto"/>
              <w:bottom w:val="single" w:sz="4" w:space="0" w:color="auto"/>
              <w:right w:val="single" w:sz="4" w:space="0" w:color="auto"/>
            </w:tcBorders>
            <w:vAlign w:val="bottom"/>
            <w:hideMark/>
          </w:tcPr>
          <w:p w14:paraId="0B090E98" w14:textId="77777777" w:rsidR="00257C4F" w:rsidRPr="00257C4F" w:rsidRDefault="00257C4F" w:rsidP="00257C4F">
            <w:pPr>
              <w:tabs>
                <w:tab w:val="left" w:pos="284"/>
              </w:tabs>
              <w:spacing w:after="0"/>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 </w:t>
            </w:r>
          </w:p>
        </w:tc>
        <w:tc>
          <w:tcPr>
            <w:tcW w:w="1679" w:type="dxa"/>
            <w:tcBorders>
              <w:top w:val="single" w:sz="4" w:space="0" w:color="auto"/>
              <w:left w:val="single" w:sz="4" w:space="0" w:color="auto"/>
              <w:bottom w:val="single" w:sz="4" w:space="0" w:color="auto"/>
              <w:right w:val="single" w:sz="4" w:space="0" w:color="auto"/>
            </w:tcBorders>
          </w:tcPr>
          <w:p w14:paraId="75819410" w14:textId="77777777" w:rsidR="00257C4F" w:rsidRPr="00257C4F" w:rsidRDefault="00257C4F" w:rsidP="00257C4F">
            <w:pPr>
              <w:tabs>
                <w:tab w:val="left" w:pos="284"/>
              </w:tabs>
              <w:spacing w:after="0"/>
              <w:rPr>
                <w:rFonts w:ascii="Arial" w:eastAsia="Times New Roman" w:hAnsi="Arial" w:cs="Arial"/>
                <w:b/>
                <w:bCs/>
                <w:sz w:val="20"/>
                <w:szCs w:val="20"/>
                <w:lang w:val="fr-BE" w:eastAsia="nl-BE"/>
              </w:rPr>
            </w:pPr>
          </w:p>
        </w:tc>
      </w:tr>
      <w:tr w:rsidR="00257C4F" w:rsidRPr="00257C4F" w14:paraId="4E5FA274" w14:textId="77777777" w:rsidTr="00ED4F4C">
        <w:trPr>
          <w:trHeight w:val="261"/>
          <w:jc w:val="center"/>
        </w:trPr>
        <w:tc>
          <w:tcPr>
            <w:tcW w:w="2232" w:type="dxa"/>
            <w:tcBorders>
              <w:top w:val="single" w:sz="4" w:space="0" w:color="auto"/>
              <w:left w:val="single" w:sz="4" w:space="0" w:color="auto"/>
              <w:bottom w:val="single" w:sz="4" w:space="0" w:color="auto"/>
              <w:right w:val="single" w:sz="4" w:space="0" w:color="auto"/>
            </w:tcBorders>
            <w:shd w:val="clear" w:color="auto" w:fill="D9D9D9"/>
            <w:noWrap/>
            <w:hideMark/>
          </w:tcPr>
          <w:p w14:paraId="11912FCA" w14:textId="77777777" w:rsidR="00257C4F" w:rsidRPr="00257C4F" w:rsidRDefault="00257C4F" w:rsidP="00257C4F">
            <w:pPr>
              <w:tabs>
                <w:tab w:val="left" w:pos="284"/>
              </w:tabs>
              <w:spacing w:after="0"/>
              <w:jc w:val="center"/>
              <w:rPr>
                <w:rFonts w:ascii="Arial" w:eastAsia="Times New Roman" w:hAnsi="Arial" w:cs="Arial"/>
                <w:b/>
                <w:bCs/>
                <w:sz w:val="20"/>
                <w:szCs w:val="20"/>
                <w:lang w:val="fr-BE" w:eastAsia="nl-BE"/>
              </w:rPr>
            </w:pPr>
            <w:r w:rsidRPr="00257C4F">
              <w:rPr>
                <w:rFonts w:ascii="Arial" w:eastAsia="Times New Roman" w:hAnsi="Arial" w:cs="Arial"/>
                <w:b/>
                <w:bCs/>
                <w:sz w:val="20"/>
                <w:szCs w:val="20"/>
                <w:lang w:val="fr-BE" w:eastAsia="nl-BE"/>
              </w:rPr>
              <w:t>Période de référence d’un an</w:t>
            </w:r>
          </w:p>
        </w:tc>
        <w:tc>
          <w:tcPr>
            <w:tcW w:w="1429" w:type="dxa"/>
            <w:tcBorders>
              <w:top w:val="single" w:sz="4" w:space="0" w:color="auto"/>
              <w:left w:val="single" w:sz="4" w:space="0" w:color="auto"/>
              <w:bottom w:val="single" w:sz="4" w:space="0" w:color="auto"/>
              <w:right w:val="single" w:sz="4" w:space="0" w:color="auto"/>
            </w:tcBorders>
          </w:tcPr>
          <w:p w14:paraId="09E31813" w14:textId="77777777" w:rsidR="00257C4F" w:rsidRPr="00257C4F" w:rsidRDefault="00257C4F" w:rsidP="00257C4F">
            <w:pPr>
              <w:tabs>
                <w:tab w:val="left" w:pos="284"/>
              </w:tabs>
              <w:spacing w:after="0"/>
              <w:rPr>
                <w:rFonts w:ascii="Arial" w:eastAsia="Times New Roman" w:hAnsi="Arial" w:cs="Arial"/>
                <w:sz w:val="20"/>
                <w:szCs w:val="20"/>
                <w:lang w:val="fr-BE" w:eastAsia="nl-BE"/>
              </w:rPr>
            </w:pPr>
          </w:p>
        </w:tc>
        <w:tc>
          <w:tcPr>
            <w:tcW w:w="1679" w:type="dxa"/>
            <w:tcBorders>
              <w:top w:val="single" w:sz="4" w:space="0" w:color="auto"/>
              <w:left w:val="single" w:sz="4" w:space="0" w:color="auto"/>
              <w:bottom w:val="single" w:sz="4" w:space="0" w:color="auto"/>
              <w:right w:val="single" w:sz="4" w:space="0" w:color="auto"/>
            </w:tcBorders>
          </w:tcPr>
          <w:p w14:paraId="681F5383" w14:textId="77777777" w:rsidR="00257C4F" w:rsidRPr="00257C4F" w:rsidRDefault="00257C4F" w:rsidP="00257C4F">
            <w:pPr>
              <w:tabs>
                <w:tab w:val="left" w:pos="284"/>
              </w:tabs>
              <w:spacing w:after="0"/>
              <w:rPr>
                <w:rFonts w:ascii="Arial" w:eastAsia="Times New Roman" w:hAnsi="Arial" w:cs="Arial"/>
                <w:sz w:val="20"/>
                <w:szCs w:val="20"/>
                <w:lang w:val="fr-BE" w:eastAsia="nl-BE"/>
              </w:rPr>
            </w:pP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14D3B4CA" w14:textId="77777777" w:rsidR="00257C4F" w:rsidRPr="00257C4F" w:rsidRDefault="00257C4F" w:rsidP="00257C4F">
            <w:pPr>
              <w:tabs>
                <w:tab w:val="left" w:pos="284"/>
              </w:tabs>
              <w:spacing w:after="0"/>
              <w:rPr>
                <w:rFonts w:ascii="Arial" w:eastAsia="Times New Roman" w:hAnsi="Arial" w:cs="Arial"/>
                <w:sz w:val="20"/>
                <w:szCs w:val="20"/>
                <w:lang w:val="fr-BE" w:eastAsia="nl-BE"/>
              </w:rPr>
            </w:pPr>
            <w:r w:rsidRPr="00257C4F">
              <w:rPr>
                <w:rFonts w:ascii="Arial" w:eastAsia="Times New Roman" w:hAnsi="Arial" w:cs="Arial"/>
                <w:sz w:val="20"/>
                <w:szCs w:val="20"/>
                <w:lang w:val="fr-BE" w:eastAsia="nl-BE"/>
              </w:rPr>
              <w:t> </w:t>
            </w:r>
          </w:p>
        </w:tc>
        <w:tc>
          <w:tcPr>
            <w:tcW w:w="1679" w:type="dxa"/>
            <w:tcBorders>
              <w:top w:val="single" w:sz="4" w:space="0" w:color="auto"/>
              <w:left w:val="single" w:sz="4" w:space="0" w:color="auto"/>
              <w:bottom w:val="single" w:sz="4" w:space="0" w:color="auto"/>
              <w:right w:val="single" w:sz="4" w:space="0" w:color="auto"/>
            </w:tcBorders>
          </w:tcPr>
          <w:p w14:paraId="18CB67F3" w14:textId="77777777" w:rsidR="00257C4F" w:rsidRPr="00257C4F" w:rsidRDefault="00257C4F" w:rsidP="00257C4F">
            <w:pPr>
              <w:tabs>
                <w:tab w:val="left" w:pos="284"/>
              </w:tabs>
              <w:spacing w:after="0"/>
              <w:rPr>
                <w:rFonts w:ascii="Arial" w:eastAsia="Times New Roman" w:hAnsi="Arial" w:cs="Arial"/>
                <w:sz w:val="20"/>
                <w:szCs w:val="20"/>
                <w:lang w:val="fr-BE" w:eastAsia="nl-BE"/>
              </w:rPr>
            </w:pPr>
          </w:p>
        </w:tc>
      </w:tr>
    </w:tbl>
    <w:p w14:paraId="45E8196D"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ab/>
      </w:r>
      <w:r w:rsidRPr="00257C4F">
        <w:rPr>
          <w:rFonts w:ascii="Arial" w:eastAsia="Times New Roman" w:hAnsi="Arial" w:cs="Arial"/>
          <w:sz w:val="20"/>
          <w:szCs w:val="20"/>
          <w:lang w:val="fr-BE"/>
        </w:rPr>
        <w:tab/>
        <w:t xml:space="preserve"> </w:t>
      </w:r>
      <w:r w:rsidRPr="00257C4F">
        <w:rPr>
          <w:rFonts w:ascii="Arial" w:eastAsia="Times New Roman" w:hAnsi="Arial" w:cs="Arial"/>
          <w:sz w:val="20"/>
          <w:szCs w:val="20"/>
          <w:lang w:val="fr-BE"/>
        </w:rPr>
        <w:tab/>
      </w:r>
    </w:p>
    <w:p w14:paraId="742449E7"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p w14:paraId="2F3424EB"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Ces statistiques donnent un aperçu du nombre de DSH dans le cadre de l’I.M. pour une période donnée, soit entre le 1</w:t>
      </w:r>
      <w:r w:rsidRPr="00257C4F">
        <w:rPr>
          <w:rFonts w:ascii="Arial" w:eastAsia="Times New Roman" w:hAnsi="Arial" w:cs="Arial"/>
          <w:sz w:val="20"/>
          <w:szCs w:val="20"/>
          <w:vertAlign w:val="superscript"/>
          <w:lang w:val="fr-BE"/>
        </w:rPr>
        <w:t>er</w:t>
      </w:r>
      <w:r w:rsidRPr="00257C4F">
        <w:rPr>
          <w:rFonts w:ascii="Arial" w:eastAsia="Times New Roman" w:hAnsi="Arial" w:cs="Arial"/>
          <w:sz w:val="20"/>
          <w:szCs w:val="20"/>
          <w:lang w:val="fr-BE"/>
        </w:rPr>
        <w:t xml:space="preserve"> janvier et le 30 juin et entre le 1</w:t>
      </w:r>
      <w:r w:rsidRPr="00257C4F">
        <w:rPr>
          <w:rFonts w:ascii="Arial" w:eastAsia="Times New Roman" w:hAnsi="Arial" w:cs="Arial"/>
          <w:sz w:val="20"/>
          <w:szCs w:val="20"/>
          <w:vertAlign w:val="superscript"/>
          <w:lang w:val="fr-BE"/>
        </w:rPr>
        <w:t>er</w:t>
      </w:r>
      <w:r w:rsidRPr="00257C4F">
        <w:rPr>
          <w:rFonts w:ascii="Arial" w:eastAsia="Times New Roman" w:hAnsi="Arial" w:cs="Arial"/>
          <w:sz w:val="20"/>
          <w:szCs w:val="20"/>
          <w:lang w:val="fr-BE"/>
        </w:rPr>
        <w:t xml:space="preserve"> juillet et le 31 décembre. </w:t>
      </w:r>
    </w:p>
    <w:p w14:paraId="7E792AE7"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p w14:paraId="096FD077"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Les DSH peuvent être refusées parce que le revenu du ménage dépasse le plafond ou que la déclaration est incomplète (justificatifs manquants…).</w:t>
      </w:r>
    </w:p>
    <w:p w14:paraId="219D121D"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p w14:paraId="21CCB4CF"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Ce rapport concerne uniquement les DSH lors de l’ouverture d’un droit. Les DSH sur les contrôles intermédiaires figurent dans le rapport à l’annexe 2. L’information sur le nombre des DSH en cas de nouvel examen du dossier pendant le contrôle systématique se retrouve dans le fichier feed-back.</w:t>
      </w:r>
    </w:p>
    <w:p w14:paraId="45412D9C"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p w14:paraId="707F8D4A"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 xml:space="preserve">Parmi les dossiers refusés, on retrouve outre les DSH avec dépassement, ceux qui étaient incomplets à l’échéance. Si nous ne savons pas encore ce qu’il en est au moment de transmettre les statistiques, nous les inscrivons dans la colonne (supplémentaire) des dossiers en suspens. Cela nous donne les catégories suivantes : DSH introduites – DSH approuvées (ouvertures du droit) – dossiers en suspens – dossiers refusés (incomplets à l’échéance + revenu du ménage supérieur au plafond).  </w:t>
      </w:r>
    </w:p>
    <w:p w14:paraId="685C44FE"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p>
    <w:p w14:paraId="36CFC0E1" w14:textId="77777777" w:rsidR="00257C4F" w:rsidRPr="00257C4F" w:rsidRDefault="00257C4F" w:rsidP="00257C4F">
      <w:pPr>
        <w:tabs>
          <w:tab w:val="left" w:pos="284"/>
        </w:tabs>
        <w:spacing w:after="0" w:line="240" w:lineRule="auto"/>
        <w:jc w:val="both"/>
        <w:rPr>
          <w:rFonts w:ascii="Arial" w:eastAsia="Times New Roman" w:hAnsi="Arial" w:cs="Arial"/>
          <w:sz w:val="20"/>
          <w:szCs w:val="20"/>
          <w:lang w:val="fr-BE"/>
        </w:rPr>
      </w:pPr>
      <w:r w:rsidRPr="00257C4F">
        <w:rPr>
          <w:rFonts w:ascii="Arial" w:eastAsia="Times New Roman" w:hAnsi="Arial" w:cs="Arial"/>
          <w:sz w:val="20"/>
          <w:szCs w:val="20"/>
          <w:lang w:val="fr-BE"/>
        </w:rPr>
        <w:t xml:space="preserve">Les DSH sont inscrites dans le semestre de la demande. </w:t>
      </w:r>
    </w:p>
    <w:p w14:paraId="25257D13" w14:textId="2DF7A043" w:rsidR="001E1871" w:rsidRPr="00257C4F" w:rsidRDefault="001E1871" w:rsidP="00257C4F">
      <w:pPr>
        <w:spacing w:after="0" w:line="240" w:lineRule="auto"/>
        <w:rPr>
          <w:rFonts w:ascii="Arial" w:eastAsia="Times New Roman" w:hAnsi="Arial" w:cs="Arial"/>
          <w:sz w:val="20"/>
          <w:szCs w:val="20"/>
          <w:lang w:val="fr-BE"/>
        </w:rPr>
      </w:pPr>
    </w:p>
    <w:sectPr w:rsidR="001E1871" w:rsidRPr="00257C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4F"/>
    <w:rsid w:val="001E1871"/>
    <w:rsid w:val="00257C4F"/>
    <w:rsid w:val="007A4C94"/>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5190"/>
  <w15:chartTrackingRefBased/>
  <w15:docId w15:val="{620945E3-083F-46C7-892E-9F0A1160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24</Value>
      <Value>92</Value>
    </TaxCatchAll>
    <RIDocSummary xmlns="f15eea43-7fa7-45cf-8dc0-d5244e2cd467">Annexe I : Rapport sur le nombre de DSH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237B8C1-3C24-4218-AEEF-D1CD1D7F38DB}"/>
</file>

<file path=customXml/itemProps2.xml><?xml version="1.0" encoding="utf-8"?>
<ds:datastoreItem xmlns:ds="http://schemas.openxmlformats.org/officeDocument/2006/customXml" ds:itemID="{5C1F2D60-0A4B-4845-91E3-0E65CF3015DF}"/>
</file>

<file path=customXml/itemProps3.xml><?xml version="1.0" encoding="utf-8"?>
<ds:datastoreItem xmlns:ds="http://schemas.openxmlformats.org/officeDocument/2006/customXml" ds:itemID="{5191EFEC-E549-4CF3-8A44-62A316BD9576}"/>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1335</Characters>
  <Application>Microsoft Office Word</Application>
  <DocSecurity>0</DocSecurity>
  <Lines>11</Lines>
  <Paragraphs>3</Paragraphs>
  <ScaleCrop>false</ScaleCrop>
  <Company>RIZIV-INAMI</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 Service du contrôle administratif</dc:title>
  <dc:subject/>
  <dc:creator>Karlien Van Hellemont (RIZIV-INAMI)</dc:creator>
  <cp:keywords/>
  <dc:description/>
  <cp:lastModifiedBy>Karlien Van Hellemont (RIZIV-INAMI)</cp:lastModifiedBy>
  <cp:revision>1</cp:revision>
  <dcterms:created xsi:type="dcterms:W3CDTF">2023-05-03T09:37:00Z</dcterms:created>
  <dcterms:modified xsi:type="dcterms:W3CDTF">2023-05-03T09:38:00Z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