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4882" w14:textId="77777777" w:rsidR="00C138B5" w:rsidRPr="00804338" w:rsidRDefault="00C138B5" w:rsidP="00C138B5">
      <w:pPr>
        <w:rPr>
          <w:rFonts w:cs="Arial"/>
          <w:b/>
          <w:bCs/>
          <w:u w:val="single"/>
          <w:lang w:val="fr-FR"/>
        </w:rPr>
      </w:pPr>
    </w:p>
    <w:p w14:paraId="24A7D63C" w14:textId="77777777" w:rsidR="00804338" w:rsidRDefault="00C138B5" w:rsidP="00C138B5">
      <w:pPr>
        <w:jc w:val="center"/>
        <w:rPr>
          <w:rFonts w:cs="Arial"/>
          <w:b/>
          <w:smallCaps/>
          <w:lang w:val="fr-FR"/>
        </w:rPr>
      </w:pPr>
      <w:r w:rsidRPr="00804338">
        <w:rPr>
          <w:rFonts w:cs="Arial"/>
          <w:b/>
          <w:smallCaps/>
          <w:lang w:val="fr-FR"/>
        </w:rPr>
        <w:t xml:space="preserve">Annexe 15, de l’arrêté royal du 8 octobre 1981 sur l’accès au territoire, le séjour, l’établissement </w:t>
      </w:r>
    </w:p>
    <w:p w14:paraId="0F0D7D5E" w14:textId="005A5627" w:rsidR="00C138B5" w:rsidRPr="00804338" w:rsidRDefault="00C138B5" w:rsidP="00C138B5">
      <w:pPr>
        <w:jc w:val="center"/>
        <w:rPr>
          <w:rFonts w:cs="Arial"/>
          <w:b/>
          <w:smallCaps/>
          <w:lang w:val="fr-FR"/>
        </w:rPr>
      </w:pPr>
      <w:r w:rsidRPr="00804338">
        <w:rPr>
          <w:rFonts w:cs="Arial"/>
          <w:b/>
          <w:smallCaps/>
          <w:lang w:val="fr-FR"/>
        </w:rPr>
        <w:t>et l’éloignement des étrangers :</w:t>
      </w:r>
    </w:p>
    <w:p w14:paraId="138F4655" w14:textId="77777777" w:rsidR="00C138B5" w:rsidRPr="00804338" w:rsidRDefault="00C138B5" w:rsidP="00C138B5">
      <w:pPr>
        <w:rPr>
          <w:rFonts w:cs="Arial"/>
          <w:lang w:val="fr-FR"/>
        </w:rPr>
      </w:pPr>
    </w:p>
    <w:tbl>
      <w:tblPr>
        <w:tblStyle w:val="GridTable4-Accent1"/>
        <w:tblW w:w="0" w:type="auto"/>
        <w:tblLook w:val="04A0" w:firstRow="1" w:lastRow="0" w:firstColumn="1" w:lastColumn="0" w:noHBand="0" w:noVBand="1"/>
      </w:tblPr>
      <w:tblGrid>
        <w:gridCol w:w="3046"/>
        <w:gridCol w:w="2526"/>
        <w:gridCol w:w="2361"/>
        <w:gridCol w:w="2239"/>
        <w:gridCol w:w="2778"/>
      </w:tblGrid>
      <w:tr w:rsidR="00C138B5" w:rsidRPr="00804338" w14:paraId="2D62627F" w14:textId="77777777" w:rsidTr="00CE07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46" w:type="dxa"/>
          </w:tcPr>
          <w:p w14:paraId="7A89F3C8" w14:textId="77777777" w:rsidR="00C138B5" w:rsidRPr="00804338" w:rsidRDefault="00C138B5" w:rsidP="0012032D">
            <w:pPr>
              <w:jc w:val="center"/>
              <w:rPr>
                <w:rFonts w:cs="Arial"/>
                <w:smallCaps/>
              </w:rPr>
            </w:pPr>
            <w:r w:rsidRPr="00804338">
              <w:rPr>
                <w:rFonts w:cs="Arial"/>
                <w:smallCaps/>
              </w:rPr>
              <w:t>Hypothèses de délivrance</w:t>
            </w:r>
          </w:p>
        </w:tc>
        <w:tc>
          <w:tcPr>
            <w:tcW w:w="2526" w:type="dxa"/>
          </w:tcPr>
          <w:p w14:paraId="195A35BF" w14:textId="77777777" w:rsidR="00C138B5" w:rsidRPr="00804338"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804338">
              <w:rPr>
                <w:rFonts w:cs="Arial"/>
                <w:smallCaps/>
              </w:rPr>
              <w:t>Durée de validité</w:t>
            </w:r>
          </w:p>
        </w:tc>
        <w:tc>
          <w:tcPr>
            <w:tcW w:w="2361" w:type="dxa"/>
          </w:tcPr>
          <w:p w14:paraId="34CC9E0E" w14:textId="77777777" w:rsidR="00C138B5" w:rsidRPr="00804338"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804338">
              <w:rPr>
                <w:rFonts w:cs="Arial"/>
                <w:smallCaps/>
              </w:rPr>
              <w:t>Prolongation</w:t>
            </w:r>
          </w:p>
        </w:tc>
        <w:tc>
          <w:tcPr>
            <w:tcW w:w="2239" w:type="dxa"/>
          </w:tcPr>
          <w:p w14:paraId="28D8455F" w14:textId="77777777" w:rsidR="00C138B5" w:rsidRPr="00804338"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lang w:val="fr-FR"/>
              </w:rPr>
            </w:pPr>
            <w:r w:rsidRPr="00804338">
              <w:rPr>
                <w:rFonts w:cs="Arial"/>
                <w:smallCaps/>
                <w:lang w:val="fr-FR"/>
              </w:rPr>
              <w:t>Inscription dans le registre national</w:t>
            </w:r>
          </w:p>
        </w:tc>
        <w:tc>
          <w:tcPr>
            <w:tcW w:w="2778" w:type="dxa"/>
          </w:tcPr>
          <w:p w14:paraId="0BEA0F87" w14:textId="77777777" w:rsidR="00C138B5" w:rsidRPr="00804338"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804338">
              <w:rPr>
                <w:rFonts w:cs="Arial"/>
                <w:smallCaps/>
              </w:rPr>
              <w:t>Référence légale/réglementaire</w:t>
            </w:r>
          </w:p>
        </w:tc>
      </w:tr>
      <w:tr w:rsidR="00C138B5" w:rsidRPr="00804338" w14:paraId="6FD1603D"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32695B4F"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Introduction d’une demande d’établissement ou d’acquisition du statut de résident de longue durée et la carte A ou la carte B dont l’étranger est en possession arrive à échéance pendant le délai octroyé à l’Office des étrangers pour statuer sur ladite demande</w:t>
            </w:r>
          </w:p>
        </w:tc>
        <w:tc>
          <w:tcPr>
            <w:tcW w:w="2526" w:type="dxa"/>
          </w:tcPr>
          <w:p w14:paraId="0EE0AFE2"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Durée de validité au délai octroyé à l’Office des étrangers pour statue sur la demande restant à courir (durée de validité variable)</w:t>
            </w:r>
          </w:p>
        </w:tc>
        <w:tc>
          <w:tcPr>
            <w:tcW w:w="2361" w:type="dxa"/>
          </w:tcPr>
          <w:p w14:paraId="5CC81DD5"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Jusqu’à la délivrance de la nouvelle carte électronique</w:t>
            </w:r>
          </w:p>
        </w:tc>
        <w:tc>
          <w:tcPr>
            <w:tcW w:w="2239" w:type="dxa"/>
          </w:tcPr>
          <w:p w14:paraId="042D5F15"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Oui</w:t>
            </w:r>
          </w:p>
        </w:tc>
        <w:tc>
          <w:tcPr>
            <w:tcW w:w="2778" w:type="dxa"/>
          </w:tcPr>
          <w:p w14:paraId="5BA54EEA" w14:textId="77777777" w:rsidR="00C138B5" w:rsidRPr="00804338" w:rsidRDefault="00C138B5" w:rsidP="0012032D">
            <w:pPr>
              <w:jc w:val="both"/>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Article 30, de l’arrêté royal du 8 octobre 1981</w:t>
            </w:r>
          </w:p>
        </w:tc>
      </w:tr>
      <w:tr w:rsidR="00C138B5" w:rsidRPr="00804338" w14:paraId="32470586" w14:textId="77777777" w:rsidTr="00CE07DA">
        <w:tc>
          <w:tcPr>
            <w:cnfStyle w:val="001000000000" w:firstRow="0" w:lastRow="0" w:firstColumn="1" w:lastColumn="0" w:oddVBand="0" w:evenVBand="0" w:oddHBand="0" w:evenHBand="0" w:firstRowFirstColumn="0" w:firstRowLastColumn="0" w:lastRowFirstColumn="0" w:lastRowLastColumn="0"/>
            <w:tcW w:w="3046" w:type="dxa"/>
          </w:tcPr>
          <w:p w14:paraId="4E660051"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Introduction d’une demande de renouvellement de la carte électronique et échéance de ladite carte avant son renouvellement</w:t>
            </w:r>
          </w:p>
        </w:tc>
        <w:tc>
          <w:tcPr>
            <w:tcW w:w="2526" w:type="dxa"/>
          </w:tcPr>
          <w:p w14:paraId="3A26FC84"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04B22CA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2 x 45 jours</w:t>
            </w:r>
          </w:p>
        </w:tc>
        <w:tc>
          <w:tcPr>
            <w:tcW w:w="2239" w:type="dxa"/>
          </w:tcPr>
          <w:p w14:paraId="4268785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Oui</w:t>
            </w:r>
          </w:p>
        </w:tc>
        <w:tc>
          <w:tcPr>
            <w:tcW w:w="2778" w:type="dxa"/>
          </w:tcPr>
          <w:p w14:paraId="3CDE2BE7" w14:textId="77777777" w:rsidR="00C138B5" w:rsidRPr="00804338" w:rsidRDefault="00C138B5" w:rsidP="0012032D">
            <w:pPr>
              <w:jc w:val="both"/>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Articles 33 et 101, de l’arrêté royal du 8 octobre 1981</w:t>
            </w:r>
          </w:p>
        </w:tc>
      </w:tr>
      <w:tr w:rsidR="00C138B5" w:rsidRPr="00804338" w14:paraId="09F41173"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69ABBFE4"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 xml:space="preserve">Etranger s’étant absenté du territoire du Royaume mais qui n’a pas pu revenir dans les délais prévus. Une annexe 15 est délivrée dans l’attente d’une décision de l’Office des étrangers </w:t>
            </w:r>
            <w:r w:rsidRPr="00804338">
              <w:rPr>
                <w:rFonts w:cs="Arial"/>
                <w:b w:val="0"/>
                <w:sz w:val="22"/>
                <w:szCs w:val="22"/>
                <w:lang w:val="fr-FR"/>
              </w:rPr>
              <w:lastRenderedPageBreak/>
              <w:t>replaçant ou non l’étranger dans sa situation de séjour antérieure (contexte du droit de retour).</w:t>
            </w:r>
          </w:p>
        </w:tc>
        <w:tc>
          <w:tcPr>
            <w:tcW w:w="2526" w:type="dxa"/>
          </w:tcPr>
          <w:p w14:paraId="7CED8257"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lastRenderedPageBreak/>
              <w:t>3 mois</w:t>
            </w:r>
          </w:p>
        </w:tc>
        <w:tc>
          <w:tcPr>
            <w:tcW w:w="2361" w:type="dxa"/>
          </w:tcPr>
          <w:p w14:paraId="3EAE2EC1"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Pas de prolongation</w:t>
            </w:r>
          </w:p>
        </w:tc>
        <w:tc>
          <w:tcPr>
            <w:tcW w:w="2239" w:type="dxa"/>
          </w:tcPr>
          <w:p w14:paraId="3B44725D"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Possible</w:t>
            </w:r>
          </w:p>
        </w:tc>
        <w:tc>
          <w:tcPr>
            <w:tcW w:w="2778" w:type="dxa"/>
          </w:tcPr>
          <w:p w14:paraId="4BE421DE" w14:textId="77777777" w:rsidR="00C138B5" w:rsidRPr="00804338" w:rsidRDefault="00C138B5" w:rsidP="0012032D">
            <w:pPr>
              <w:jc w:val="both"/>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Article 40, de l’arrêté royal du 8 octobre 1981</w:t>
            </w:r>
          </w:p>
        </w:tc>
      </w:tr>
      <w:tr w:rsidR="00C138B5" w:rsidRPr="00804338" w14:paraId="756002F5" w14:textId="77777777" w:rsidTr="00CE07DA">
        <w:tc>
          <w:tcPr>
            <w:cnfStyle w:val="001000000000" w:firstRow="0" w:lastRow="0" w:firstColumn="1" w:lastColumn="0" w:oddVBand="0" w:evenVBand="0" w:oddHBand="0" w:evenHBand="0" w:firstRowFirstColumn="0" w:firstRowLastColumn="0" w:lastRowFirstColumn="0" w:lastRowLastColumn="0"/>
            <w:tcW w:w="3046" w:type="dxa"/>
          </w:tcPr>
          <w:p w14:paraId="734E2D69"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Introduction d’une demande de séjour permanent par un membre de la famille d’un citoyen de l’Union et la carte F dont il est en possession arrive à échéance pendant le délai octroyé à l’Office des étrangers pour statuer sur ladite demande</w:t>
            </w:r>
          </w:p>
        </w:tc>
        <w:tc>
          <w:tcPr>
            <w:tcW w:w="2526" w:type="dxa"/>
          </w:tcPr>
          <w:p w14:paraId="1930FDA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Durée de validité au délai octroyé à l’Office des étrangers pour statue sur la demande restant à courir (durée de validité variable)</w:t>
            </w:r>
          </w:p>
        </w:tc>
        <w:tc>
          <w:tcPr>
            <w:tcW w:w="2361" w:type="dxa"/>
          </w:tcPr>
          <w:p w14:paraId="078071F3"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Jusqu’à la délivrance de la nouvelle carte électronique</w:t>
            </w:r>
          </w:p>
        </w:tc>
        <w:tc>
          <w:tcPr>
            <w:tcW w:w="2239" w:type="dxa"/>
          </w:tcPr>
          <w:p w14:paraId="65A02F2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Oui</w:t>
            </w:r>
          </w:p>
        </w:tc>
        <w:tc>
          <w:tcPr>
            <w:tcW w:w="2778" w:type="dxa"/>
          </w:tcPr>
          <w:p w14:paraId="4D3E9828" w14:textId="77777777" w:rsidR="00C138B5" w:rsidRPr="00804338" w:rsidRDefault="00C138B5" w:rsidP="0012032D">
            <w:pPr>
              <w:jc w:val="both"/>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Article 56, de l’arrêté royal du 8 octobre 1981</w:t>
            </w:r>
          </w:p>
        </w:tc>
      </w:tr>
      <w:tr w:rsidR="00C138B5" w:rsidRPr="00804338" w14:paraId="5F479D72"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7F5E5554" w14:textId="77777777" w:rsidR="00C138B5" w:rsidRPr="00804338" w:rsidRDefault="00C138B5" w:rsidP="00804338">
            <w:pPr>
              <w:spacing w:line="276" w:lineRule="auto"/>
              <w:jc w:val="both"/>
              <w:rPr>
                <w:rFonts w:cs="Arial"/>
                <w:b w:val="0"/>
                <w:bCs w:val="0"/>
                <w:sz w:val="22"/>
                <w:szCs w:val="22"/>
                <w:lang w:val="fr-FR"/>
              </w:rPr>
            </w:pPr>
            <w:r w:rsidRPr="00804338">
              <w:rPr>
                <w:rFonts w:cs="Arial"/>
                <w:b w:val="0"/>
                <w:bCs w:val="0"/>
                <w:sz w:val="22"/>
                <w:szCs w:val="22"/>
                <w:lang w:val="fr-FR"/>
              </w:rPr>
              <w:t xml:space="preserve">Recherche d’emploi ou création d’entreprise après études </w:t>
            </w:r>
          </w:p>
        </w:tc>
        <w:tc>
          <w:tcPr>
            <w:tcW w:w="2526" w:type="dxa"/>
          </w:tcPr>
          <w:p w14:paraId="60FC801C"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51CB911B"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2 x 45 jours</w:t>
            </w:r>
          </w:p>
        </w:tc>
        <w:tc>
          <w:tcPr>
            <w:tcW w:w="2239" w:type="dxa"/>
          </w:tcPr>
          <w:p w14:paraId="098A97F9"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Oui</w:t>
            </w:r>
          </w:p>
        </w:tc>
        <w:tc>
          <w:tcPr>
            <w:tcW w:w="2778" w:type="dxa"/>
          </w:tcPr>
          <w:p w14:paraId="24F4D2CC" w14:textId="77777777" w:rsidR="00C138B5" w:rsidRPr="00804338" w:rsidRDefault="00C138B5" w:rsidP="0012032D">
            <w:pPr>
              <w:jc w:val="both"/>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Article 104/5, de l’arrêté royale du 8 octobre 1981</w:t>
            </w:r>
          </w:p>
        </w:tc>
      </w:tr>
      <w:tr w:rsidR="00C138B5" w:rsidRPr="00804338" w14:paraId="3166CA78" w14:textId="77777777" w:rsidTr="00CE07DA">
        <w:tc>
          <w:tcPr>
            <w:cnfStyle w:val="001000000000" w:firstRow="0" w:lastRow="0" w:firstColumn="1" w:lastColumn="0" w:oddVBand="0" w:evenVBand="0" w:oddHBand="0" w:evenHBand="0" w:firstRowFirstColumn="0" w:firstRowLastColumn="0" w:lastRowFirstColumn="0" w:lastRowLastColumn="0"/>
            <w:tcW w:w="3046" w:type="dxa"/>
          </w:tcPr>
          <w:p w14:paraId="5970073D" w14:textId="77777777" w:rsidR="00C138B5" w:rsidRPr="00804338" w:rsidRDefault="00C138B5" w:rsidP="00804338">
            <w:pPr>
              <w:spacing w:line="276" w:lineRule="auto"/>
              <w:jc w:val="both"/>
              <w:rPr>
                <w:rFonts w:cs="Arial"/>
                <w:b w:val="0"/>
                <w:bCs w:val="0"/>
                <w:sz w:val="22"/>
                <w:szCs w:val="22"/>
                <w:lang w:val="fr-FR"/>
              </w:rPr>
            </w:pPr>
            <w:r w:rsidRPr="00804338">
              <w:rPr>
                <w:rFonts w:cs="Arial"/>
                <w:b w:val="0"/>
                <w:bCs w:val="0"/>
                <w:sz w:val="22"/>
                <w:szCs w:val="22"/>
                <w:lang w:val="fr-FR"/>
              </w:rPr>
              <w:t>Recherche d’emploi ou création d’entreprise après recherches</w:t>
            </w:r>
          </w:p>
        </w:tc>
        <w:tc>
          <w:tcPr>
            <w:tcW w:w="2526" w:type="dxa"/>
          </w:tcPr>
          <w:p w14:paraId="39D28D6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5D882F0A"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2 x 45 jours</w:t>
            </w:r>
          </w:p>
        </w:tc>
        <w:tc>
          <w:tcPr>
            <w:tcW w:w="2239" w:type="dxa"/>
          </w:tcPr>
          <w:p w14:paraId="4C81856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Oui</w:t>
            </w:r>
          </w:p>
        </w:tc>
        <w:tc>
          <w:tcPr>
            <w:tcW w:w="2778" w:type="dxa"/>
          </w:tcPr>
          <w:p w14:paraId="1FE86491" w14:textId="77777777" w:rsidR="00C138B5" w:rsidRPr="00804338" w:rsidRDefault="00C138B5" w:rsidP="0012032D">
            <w:pPr>
              <w:jc w:val="both"/>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Article 105/91, de l’arrêté royale du 8 octobre 1981</w:t>
            </w:r>
          </w:p>
        </w:tc>
      </w:tr>
      <w:tr w:rsidR="00C138B5" w:rsidRPr="00804338" w14:paraId="3B246917"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4F72357C" w14:textId="77777777" w:rsidR="00C138B5" w:rsidRPr="00804338" w:rsidRDefault="00C138B5" w:rsidP="00804338">
            <w:pPr>
              <w:spacing w:line="276" w:lineRule="auto"/>
              <w:jc w:val="both"/>
              <w:rPr>
                <w:rFonts w:cs="Arial"/>
                <w:b w:val="0"/>
                <w:sz w:val="22"/>
                <w:szCs w:val="22"/>
              </w:rPr>
            </w:pPr>
            <w:r w:rsidRPr="00804338">
              <w:rPr>
                <w:rFonts w:cs="Arial"/>
                <w:b w:val="0"/>
                <w:sz w:val="22"/>
                <w:szCs w:val="22"/>
              </w:rPr>
              <w:t>Travailleurs frontaliers</w:t>
            </w:r>
          </w:p>
        </w:tc>
        <w:tc>
          <w:tcPr>
            <w:tcW w:w="2526" w:type="dxa"/>
          </w:tcPr>
          <w:p w14:paraId="6B7AB25B"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Identique à la durée de l’occupation de l’étranger comme travailleur frontalier (durée de validité variable)</w:t>
            </w:r>
          </w:p>
        </w:tc>
        <w:tc>
          <w:tcPr>
            <w:tcW w:w="2361" w:type="dxa"/>
          </w:tcPr>
          <w:p w14:paraId="5D1944DE"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Non</w:t>
            </w:r>
          </w:p>
        </w:tc>
        <w:tc>
          <w:tcPr>
            <w:tcW w:w="2239" w:type="dxa"/>
          </w:tcPr>
          <w:p w14:paraId="2D73E393"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Non</w:t>
            </w:r>
          </w:p>
        </w:tc>
        <w:tc>
          <w:tcPr>
            <w:tcW w:w="2778" w:type="dxa"/>
          </w:tcPr>
          <w:p w14:paraId="51EE3998" w14:textId="77777777" w:rsidR="00C138B5" w:rsidRPr="00804338" w:rsidRDefault="00C138B5" w:rsidP="0012032D">
            <w:pPr>
              <w:jc w:val="both"/>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Article 109, de l’arrêté royal du 8 octobre 1980</w:t>
            </w:r>
          </w:p>
        </w:tc>
      </w:tr>
      <w:tr w:rsidR="00C138B5" w:rsidRPr="00804338" w14:paraId="476C0F71" w14:textId="77777777" w:rsidTr="00CE07DA">
        <w:tc>
          <w:tcPr>
            <w:cnfStyle w:val="001000000000" w:firstRow="0" w:lastRow="0" w:firstColumn="1" w:lastColumn="0" w:oddVBand="0" w:evenVBand="0" w:oddHBand="0" w:evenHBand="0" w:firstRowFirstColumn="0" w:firstRowLastColumn="0" w:lastRowFirstColumn="0" w:lastRowLastColumn="0"/>
            <w:tcW w:w="3046" w:type="dxa"/>
          </w:tcPr>
          <w:p w14:paraId="7EE06E45"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lastRenderedPageBreak/>
              <w:t>Procédure de séjour en qualité de victimes de la traite des êtres humains</w:t>
            </w:r>
          </w:p>
        </w:tc>
        <w:tc>
          <w:tcPr>
            <w:tcW w:w="2526" w:type="dxa"/>
          </w:tcPr>
          <w:p w14:paraId="02F341E2"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49333578"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Non</w:t>
            </w:r>
          </w:p>
        </w:tc>
        <w:tc>
          <w:tcPr>
            <w:tcW w:w="2239" w:type="dxa"/>
          </w:tcPr>
          <w:p w14:paraId="4C97298B"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Non</w:t>
            </w:r>
          </w:p>
        </w:tc>
        <w:tc>
          <w:tcPr>
            <w:tcW w:w="2778" w:type="dxa"/>
          </w:tcPr>
          <w:p w14:paraId="5E218805" w14:textId="77777777" w:rsidR="00C138B5" w:rsidRPr="00804338" w:rsidRDefault="00C138B5" w:rsidP="0012032D">
            <w:pPr>
              <w:jc w:val="both"/>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Article 110</w:t>
            </w:r>
            <w:r w:rsidRPr="00804338">
              <w:rPr>
                <w:rFonts w:cs="Arial"/>
                <w:i/>
                <w:sz w:val="22"/>
                <w:szCs w:val="22"/>
                <w:lang w:val="fr-FR"/>
              </w:rPr>
              <w:t>bis</w:t>
            </w:r>
            <w:r w:rsidRPr="00804338">
              <w:rPr>
                <w:rFonts w:cs="Arial"/>
                <w:sz w:val="22"/>
                <w:szCs w:val="22"/>
                <w:lang w:val="fr-FR"/>
              </w:rPr>
              <w:t>, de l’arrêté royal du 8 octobre 1981</w:t>
            </w:r>
          </w:p>
        </w:tc>
      </w:tr>
      <w:tr w:rsidR="00C138B5" w:rsidRPr="00804338" w14:paraId="19E9CE39"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179943E9"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Impossibilité d’inscrire immédiatement un étranger pour autant que l’étranger dispose d’un droit à l’inscription</w:t>
            </w:r>
            <w:r w:rsidRPr="00804338">
              <w:rPr>
                <w:rStyle w:val="FootnoteReference"/>
                <w:rFonts w:cs="Arial"/>
                <w:sz w:val="22"/>
                <w:szCs w:val="22"/>
              </w:rPr>
              <w:footnoteReference w:id="1"/>
            </w:r>
          </w:p>
        </w:tc>
        <w:tc>
          <w:tcPr>
            <w:tcW w:w="2526" w:type="dxa"/>
          </w:tcPr>
          <w:p w14:paraId="6DCEFDA9"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38E62931"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2 x 45 jours</w:t>
            </w:r>
          </w:p>
        </w:tc>
        <w:tc>
          <w:tcPr>
            <w:tcW w:w="2239" w:type="dxa"/>
          </w:tcPr>
          <w:p w14:paraId="70C70CBF" w14:textId="77777777" w:rsidR="00C138B5" w:rsidRPr="00804338" w:rsidRDefault="00C138B5" w:rsidP="0012032D">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04338">
              <w:rPr>
                <w:rFonts w:cs="Arial"/>
                <w:sz w:val="22"/>
                <w:szCs w:val="22"/>
              </w:rPr>
              <w:t>Pas encore</w:t>
            </w:r>
          </w:p>
        </w:tc>
        <w:tc>
          <w:tcPr>
            <w:tcW w:w="2778" w:type="dxa"/>
          </w:tcPr>
          <w:p w14:paraId="1F40F453" w14:textId="77777777" w:rsidR="00C138B5" w:rsidRPr="00804338" w:rsidRDefault="00C138B5" w:rsidP="0012032D">
            <w:pPr>
              <w:jc w:val="both"/>
              <w:cnfStyle w:val="000000100000" w:firstRow="0" w:lastRow="0" w:firstColumn="0" w:lastColumn="0" w:oddVBand="0" w:evenVBand="0" w:oddHBand="1" w:evenHBand="0" w:firstRowFirstColumn="0" w:firstRowLastColumn="0" w:lastRowFirstColumn="0" w:lastRowLastColumn="0"/>
              <w:rPr>
                <w:rFonts w:cs="Arial"/>
                <w:sz w:val="22"/>
                <w:szCs w:val="22"/>
                <w:lang w:val="fr-FR"/>
              </w:rPr>
            </w:pPr>
            <w:r w:rsidRPr="00804338">
              <w:rPr>
                <w:rFonts w:cs="Arial"/>
                <w:sz w:val="22"/>
                <w:szCs w:val="22"/>
                <w:lang w:val="fr-FR"/>
              </w:rPr>
              <w:t>Article 119, de l’arrêté royal du 8 octobre 1981</w:t>
            </w:r>
          </w:p>
        </w:tc>
      </w:tr>
      <w:tr w:rsidR="00C138B5" w:rsidRPr="00804338" w14:paraId="77A164B5" w14:textId="77777777" w:rsidTr="00CE07DA">
        <w:tc>
          <w:tcPr>
            <w:cnfStyle w:val="001000000000" w:firstRow="0" w:lastRow="0" w:firstColumn="1" w:lastColumn="0" w:oddVBand="0" w:evenVBand="0" w:oddHBand="0" w:evenHBand="0" w:firstRowFirstColumn="0" w:firstRowLastColumn="0" w:lastRowFirstColumn="0" w:lastRowLastColumn="0"/>
            <w:tcW w:w="3046" w:type="dxa"/>
          </w:tcPr>
          <w:p w14:paraId="399931C8" w14:textId="77777777" w:rsidR="00C138B5" w:rsidRPr="00804338" w:rsidRDefault="00C138B5" w:rsidP="00804338">
            <w:pPr>
              <w:spacing w:line="276" w:lineRule="auto"/>
              <w:jc w:val="both"/>
              <w:rPr>
                <w:rFonts w:cs="Arial"/>
                <w:b w:val="0"/>
                <w:sz w:val="22"/>
                <w:szCs w:val="22"/>
                <w:lang w:val="fr-FR"/>
              </w:rPr>
            </w:pPr>
            <w:r w:rsidRPr="00804338">
              <w:rPr>
                <w:rFonts w:cs="Arial"/>
                <w:b w:val="0"/>
                <w:sz w:val="22"/>
                <w:szCs w:val="22"/>
                <w:lang w:val="fr-FR"/>
              </w:rPr>
              <w:t>Impossibilité de délivrer immédiatement un titre ou un document de séjour à un étranger pour autant que l’étranger dispose d’un droit à l’obtention du titre ou du document de séjour</w:t>
            </w:r>
            <w:r w:rsidRPr="00804338">
              <w:rPr>
                <w:rStyle w:val="FootnoteReference"/>
                <w:rFonts w:cs="Arial"/>
                <w:sz w:val="22"/>
                <w:szCs w:val="22"/>
              </w:rPr>
              <w:footnoteReference w:id="2"/>
            </w:r>
          </w:p>
        </w:tc>
        <w:tc>
          <w:tcPr>
            <w:tcW w:w="2526" w:type="dxa"/>
          </w:tcPr>
          <w:p w14:paraId="45178DAA"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45 jours</w:t>
            </w:r>
          </w:p>
        </w:tc>
        <w:tc>
          <w:tcPr>
            <w:tcW w:w="2361" w:type="dxa"/>
          </w:tcPr>
          <w:p w14:paraId="33A27B97"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2 x 45 jours</w:t>
            </w:r>
          </w:p>
        </w:tc>
        <w:tc>
          <w:tcPr>
            <w:tcW w:w="2239" w:type="dxa"/>
          </w:tcPr>
          <w:p w14:paraId="7B6C189C" w14:textId="77777777" w:rsidR="00C138B5" w:rsidRPr="00804338" w:rsidRDefault="00C138B5" w:rsidP="0012032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4338">
              <w:rPr>
                <w:rFonts w:cs="Arial"/>
                <w:sz w:val="22"/>
                <w:szCs w:val="22"/>
              </w:rPr>
              <w:t>Possible</w:t>
            </w:r>
          </w:p>
        </w:tc>
        <w:tc>
          <w:tcPr>
            <w:tcW w:w="2778" w:type="dxa"/>
          </w:tcPr>
          <w:p w14:paraId="7CF900D2" w14:textId="77777777" w:rsidR="00C138B5" w:rsidRPr="00804338" w:rsidRDefault="00C138B5" w:rsidP="0012032D">
            <w:pPr>
              <w:jc w:val="both"/>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04338">
              <w:rPr>
                <w:rFonts w:cs="Arial"/>
                <w:sz w:val="22"/>
                <w:szCs w:val="22"/>
                <w:lang w:val="fr-FR"/>
              </w:rPr>
              <w:t>Article 119, de l’arrêté royal du 8 octobre 1981</w:t>
            </w:r>
          </w:p>
        </w:tc>
      </w:tr>
    </w:tbl>
    <w:p w14:paraId="05A16DAB" w14:textId="77777777" w:rsidR="00C138B5" w:rsidRPr="00804338" w:rsidRDefault="00C138B5" w:rsidP="00C138B5">
      <w:pPr>
        <w:rPr>
          <w:rFonts w:cs="Arial"/>
          <w:lang w:val="fr-FR"/>
        </w:rPr>
      </w:pPr>
    </w:p>
    <w:p w14:paraId="1CF8DA9E" w14:textId="77777777" w:rsidR="00C138B5" w:rsidRPr="00804338" w:rsidRDefault="00C138B5" w:rsidP="00C138B5">
      <w:pPr>
        <w:rPr>
          <w:rFonts w:cs="Arial"/>
          <w:lang w:val="fr-FR"/>
        </w:rPr>
      </w:pPr>
      <w:r w:rsidRPr="00804338">
        <w:rPr>
          <w:rFonts w:cs="Arial"/>
          <w:lang w:val="fr-FR"/>
        </w:rPr>
        <w:br w:type="page"/>
      </w:r>
    </w:p>
    <w:p w14:paraId="373416EA" w14:textId="77777777" w:rsidR="00CE07DA" w:rsidRDefault="00C138B5" w:rsidP="00CE07DA">
      <w:pPr>
        <w:spacing w:line="276" w:lineRule="auto"/>
        <w:jc w:val="center"/>
        <w:rPr>
          <w:rFonts w:eastAsia="Calibri" w:cs="Arial"/>
          <w:b/>
          <w:smallCaps/>
          <w:lang w:val="fr-FR"/>
        </w:rPr>
      </w:pPr>
      <w:r w:rsidRPr="00804338">
        <w:rPr>
          <w:rFonts w:eastAsia="Calibri" w:cs="Arial"/>
          <w:b/>
          <w:smallCaps/>
          <w:lang w:val="fr-FR"/>
        </w:rPr>
        <w:lastRenderedPageBreak/>
        <w:t xml:space="preserve">Annexe 49, de l’arrêté royal du 8 octobre 1981 sur l’accès au territoire, le séjour, l’établissement </w:t>
      </w:r>
    </w:p>
    <w:p w14:paraId="11E79A4C" w14:textId="3BDD6337" w:rsidR="00C138B5" w:rsidRPr="00804338" w:rsidRDefault="00C138B5" w:rsidP="00CE07DA">
      <w:pPr>
        <w:spacing w:line="276" w:lineRule="auto"/>
        <w:jc w:val="center"/>
        <w:rPr>
          <w:rFonts w:eastAsia="Calibri" w:cs="Arial"/>
          <w:b/>
          <w:smallCaps/>
          <w:lang w:val="fr-FR"/>
        </w:rPr>
      </w:pPr>
      <w:r w:rsidRPr="00804338">
        <w:rPr>
          <w:rFonts w:eastAsia="Calibri" w:cs="Arial"/>
          <w:b/>
          <w:smallCaps/>
          <w:lang w:val="fr-FR"/>
        </w:rPr>
        <w:t>et l’éloignement des étrangers :</w:t>
      </w:r>
    </w:p>
    <w:p w14:paraId="767131EC" w14:textId="77777777" w:rsidR="00C138B5" w:rsidRPr="00804338" w:rsidRDefault="00C138B5" w:rsidP="00C138B5">
      <w:pPr>
        <w:rPr>
          <w:rFonts w:cs="Arial"/>
          <w:sz w:val="20"/>
          <w:szCs w:val="20"/>
          <w:lang w:val="fr-FR"/>
        </w:rPr>
      </w:pPr>
    </w:p>
    <w:tbl>
      <w:tblPr>
        <w:tblStyle w:val="GridTable4-Accent1"/>
        <w:tblW w:w="0" w:type="auto"/>
        <w:tblLook w:val="04A0" w:firstRow="1" w:lastRow="0" w:firstColumn="1" w:lastColumn="0" w:noHBand="0" w:noVBand="1"/>
      </w:tblPr>
      <w:tblGrid>
        <w:gridCol w:w="2583"/>
        <w:gridCol w:w="2457"/>
        <w:gridCol w:w="2600"/>
        <w:gridCol w:w="2531"/>
        <w:gridCol w:w="2779"/>
      </w:tblGrid>
      <w:tr w:rsidR="00C138B5" w:rsidRPr="00CE07DA" w14:paraId="3A5528DB" w14:textId="77777777" w:rsidTr="00CE07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8" w:type="dxa"/>
            <w:hideMark/>
          </w:tcPr>
          <w:p w14:paraId="6F951E0C" w14:textId="77777777" w:rsidR="00C138B5" w:rsidRPr="00CE07DA" w:rsidRDefault="00C138B5" w:rsidP="0012032D">
            <w:pPr>
              <w:jc w:val="center"/>
              <w:rPr>
                <w:rFonts w:cs="Arial"/>
                <w:smallCaps/>
              </w:rPr>
            </w:pPr>
            <w:r w:rsidRPr="00CE07DA">
              <w:rPr>
                <w:rFonts w:cs="Arial"/>
                <w:smallCaps/>
              </w:rPr>
              <w:t>Hypothèse de délivrance</w:t>
            </w:r>
          </w:p>
        </w:tc>
        <w:tc>
          <w:tcPr>
            <w:tcW w:w="2799" w:type="dxa"/>
            <w:hideMark/>
          </w:tcPr>
          <w:p w14:paraId="46AEA12E" w14:textId="77777777" w:rsidR="00C138B5" w:rsidRPr="00CE07DA"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CE07DA">
              <w:rPr>
                <w:rFonts w:cs="Arial"/>
                <w:smallCaps/>
              </w:rPr>
              <w:t>Durée de validité</w:t>
            </w:r>
          </w:p>
        </w:tc>
        <w:tc>
          <w:tcPr>
            <w:tcW w:w="2799" w:type="dxa"/>
            <w:hideMark/>
          </w:tcPr>
          <w:p w14:paraId="346A2E10" w14:textId="77777777" w:rsidR="00C138B5" w:rsidRPr="00CE07DA"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CE07DA">
              <w:rPr>
                <w:rFonts w:cs="Arial"/>
                <w:smallCaps/>
              </w:rPr>
              <w:t>Prolongation</w:t>
            </w:r>
          </w:p>
        </w:tc>
        <w:tc>
          <w:tcPr>
            <w:tcW w:w="2799" w:type="dxa"/>
            <w:hideMark/>
          </w:tcPr>
          <w:p w14:paraId="6875F92C" w14:textId="77777777" w:rsidR="00C138B5" w:rsidRPr="00CE07DA"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CE07DA">
              <w:rPr>
                <w:rFonts w:cs="Arial"/>
                <w:smallCaps/>
              </w:rPr>
              <w:t>Inscription dans le registre national des personnes physiques</w:t>
            </w:r>
          </w:p>
        </w:tc>
        <w:tc>
          <w:tcPr>
            <w:tcW w:w="2799" w:type="dxa"/>
            <w:hideMark/>
          </w:tcPr>
          <w:p w14:paraId="10E4F344" w14:textId="77777777" w:rsidR="00C138B5" w:rsidRPr="00CE07DA" w:rsidRDefault="00C138B5" w:rsidP="0012032D">
            <w:pPr>
              <w:jc w:val="center"/>
              <w:cnfStyle w:val="100000000000" w:firstRow="1" w:lastRow="0" w:firstColumn="0" w:lastColumn="0" w:oddVBand="0" w:evenVBand="0" w:oddHBand="0" w:evenHBand="0" w:firstRowFirstColumn="0" w:firstRowLastColumn="0" w:lastRowFirstColumn="0" w:lastRowLastColumn="0"/>
              <w:rPr>
                <w:rFonts w:cs="Arial"/>
                <w:smallCaps/>
              </w:rPr>
            </w:pPr>
            <w:r w:rsidRPr="00CE07DA">
              <w:rPr>
                <w:rFonts w:cs="Arial"/>
                <w:smallCaps/>
              </w:rPr>
              <w:t>Référence légale/réglementaire</w:t>
            </w:r>
          </w:p>
        </w:tc>
      </w:tr>
      <w:tr w:rsidR="00C138B5" w:rsidRPr="00CE07DA" w14:paraId="569BA84D"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465F9761" w14:textId="541E5888"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A (« permis unique ») + non décision avant l’expiration de ladite carte</w:t>
            </w:r>
          </w:p>
        </w:tc>
        <w:tc>
          <w:tcPr>
            <w:tcW w:w="2799" w:type="dxa"/>
            <w:hideMark/>
          </w:tcPr>
          <w:p w14:paraId="5C3F4D5C"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0387BC8F"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2 x 30 jours</w:t>
            </w:r>
          </w:p>
        </w:tc>
        <w:tc>
          <w:tcPr>
            <w:tcW w:w="2799" w:type="dxa"/>
            <w:hideMark/>
          </w:tcPr>
          <w:p w14:paraId="09597047"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4734FB5B"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33, § 2, de l’arrêté royal du 8 octobre 1981</w:t>
            </w:r>
          </w:p>
        </w:tc>
      </w:tr>
      <w:tr w:rsidR="00C138B5" w:rsidRPr="00CE07DA" w14:paraId="23173EDB"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555D77B5" w14:textId="4BBAB0D2"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H + non décision avant l’expiration de ladite carte</w:t>
            </w:r>
          </w:p>
        </w:tc>
        <w:tc>
          <w:tcPr>
            <w:tcW w:w="2799" w:type="dxa"/>
            <w:hideMark/>
          </w:tcPr>
          <w:p w14:paraId="7DC63D5B"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392CCDC3"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1 x 30 jours</w:t>
            </w:r>
          </w:p>
        </w:tc>
        <w:tc>
          <w:tcPr>
            <w:tcW w:w="2799" w:type="dxa"/>
            <w:hideMark/>
          </w:tcPr>
          <w:p w14:paraId="06DE7581"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1F4E8A2A"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33, § 3, de l’arrêté royal du 8 octobre 1981</w:t>
            </w:r>
          </w:p>
        </w:tc>
      </w:tr>
      <w:tr w:rsidR="00C138B5" w:rsidRPr="00CE07DA" w14:paraId="368D6BEB"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38FE5488" w14:textId="07686A17"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A délivrée à un travailleur saisonnier + non décision avant l’expiration de ladite carte</w:t>
            </w:r>
          </w:p>
        </w:tc>
        <w:tc>
          <w:tcPr>
            <w:tcW w:w="2799" w:type="dxa"/>
            <w:hideMark/>
          </w:tcPr>
          <w:p w14:paraId="0FFDB0CA"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15 jours</w:t>
            </w:r>
          </w:p>
        </w:tc>
        <w:tc>
          <w:tcPr>
            <w:tcW w:w="2799" w:type="dxa"/>
            <w:hideMark/>
          </w:tcPr>
          <w:p w14:paraId="1273DE86"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1 x 15 jours</w:t>
            </w:r>
          </w:p>
        </w:tc>
        <w:tc>
          <w:tcPr>
            <w:tcW w:w="2799" w:type="dxa"/>
            <w:hideMark/>
          </w:tcPr>
          <w:p w14:paraId="022C6372"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7BEFB8B1"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33, § 4, de l’arrêté royal du 8 octobre 1981</w:t>
            </w:r>
          </w:p>
        </w:tc>
      </w:tr>
      <w:tr w:rsidR="00C138B5" w:rsidRPr="00CE07DA" w14:paraId="6E1FD5CB"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2F895FC2" w14:textId="680AF511"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lastRenderedPageBreak/>
              <w:t>Introduction d’une demande de renouvellement d’autorisation de travail introduite par un ressortissant de pays tiers séjournant sur base d’un permis de travail B (ou dispense) sauf jeune au pair</w:t>
            </w:r>
          </w:p>
        </w:tc>
        <w:tc>
          <w:tcPr>
            <w:tcW w:w="2799" w:type="dxa"/>
            <w:hideMark/>
          </w:tcPr>
          <w:p w14:paraId="442B56BD"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4DAB7284"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2 x 30 jours</w:t>
            </w:r>
          </w:p>
        </w:tc>
        <w:tc>
          <w:tcPr>
            <w:tcW w:w="2799" w:type="dxa"/>
            <w:hideMark/>
          </w:tcPr>
          <w:p w14:paraId="45551455"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6BF9EDAC"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33, § 5, de l’arrêté royal du 8 octobre 1981</w:t>
            </w:r>
          </w:p>
        </w:tc>
      </w:tr>
      <w:tr w:rsidR="00C138B5" w:rsidRPr="00CE07DA" w14:paraId="4FFAB00E"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4D046470" w14:textId="633E4C88"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I + non décision avant l’expiration de ladite carte</w:t>
            </w:r>
          </w:p>
        </w:tc>
        <w:tc>
          <w:tcPr>
            <w:tcW w:w="2799" w:type="dxa"/>
            <w:hideMark/>
          </w:tcPr>
          <w:p w14:paraId="3C8E0909"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2FFD6AC6"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1 x 30 jours</w:t>
            </w:r>
          </w:p>
        </w:tc>
        <w:tc>
          <w:tcPr>
            <w:tcW w:w="2799" w:type="dxa"/>
            <w:hideMark/>
          </w:tcPr>
          <w:p w14:paraId="27F5F2DE"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2172E653"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33, § 6, de l’arrêté royal du 8 octobre 1981</w:t>
            </w:r>
          </w:p>
        </w:tc>
      </w:tr>
      <w:tr w:rsidR="00C138B5" w:rsidRPr="00CE07DA" w14:paraId="14151303"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57263194" w14:textId="1BF6B9B0"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J + non décision avant l’expiration de ladite carte</w:t>
            </w:r>
          </w:p>
        </w:tc>
        <w:tc>
          <w:tcPr>
            <w:tcW w:w="2799" w:type="dxa"/>
            <w:hideMark/>
          </w:tcPr>
          <w:p w14:paraId="6F48E77C"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5AE56F64"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1 x 30 jours</w:t>
            </w:r>
          </w:p>
        </w:tc>
        <w:tc>
          <w:tcPr>
            <w:tcW w:w="2799" w:type="dxa"/>
            <w:hideMark/>
          </w:tcPr>
          <w:p w14:paraId="2EEF262C"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27982D78"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33, § 6, de l’arrêté royal du 8 octobre 1981</w:t>
            </w:r>
          </w:p>
        </w:tc>
      </w:tr>
      <w:tr w:rsidR="00C138B5" w:rsidRPr="00CE07DA" w14:paraId="371803A8"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64E3910B" w14:textId="11C70AD1"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 xml:space="preserve">Introduction d’une demande de renouvellement d’une </w:t>
            </w:r>
            <w:r w:rsidRPr="00CE07DA">
              <w:rPr>
                <w:rFonts w:cs="Arial"/>
                <w:b w:val="0"/>
                <w:sz w:val="22"/>
                <w:szCs w:val="22"/>
                <w:lang w:val="fr-FR"/>
              </w:rPr>
              <w:lastRenderedPageBreak/>
              <w:t>carte A délivrée à un chercheur + non décision avant l’expiration de ladite carte</w:t>
            </w:r>
          </w:p>
        </w:tc>
        <w:tc>
          <w:tcPr>
            <w:tcW w:w="2799" w:type="dxa"/>
            <w:hideMark/>
          </w:tcPr>
          <w:p w14:paraId="0940318F"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30 jours</w:t>
            </w:r>
          </w:p>
        </w:tc>
        <w:tc>
          <w:tcPr>
            <w:tcW w:w="2799" w:type="dxa"/>
            <w:hideMark/>
          </w:tcPr>
          <w:p w14:paraId="7EB9F743"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1 x 30 jours</w:t>
            </w:r>
          </w:p>
        </w:tc>
        <w:tc>
          <w:tcPr>
            <w:tcW w:w="2799" w:type="dxa"/>
            <w:hideMark/>
          </w:tcPr>
          <w:p w14:paraId="3F4FCE02"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739F088D"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33, § 7, de l’arrêté royal du 8 octobre 1981</w:t>
            </w:r>
          </w:p>
        </w:tc>
      </w:tr>
      <w:tr w:rsidR="00C138B5" w:rsidRPr="00CE07DA" w14:paraId="57C6F372"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54D4529D" w14:textId="7BFC1BE5"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Introduction d’une demande de renouvellement d’une carte A délivrée à un stagiaire + non décision avant l’expiration de ladite carte</w:t>
            </w:r>
          </w:p>
        </w:tc>
        <w:tc>
          <w:tcPr>
            <w:tcW w:w="2799" w:type="dxa"/>
            <w:hideMark/>
          </w:tcPr>
          <w:p w14:paraId="707246E5"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30 jours</w:t>
            </w:r>
          </w:p>
        </w:tc>
        <w:tc>
          <w:tcPr>
            <w:tcW w:w="2799" w:type="dxa"/>
            <w:hideMark/>
          </w:tcPr>
          <w:p w14:paraId="6B16B4AD"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1 x 30 jours</w:t>
            </w:r>
          </w:p>
        </w:tc>
        <w:tc>
          <w:tcPr>
            <w:tcW w:w="2799" w:type="dxa"/>
            <w:hideMark/>
          </w:tcPr>
          <w:p w14:paraId="611E49DB"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c>
          <w:tcPr>
            <w:tcW w:w="2799" w:type="dxa"/>
            <w:hideMark/>
          </w:tcPr>
          <w:p w14:paraId="62043DE2"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33, § 8, de l’arrêté royal du 8 octobre 1981</w:t>
            </w:r>
          </w:p>
        </w:tc>
      </w:tr>
      <w:tr w:rsidR="00C138B5" w:rsidRPr="00CE07DA" w14:paraId="6A4AD82E"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3CC4218" w14:textId="26DCB442"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A (« permis unique ») à un ressortissant de pays tiers titulaire d’un visa « B34 »</w:t>
            </w:r>
          </w:p>
        </w:tc>
        <w:tc>
          <w:tcPr>
            <w:tcW w:w="2799" w:type="dxa"/>
            <w:hideMark/>
          </w:tcPr>
          <w:p w14:paraId="4E104A64"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6202B698"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2 x 45 jours</w:t>
            </w:r>
          </w:p>
        </w:tc>
        <w:tc>
          <w:tcPr>
            <w:tcW w:w="2799" w:type="dxa"/>
            <w:hideMark/>
          </w:tcPr>
          <w:p w14:paraId="1D23BE03"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Possible</w:t>
            </w:r>
          </w:p>
        </w:tc>
        <w:tc>
          <w:tcPr>
            <w:tcW w:w="2799" w:type="dxa"/>
            <w:hideMark/>
          </w:tcPr>
          <w:p w14:paraId="7F3D35EE"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105/2, § 4, de l’arrêté royal du 8 octobre 1981</w:t>
            </w:r>
          </w:p>
        </w:tc>
      </w:tr>
      <w:tr w:rsidR="00C138B5" w:rsidRPr="00CE07DA" w14:paraId="7EF8187F"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40F96BA6" w14:textId="056FA369"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 xml:space="preserve">Dans l’attente de l’inscription dans le registre des étrangers et/ou de la délivrance de </w:t>
            </w:r>
            <w:r w:rsidRPr="00CE07DA">
              <w:rPr>
                <w:rFonts w:cs="Arial"/>
                <w:b w:val="0"/>
                <w:sz w:val="22"/>
                <w:szCs w:val="22"/>
                <w:lang w:val="fr-FR"/>
              </w:rPr>
              <w:lastRenderedPageBreak/>
              <w:t>la carte A (« permis unique ») à un ressortissant de pays tiers dont la demande de séjour/travail est acceptée (« annexe 46 » ou « annexe 47 »)</w:t>
            </w:r>
          </w:p>
        </w:tc>
        <w:tc>
          <w:tcPr>
            <w:tcW w:w="2799" w:type="dxa"/>
            <w:hideMark/>
          </w:tcPr>
          <w:p w14:paraId="3BA39B18"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45 jours</w:t>
            </w:r>
          </w:p>
        </w:tc>
        <w:tc>
          <w:tcPr>
            <w:tcW w:w="2799" w:type="dxa"/>
            <w:hideMark/>
          </w:tcPr>
          <w:p w14:paraId="0E81AEC1"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2 x 45 jours</w:t>
            </w:r>
          </w:p>
        </w:tc>
        <w:tc>
          <w:tcPr>
            <w:tcW w:w="2799" w:type="dxa"/>
            <w:hideMark/>
          </w:tcPr>
          <w:p w14:paraId="2019DD16"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Possible</w:t>
            </w:r>
          </w:p>
        </w:tc>
        <w:tc>
          <w:tcPr>
            <w:tcW w:w="2799" w:type="dxa"/>
            <w:hideMark/>
          </w:tcPr>
          <w:p w14:paraId="1B434699"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105/2, § 5, de l’arrêté royal du 8 octobre 1981</w:t>
            </w:r>
          </w:p>
        </w:tc>
      </w:tr>
      <w:tr w:rsidR="00C138B5" w:rsidRPr="00CE07DA" w14:paraId="37BEC75B"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778F90DF" w14:textId="3CAAF46C"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H à un ressortissant de pays tiers titulaire d’un visa « B29 »</w:t>
            </w:r>
          </w:p>
        </w:tc>
        <w:tc>
          <w:tcPr>
            <w:tcW w:w="2799" w:type="dxa"/>
            <w:hideMark/>
          </w:tcPr>
          <w:p w14:paraId="59B5B871"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2B71A397"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2 x 45 jours</w:t>
            </w:r>
          </w:p>
        </w:tc>
        <w:tc>
          <w:tcPr>
            <w:tcW w:w="2799" w:type="dxa"/>
            <w:hideMark/>
          </w:tcPr>
          <w:p w14:paraId="419D97D8"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Possible</w:t>
            </w:r>
          </w:p>
        </w:tc>
        <w:tc>
          <w:tcPr>
            <w:tcW w:w="2799" w:type="dxa"/>
            <w:hideMark/>
          </w:tcPr>
          <w:p w14:paraId="55D717F4"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105/8, § 3, de l’arrêté royal du 8 octobre 1981</w:t>
            </w:r>
          </w:p>
        </w:tc>
      </w:tr>
      <w:tr w:rsidR="00C138B5" w:rsidRPr="00CE07DA" w14:paraId="13DB88C7"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750EC0B6" w14:textId="15F03EEE"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H à un ressortissant de pays tiers dont la demande de séjour/travail est acceptée (« annexe 46 » ou « annexe 47 »)</w:t>
            </w:r>
          </w:p>
        </w:tc>
        <w:tc>
          <w:tcPr>
            <w:tcW w:w="2799" w:type="dxa"/>
            <w:hideMark/>
          </w:tcPr>
          <w:p w14:paraId="52040412"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7F1D0D69"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2 x 45 jours</w:t>
            </w:r>
          </w:p>
        </w:tc>
        <w:tc>
          <w:tcPr>
            <w:tcW w:w="2799" w:type="dxa"/>
            <w:hideMark/>
          </w:tcPr>
          <w:p w14:paraId="18988469"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Possible</w:t>
            </w:r>
          </w:p>
        </w:tc>
        <w:tc>
          <w:tcPr>
            <w:tcW w:w="2799" w:type="dxa"/>
            <w:hideMark/>
          </w:tcPr>
          <w:p w14:paraId="2E1C6F03"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105/8, § 4, de l’arrêté royal du 8 octobre 1981</w:t>
            </w:r>
          </w:p>
        </w:tc>
      </w:tr>
      <w:tr w:rsidR="00C138B5" w:rsidRPr="00CE07DA" w14:paraId="3FB514A3"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6FEC0486" w14:textId="15205F2F"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lastRenderedPageBreak/>
              <w:t>Dans l’attente de l’inscription dans le registre des étrangers et/ou de la délivrance de la carte A à un ressortissant de pays tiers titulaire d’un visa portant la mention « Travailleur saisonnier »</w:t>
            </w:r>
          </w:p>
        </w:tc>
        <w:tc>
          <w:tcPr>
            <w:tcW w:w="2799" w:type="dxa"/>
            <w:hideMark/>
          </w:tcPr>
          <w:p w14:paraId="4C767C98"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7896AD0E"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A</w:t>
            </w:r>
          </w:p>
        </w:tc>
        <w:tc>
          <w:tcPr>
            <w:tcW w:w="2799" w:type="dxa"/>
            <w:hideMark/>
          </w:tcPr>
          <w:p w14:paraId="4779EA1F"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2B1780CD"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105/24, § 2, de l’arrêté royal du 8 octobre 1981</w:t>
            </w:r>
          </w:p>
        </w:tc>
      </w:tr>
      <w:tr w:rsidR="00C138B5" w:rsidRPr="00CE07DA" w14:paraId="03574E97"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1DBBD04D" w14:textId="4A048F87"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I à un ressortissant de pays tiers titulaire d’un visa « B37 »</w:t>
            </w:r>
          </w:p>
        </w:tc>
        <w:tc>
          <w:tcPr>
            <w:tcW w:w="2799" w:type="dxa"/>
            <w:hideMark/>
          </w:tcPr>
          <w:p w14:paraId="4932CD73"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3D008673"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I</w:t>
            </w:r>
          </w:p>
        </w:tc>
        <w:tc>
          <w:tcPr>
            <w:tcW w:w="2799" w:type="dxa"/>
            <w:hideMark/>
          </w:tcPr>
          <w:p w14:paraId="5832C32A"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2E7616D9"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105/47, § 2, de l’arrêté royal du 8 octobre 1981</w:t>
            </w:r>
          </w:p>
        </w:tc>
      </w:tr>
      <w:tr w:rsidR="00C138B5" w:rsidRPr="00CE07DA" w14:paraId="5830DDF8"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79758879" w14:textId="2C030B55"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J</w:t>
            </w:r>
          </w:p>
        </w:tc>
        <w:tc>
          <w:tcPr>
            <w:tcW w:w="2799" w:type="dxa"/>
            <w:hideMark/>
          </w:tcPr>
          <w:p w14:paraId="2D0184D7"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2E5201C0"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J</w:t>
            </w:r>
          </w:p>
        </w:tc>
        <w:tc>
          <w:tcPr>
            <w:tcW w:w="2799" w:type="dxa"/>
            <w:hideMark/>
          </w:tcPr>
          <w:p w14:paraId="1B19EDD5"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4CC5B801"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105/58, de l’arrêté royal du 8 octobre 1981</w:t>
            </w:r>
          </w:p>
        </w:tc>
      </w:tr>
      <w:tr w:rsidR="00C138B5" w:rsidRPr="00CE07DA" w14:paraId="2A60F8C1"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21C68B49" w14:textId="0BD674D4"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lastRenderedPageBreak/>
              <w:t>Dans l’attente de l’inscription dans le registre des étrangers et/ou de la délivrance de la carte A à un ressortissant de pays tiers titulaire d’un visa portant la mention « Chercheur »</w:t>
            </w:r>
          </w:p>
        </w:tc>
        <w:tc>
          <w:tcPr>
            <w:tcW w:w="2799" w:type="dxa"/>
            <w:hideMark/>
          </w:tcPr>
          <w:p w14:paraId="58DA343A"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46128490"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A</w:t>
            </w:r>
          </w:p>
        </w:tc>
        <w:tc>
          <w:tcPr>
            <w:tcW w:w="2799" w:type="dxa"/>
            <w:hideMark/>
          </w:tcPr>
          <w:p w14:paraId="4F746CF1"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40843138"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105/73, § 2, de l’arrêté royal du 8 octobre 1981</w:t>
            </w:r>
          </w:p>
        </w:tc>
      </w:tr>
      <w:tr w:rsidR="00C138B5" w:rsidRPr="00CE07DA" w14:paraId="43C96E2E"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CAF46AD" w14:textId="3D4C9E4A"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A à un ressortissant de pays tiers autorisé au séjour dans le cadre d’une mobilité de longue durée – chercheur</w:t>
            </w:r>
          </w:p>
        </w:tc>
        <w:tc>
          <w:tcPr>
            <w:tcW w:w="2799" w:type="dxa"/>
            <w:hideMark/>
          </w:tcPr>
          <w:p w14:paraId="3B3719A3"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4BDF644C"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A</w:t>
            </w:r>
          </w:p>
        </w:tc>
        <w:tc>
          <w:tcPr>
            <w:tcW w:w="2799" w:type="dxa"/>
            <w:hideMark/>
          </w:tcPr>
          <w:p w14:paraId="54178888"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25DDA9D7"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105/85, alinéa 2, de l’arrêté royal du 8 octobre 1981</w:t>
            </w:r>
          </w:p>
        </w:tc>
      </w:tr>
      <w:tr w:rsidR="00C138B5" w:rsidRPr="00CE07DA" w14:paraId="5E8E6909" w14:textId="77777777" w:rsidTr="00CE07DA">
        <w:tc>
          <w:tcPr>
            <w:cnfStyle w:val="001000000000" w:firstRow="0" w:lastRow="0" w:firstColumn="1" w:lastColumn="0" w:oddVBand="0" w:evenVBand="0" w:oddHBand="0" w:evenHBand="0" w:firstRowFirstColumn="0" w:firstRowLastColumn="0" w:lastRowFirstColumn="0" w:lastRowLastColumn="0"/>
            <w:tcW w:w="2798" w:type="dxa"/>
          </w:tcPr>
          <w:p w14:paraId="5E3335AC" w14:textId="3F615C58"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 xml:space="preserve">Dans l’attente de l’inscription dans le registre des étrangers et/ou de la délivrance de la carte A à un ressortissant de pays </w:t>
            </w:r>
            <w:r w:rsidRPr="00CE07DA">
              <w:rPr>
                <w:rFonts w:cs="Arial"/>
                <w:b w:val="0"/>
                <w:sz w:val="22"/>
                <w:szCs w:val="22"/>
                <w:lang w:val="fr-FR"/>
              </w:rPr>
              <w:lastRenderedPageBreak/>
              <w:t>tiers titulaire d’un visa portant la mention « Stagiaire »</w:t>
            </w:r>
          </w:p>
        </w:tc>
        <w:tc>
          <w:tcPr>
            <w:tcW w:w="2799" w:type="dxa"/>
            <w:hideMark/>
          </w:tcPr>
          <w:p w14:paraId="6D9EF69A"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45 jours</w:t>
            </w:r>
          </w:p>
        </w:tc>
        <w:tc>
          <w:tcPr>
            <w:tcW w:w="2799" w:type="dxa"/>
            <w:hideMark/>
          </w:tcPr>
          <w:p w14:paraId="06675A19"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A</w:t>
            </w:r>
          </w:p>
        </w:tc>
        <w:tc>
          <w:tcPr>
            <w:tcW w:w="2799" w:type="dxa"/>
            <w:hideMark/>
          </w:tcPr>
          <w:p w14:paraId="45F83724" w14:textId="77777777" w:rsidR="00C138B5" w:rsidRPr="00CE07DA" w:rsidRDefault="00C138B5" w:rsidP="00CE07DA">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5E68338C" w14:textId="77777777" w:rsidR="00C138B5" w:rsidRPr="00CE07DA" w:rsidRDefault="00C138B5" w:rsidP="00804338">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Article 105/97, § 2, de l’arrêté royal du 8 octobre 1981</w:t>
            </w:r>
          </w:p>
        </w:tc>
      </w:tr>
      <w:tr w:rsidR="00C138B5" w:rsidRPr="00804338" w14:paraId="6EA80838"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18605CAF" w14:textId="77777777" w:rsidR="00C138B5" w:rsidRPr="00CE07DA" w:rsidRDefault="00C138B5" w:rsidP="00804338">
            <w:pPr>
              <w:spacing w:line="276" w:lineRule="auto"/>
              <w:jc w:val="both"/>
              <w:rPr>
                <w:rFonts w:cs="Arial"/>
                <w:b w:val="0"/>
                <w:sz w:val="22"/>
                <w:szCs w:val="22"/>
                <w:lang w:val="fr-FR"/>
              </w:rPr>
            </w:pPr>
            <w:r w:rsidRPr="00CE07DA">
              <w:rPr>
                <w:rFonts w:cs="Arial"/>
                <w:b w:val="0"/>
                <w:sz w:val="22"/>
                <w:szCs w:val="22"/>
                <w:lang w:val="fr-FR"/>
              </w:rPr>
              <w:t>Dans l’attente de l’inscription dans le registre des étrangers et/ou de la délivrance de la carte A à un ressortissant de pays tiers titulaire d’un visa portant la mention « Volontaire »</w:t>
            </w:r>
          </w:p>
        </w:tc>
        <w:tc>
          <w:tcPr>
            <w:tcW w:w="2799" w:type="dxa"/>
            <w:hideMark/>
          </w:tcPr>
          <w:p w14:paraId="43D053F4"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45 jours</w:t>
            </w:r>
          </w:p>
        </w:tc>
        <w:tc>
          <w:tcPr>
            <w:tcW w:w="2799" w:type="dxa"/>
            <w:hideMark/>
          </w:tcPr>
          <w:p w14:paraId="2A31A231"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Jusqu’à l’inscription et/ou la délivrance de la carte A</w:t>
            </w:r>
          </w:p>
        </w:tc>
        <w:tc>
          <w:tcPr>
            <w:tcW w:w="2799" w:type="dxa"/>
            <w:hideMark/>
          </w:tcPr>
          <w:p w14:paraId="4D27F084" w14:textId="77777777" w:rsidR="00C138B5" w:rsidRPr="00CE07DA" w:rsidRDefault="00C138B5" w:rsidP="00CE07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Non</w:t>
            </w:r>
          </w:p>
        </w:tc>
        <w:tc>
          <w:tcPr>
            <w:tcW w:w="2799" w:type="dxa"/>
            <w:hideMark/>
          </w:tcPr>
          <w:p w14:paraId="1042D312" w14:textId="77777777" w:rsidR="00C138B5" w:rsidRPr="00CE07DA" w:rsidRDefault="00C138B5" w:rsidP="0080433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Article 105/109, § 2, de l’arrêté royal du 8 octobre 1981</w:t>
            </w:r>
          </w:p>
        </w:tc>
      </w:tr>
    </w:tbl>
    <w:p w14:paraId="3F502C67" w14:textId="77777777" w:rsidR="00C138B5" w:rsidRPr="00804338" w:rsidRDefault="00C138B5" w:rsidP="00C138B5">
      <w:pPr>
        <w:jc w:val="both"/>
        <w:rPr>
          <w:rFonts w:cs="Arial"/>
          <w:bCs/>
          <w:lang w:val="fr-FR"/>
        </w:rPr>
      </w:pPr>
    </w:p>
    <w:p w14:paraId="01C4402A" w14:textId="77777777" w:rsidR="00C138B5" w:rsidRPr="00804338" w:rsidRDefault="00C138B5" w:rsidP="00C138B5">
      <w:pPr>
        <w:jc w:val="both"/>
        <w:rPr>
          <w:rFonts w:cs="Arial"/>
          <w:bCs/>
          <w:lang w:val="fr-FR"/>
        </w:rPr>
      </w:pPr>
    </w:p>
    <w:p w14:paraId="60DE4F71" w14:textId="77777777" w:rsidR="00C138B5" w:rsidRPr="00804338" w:rsidRDefault="00C138B5" w:rsidP="00C138B5">
      <w:pPr>
        <w:jc w:val="both"/>
        <w:rPr>
          <w:rFonts w:cs="Arial"/>
          <w:bCs/>
          <w:lang w:val="fr-FR"/>
        </w:rPr>
      </w:pPr>
    </w:p>
    <w:p w14:paraId="4B9A8722" w14:textId="77777777" w:rsidR="00C138B5" w:rsidRPr="00804338" w:rsidRDefault="00C138B5" w:rsidP="00C138B5">
      <w:pPr>
        <w:jc w:val="both"/>
        <w:rPr>
          <w:rFonts w:cs="Arial"/>
          <w:bCs/>
          <w:lang w:val="fr-FR"/>
        </w:rPr>
      </w:pPr>
    </w:p>
    <w:p w14:paraId="023EEF1C" w14:textId="77777777" w:rsidR="00C138B5" w:rsidRPr="00804338" w:rsidRDefault="00C138B5" w:rsidP="00C138B5">
      <w:pPr>
        <w:jc w:val="both"/>
        <w:rPr>
          <w:rFonts w:cs="Arial"/>
          <w:bCs/>
          <w:lang w:val="fr-FR"/>
        </w:rPr>
      </w:pPr>
    </w:p>
    <w:p w14:paraId="4367AAC9" w14:textId="77777777" w:rsidR="00C138B5" w:rsidRPr="00804338" w:rsidRDefault="00C138B5" w:rsidP="00C138B5">
      <w:pPr>
        <w:jc w:val="both"/>
        <w:rPr>
          <w:rFonts w:cs="Arial"/>
          <w:bCs/>
          <w:lang w:val="fr-FR"/>
        </w:rPr>
      </w:pPr>
    </w:p>
    <w:p w14:paraId="7B0FC1E7" w14:textId="77777777" w:rsidR="00C138B5" w:rsidRPr="00804338" w:rsidRDefault="00C138B5" w:rsidP="00C138B5">
      <w:pPr>
        <w:jc w:val="both"/>
        <w:rPr>
          <w:rFonts w:cs="Arial"/>
          <w:bCs/>
          <w:lang w:val="fr-FR"/>
        </w:rPr>
      </w:pPr>
    </w:p>
    <w:p w14:paraId="268EA671" w14:textId="77777777" w:rsidR="00C138B5" w:rsidRPr="00804338" w:rsidRDefault="00C138B5" w:rsidP="00C138B5">
      <w:pPr>
        <w:jc w:val="both"/>
        <w:rPr>
          <w:rFonts w:cs="Arial"/>
          <w:bCs/>
          <w:lang w:val="fr-FR"/>
        </w:rPr>
      </w:pPr>
    </w:p>
    <w:p w14:paraId="499409B4" w14:textId="77777777" w:rsidR="00C138B5" w:rsidRPr="00804338" w:rsidRDefault="00C138B5" w:rsidP="00C138B5">
      <w:pPr>
        <w:jc w:val="both"/>
        <w:rPr>
          <w:rFonts w:cs="Arial"/>
          <w:bCs/>
          <w:lang w:val="fr-FR"/>
        </w:rPr>
      </w:pPr>
    </w:p>
    <w:p w14:paraId="4F451143" w14:textId="77777777" w:rsidR="00C138B5" w:rsidRPr="00804338" w:rsidRDefault="00C138B5" w:rsidP="00C138B5">
      <w:pPr>
        <w:jc w:val="both"/>
        <w:rPr>
          <w:rFonts w:cs="Arial"/>
          <w:bCs/>
          <w:lang w:val="fr-FR"/>
        </w:rPr>
      </w:pPr>
    </w:p>
    <w:p w14:paraId="27B40D22" w14:textId="77777777" w:rsidR="00C138B5" w:rsidRPr="00804338" w:rsidRDefault="00C138B5" w:rsidP="00C138B5">
      <w:pPr>
        <w:jc w:val="both"/>
        <w:rPr>
          <w:rFonts w:cs="Arial"/>
          <w:bCs/>
          <w:lang w:val="fr-FR"/>
        </w:rPr>
      </w:pPr>
    </w:p>
    <w:p w14:paraId="76274BB7" w14:textId="33F0D964" w:rsidR="00CE07DA" w:rsidRDefault="00CE07DA">
      <w:pPr>
        <w:rPr>
          <w:rFonts w:cs="Arial"/>
          <w:bCs/>
          <w:lang w:val="fr-FR"/>
        </w:rPr>
      </w:pPr>
      <w:r>
        <w:rPr>
          <w:rFonts w:cs="Arial"/>
          <w:bCs/>
          <w:lang w:val="fr-FR"/>
        </w:rPr>
        <w:br w:type="page"/>
      </w:r>
    </w:p>
    <w:p w14:paraId="39D09763" w14:textId="77777777" w:rsidR="00C138B5" w:rsidRPr="00804338" w:rsidRDefault="00C138B5" w:rsidP="00C138B5">
      <w:pPr>
        <w:jc w:val="both"/>
        <w:rPr>
          <w:rFonts w:cs="Arial"/>
          <w:bCs/>
          <w:lang w:val="fr-FR"/>
        </w:rPr>
      </w:pPr>
    </w:p>
    <w:p w14:paraId="1C817D81" w14:textId="77777777" w:rsidR="00CE07DA" w:rsidRDefault="00C138B5" w:rsidP="00C138B5">
      <w:pPr>
        <w:jc w:val="center"/>
        <w:rPr>
          <w:rFonts w:cs="Arial"/>
          <w:b/>
          <w:smallCaps/>
          <w:lang w:val="fr-FR"/>
        </w:rPr>
      </w:pPr>
      <w:r w:rsidRPr="00804338">
        <w:rPr>
          <w:rFonts w:cs="Arial"/>
          <w:b/>
          <w:smallCaps/>
          <w:lang w:val="fr-FR"/>
        </w:rPr>
        <w:t xml:space="preserve">Annexe 51, de l’arrêté royal du 8 octobre 1981 sur l’accès au territoire, le séjour, l’établissement </w:t>
      </w:r>
    </w:p>
    <w:p w14:paraId="5C909221" w14:textId="124C8470" w:rsidR="00C138B5" w:rsidRPr="00804338" w:rsidRDefault="00C138B5" w:rsidP="00C138B5">
      <w:pPr>
        <w:jc w:val="center"/>
        <w:rPr>
          <w:rFonts w:cs="Arial"/>
          <w:b/>
          <w:smallCaps/>
          <w:lang w:val="fr-FR"/>
        </w:rPr>
      </w:pPr>
      <w:r w:rsidRPr="00804338">
        <w:rPr>
          <w:rFonts w:cs="Arial"/>
          <w:b/>
          <w:smallCaps/>
          <w:lang w:val="fr-FR"/>
        </w:rPr>
        <w:t>et l’éloignement des étrangers :</w:t>
      </w:r>
    </w:p>
    <w:p w14:paraId="3142F67F" w14:textId="77777777" w:rsidR="00C138B5" w:rsidRPr="00804338" w:rsidRDefault="00C138B5" w:rsidP="00C138B5">
      <w:pPr>
        <w:jc w:val="center"/>
        <w:rPr>
          <w:rFonts w:cs="Arial"/>
          <w:b/>
          <w:smallCaps/>
          <w:lang w:val="fr-FR"/>
        </w:rPr>
      </w:pPr>
    </w:p>
    <w:tbl>
      <w:tblPr>
        <w:tblStyle w:val="GridTable4-Accent1"/>
        <w:tblW w:w="0" w:type="auto"/>
        <w:tblLook w:val="04A0" w:firstRow="1" w:lastRow="0" w:firstColumn="1" w:lastColumn="0" w:noHBand="0" w:noVBand="1"/>
      </w:tblPr>
      <w:tblGrid>
        <w:gridCol w:w="2754"/>
        <w:gridCol w:w="2551"/>
        <w:gridCol w:w="2572"/>
        <w:gridCol w:w="2546"/>
        <w:gridCol w:w="2527"/>
      </w:tblGrid>
      <w:tr w:rsidR="00C138B5" w:rsidRPr="00CE07DA" w14:paraId="72DDBD7E" w14:textId="77777777" w:rsidTr="00F96088">
        <w:trPr>
          <w:cnfStyle w:val="100000000000" w:firstRow="1" w:lastRow="0" w:firstColumn="0" w:lastColumn="0" w:oddVBand="0" w:evenVBand="0" w:oddHBand="0" w:evenHBand="0" w:firstRowFirstColumn="0" w:firstRowLastColumn="0" w:lastRowFirstColumn="0" w:lastRowLastColumn="0"/>
          <w:trHeight w:val="732"/>
          <w:tblHeader/>
        </w:trPr>
        <w:tc>
          <w:tcPr>
            <w:cnfStyle w:val="001000000000" w:firstRow="0" w:lastRow="0" w:firstColumn="1" w:lastColumn="0" w:oddVBand="0" w:evenVBand="0" w:oddHBand="0" w:evenHBand="0" w:firstRowFirstColumn="0" w:firstRowLastColumn="0" w:lastRowFirstColumn="0" w:lastRowLastColumn="0"/>
            <w:tcW w:w="2798" w:type="dxa"/>
            <w:hideMark/>
          </w:tcPr>
          <w:p w14:paraId="70F73F4C" w14:textId="77777777" w:rsidR="00C138B5" w:rsidRPr="00CE07DA" w:rsidRDefault="00C138B5" w:rsidP="00CE07DA">
            <w:pPr>
              <w:spacing w:line="276" w:lineRule="auto"/>
              <w:jc w:val="center"/>
              <w:rPr>
                <w:rFonts w:cs="Arial"/>
                <w:smallCaps/>
                <w:sz w:val="22"/>
                <w:szCs w:val="22"/>
              </w:rPr>
            </w:pPr>
            <w:r w:rsidRPr="00CE07DA">
              <w:rPr>
                <w:rFonts w:cs="Arial"/>
                <w:smallCaps/>
                <w:sz w:val="22"/>
                <w:szCs w:val="22"/>
              </w:rPr>
              <w:t>Référence légale/réglementaire</w:t>
            </w:r>
          </w:p>
        </w:tc>
        <w:tc>
          <w:tcPr>
            <w:tcW w:w="2799" w:type="dxa"/>
            <w:hideMark/>
          </w:tcPr>
          <w:p w14:paraId="58444CA8" w14:textId="77777777" w:rsidR="00C138B5" w:rsidRPr="00CE07DA" w:rsidRDefault="00C138B5" w:rsidP="00CE07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mallCaps/>
                <w:sz w:val="22"/>
                <w:szCs w:val="22"/>
              </w:rPr>
            </w:pPr>
            <w:r w:rsidRPr="00CE07DA">
              <w:rPr>
                <w:rFonts w:cs="Arial"/>
                <w:smallCaps/>
                <w:sz w:val="22"/>
                <w:szCs w:val="22"/>
              </w:rPr>
              <w:t>Qualité du séjour</w:t>
            </w:r>
          </w:p>
        </w:tc>
        <w:tc>
          <w:tcPr>
            <w:tcW w:w="2799" w:type="dxa"/>
            <w:hideMark/>
          </w:tcPr>
          <w:p w14:paraId="4F3DA139" w14:textId="77777777" w:rsidR="00C138B5" w:rsidRPr="00CE07DA" w:rsidRDefault="00C138B5" w:rsidP="00CE07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mallCaps/>
                <w:sz w:val="22"/>
                <w:szCs w:val="22"/>
              </w:rPr>
            </w:pPr>
            <w:r w:rsidRPr="00CE07DA">
              <w:rPr>
                <w:rFonts w:cs="Arial"/>
                <w:smallCaps/>
                <w:sz w:val="22"/>
                <w:szCs w:val="22"/>
              </w:rPr>
              <w:t>Conditions de délivrance</w:t>
            </w:r>
          </w:p>
        </w:tc>
        <w:tc>
          <w:tcPr>
            <w:tcW w:w="2799" w:type="dxa"/>
            <w:hideMark/>
          </w:tcPr>
          <w:p w14:paraId="0A5ED988" w14:textId="77777777" w:rsidR="00C138B5" w:rsidRPr="00CE07DA" w:rsidRDefault="00C138B5" w:rsidP="00CE07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mallCaps/>
                <w:sz w:val="22"/>
                <w:szCs w:val="22"/>
              </w:rPr>
            </w:pPr>
            <w:r w:rsidRPr="00CE07DA">
              <w:rPr>
                <w:rFonts w:cs="Arial"/>
                <w:smallCaps/>
                <w:sz w:val="22"/>
                <w:szCs w:val="22"/>
              </w:rPr>
              <w:t>Durée de validité</w:t>
            </w:r>
          </w:p>
        </w:tc>
        <w:tc>
          <w:tcPr>
            <w:tcW w:w="2799" w:type="dxa"/>
            <w:hideMark/>
          </w:tcPr>
          <w:p w14:paraId="73CBF75E" w14:textId="77777777" w:rsidR="00C138B5" w:rsidRPr="00CE07DA" w:rsidRDefault="00C138B5" w:rsidP="00CE07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mallCaps/>
                <w:sz w:val="22"/>
                <w:szCs w:val="22"/>
              </w:rPr>
            </w:pPr>
            <w:r w:rsidRPr="00CE07DA">
              <w:rPr>
                <w:rFonts w:cs="Arial"/>
                <w:smallCaps/>
                <w:sz w:val="22"/>
                <w:szCs w:val="22"/>
              </w:rPr>
              <w:t>Inscription RRN</w:t>
            </w:r>
          </w:p>
        </w:tc>
      </w:tr>
      <w:tr w:rsidR="00C138B5" w:rsidRPr="00CE07DA" w14:paraId="707934C4"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3FBB7DCA" w14:textId="77777777" w:rsidR="00C138B5" w:rsidRPr="00CE07DA" w:rsidRDefault="00C138B5" w:rsidP="00CE07DA">
            <w:pPr>
              <w:spacing w:line="276" w:lineRule="auto"/>
              <w:jc w:val="both"/>
              <w:rPr>
                <w:rFonts w:cs="Arial"/>
                <w:b w:val="0"/>
                <w:sz w:val="22"/>
                <w:szCs w:val="22"/>
                <w:lang w:val="fr-FR"/>
              </w:rPr>
            </w:pPr>
            <w:r w:rsidRPr="00CE07DA">
              <w:rPr>
                <w:rFonts w:cs="Arial"/>
                <w:b w:val="0"/>
                <w:sz w:val="22"/>
                <w:szCs w:val="22"/>
                <w:lang w:val="fr-FR"/>
              </w:rPr>
              <w:t>Art. 105/4, de l’AR de 1981</w:t>
            </w:r>
          </w:p>
        </w:tc>
        <w:tc>
          <w:tcPr>
            <w:tcW w:w="2799" w:type="dxa"/>
            <w:hideMark/>
          </w:tcPr>
          <w:p w14:paraId="16D58155"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Travailleur salarié (« permis unique »)</w:t>
            </w:r>
          </w:p>
        </w:tc>
        <w:tc>
          <w:tcPr>
            <w:tcW w:w="2799" w:type="dxa"/>
          </w:tcPr>
          <w:p w14:paraId="17CF5048"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Lorsque l’autorité régionale compétente retire/met fin à l’autorisation de travail qu’elle a délivrée, l’étranger bénéficie encore d’un séjour de 90 jours (sans préjudice pour l’Office des étrangers de mettre fin à son séjour avant l’écoulement de ce délai de 90 jours). Ce délai lui permet de retrouver un nouvel emploi par exemple.</w:t>
            </w:r>
          </w:p>
          <w:p w14:paraId="074788B1"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p>
          <w:p w14:paraId="5E539A0F"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Les conditions de délivrance de cette « annexe 51 » sont donc les suivantes :</w:t>
            </w:r>
          </w:p>
          <w:p w14:paraId="484A0E49"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L’autorité régionale met fin à l’autorisation de travailler ;</w:t>
            </w:r>
          </w:p>
          <w:p w14:paraId="5C12E261"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L’Office des étrangers ne met pas fin au séjour de l’intéressé malgré la fin de l’autorisation de séjour ;</w:t>
            </w:r>
          </w:p>
          <w:p w14:paraId="5B83979A"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La carte A de l’intéressé qui dispose de ce fait d’un séjour d’encore 90 jours arrive à échéance pendant ce délai de 90 jours.</w:t>
            </w:r>
          </w:p>
        </w:tc>
        <w:tc>
          <w:tcPr>
            <w:tcW w:w="2799" w:type="dxa"/>
            <w:hideMark/>
          </w:tcPr>
          <w:p w14:paraId="625BCC28"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Maximum 90 jours</w:t>
            </w:r>
          </w:p>
        </w:tc>
        <w:tc>
          <w:tcPr>
            <w:tcW w:w="2799" w:type="dxa"/>
            <w:hideMark/>
          </w:tcPr>
          <w:p w14:paraId="76B3F2DE"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r>
      <w:tr w:rsidR="00C138B5" w:rsidRPr="00CE07DA" w14:paraId="0DAE266D" w14:textId="77777777" w:rsidTr="00CE07DA">
        <w:tc>
          <w:tcPr>
            <w:cnfStyle w:val="001000000000" w:firstRow="0" w:lastRow="0" w:firstColumn="1" w:lastColumn="0" w:oddVBand="0" w:evenVBand="0" w:oddHBand="0" w:evenHBand="0" w:firstRowFirstColumn="0" w:firstRowLastColumn="0" w:lastRowFirstColumn="0" w:lastRowLastColumn="0"/>
            <w:tcW w:w="2798" w:type="dxa"/>
            <w:hideMark/>
          </w:tcPr>
          <w:p w14:paraId="74EA48CC" w14:textId="1BA2A3FC" w:rsidR="00C138B5" w:rsidRPr="00CE07DA" w:rsidRDefault="00C138B5" w:rsidP="00CE07DA">
            <w:pPr>
              <w:spacing w:line="276" w:lineRule="auto"/>
              <w:jc w:val="both"/>
              <w:rPr>
                <w:rFonts w:cs="Arial"/>
                <w:b w:val="0"/>
                <w:sz w:val="22"/>
                <w:szCs w:val="22"/>
                <w:lang w:val="fr-FR"/>
              </w:rPr>
            </w:pPr>
            <w:r w:rsidRPr="00CE07DA">
              <w:rPr>
                <w:rFonts w:cs="Arial"/>
                <w:b w:val="0"/>
                <w:sz w:val="22"/>
                <w:szCs w:val="22"/>
                <w:lang w:val="fr-FR"/>
              </w:rPr>
              <w:t>rt. 61/13/4, alinéa 4, de la loi de 1980 + art. 105/79, de l’AR due 1981</w:t>
            </w:r>
          </w:p>
        </w:tc>
        <w:tc>
          <w:tcPr>
            <w:tcW w:w="2799" w:type="dxa"/>
            <w:hideMark/>
          </w:tcPr>
          <w:p w14:paraId="5AF7B537"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Chercheur</w:t>
            </w:r>
          </w:p>
        </w:tc>
        <w:tc>
          <w:tcPr>
            <w:tcW w:w="2799" w:type="dxa"/>
          </w:tcPr>
          <w:p w14:paraId="6BEFE99A"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Les dispositions de la loi du 15 décembre 1980 spécifiques aux chercheurs concernent uniquement les chercheurs effectuant leurs recherches auprès d’un organisme agréé.</w:t>
            </w:r>
          </w:p>
          <w:p w14:paraId="6DE1A4FD"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 xml:space="preserve">Si l’organisme vient à perdre son agrément, le chercheur dispose encore d’un séjour pendant 90 jours (sans </w:t>
            </w:r>
            <w:r w:rsidRPr="00CE07DA">
              <w:rPr>
                <w:rFonts w:cs="Arial"/>
                <w:bCs/>
                <w:sz w:val="22"/>
                <w:szCs w:val="22"/>
                <w:lang w:val="fr-FR"/>
              </w:rPr>
              <w:lastRenderedPageBreak/>
              <w:t>préjudice pour l’Office des étrangers de mettre fin à son séjour avant l’écoulement de ce délai de 90 jours). Ce délai lui permet de trouver un autre organisme de recherches agréé par exemple.</w:t>
            </w:r>
          </w:p>
          <w:p w14:paraId="04837B6B"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p>
          <w:p w14:paraId="432274F0"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Les conditions de délivrance de cette « annexe 51 » sont donc les suivantes :</w:t>
            </w:r>
          </w:p>
          <w:p w14:paraId="1BECF674"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L’organisme de recherche agréé par la Belgique s’est vu retiré son agrément ;</w:t>
            </w:r>
          </w:p>
          <w:p w14:paraId="6CB77CC1"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L’Office des étrangers ne met pas fin au séjour de l’intéressé malgré ce retrait de l’agrément.</w:t>
            </w:r>
          </w:p>
        </w:tc>
        <w:tc>
          <w:tcPr>
            <w:tcW w:w="2799" w:type="dxa"/>
            <w:hideMark/>
          </w:tcPr>
          <w:p w14:paraId="5639F64B"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90 jours</w:t>
            </w:r>
          </w:p>
        </w:tc>
        <w:tc>
          <w:tcPr>
            <w:tcW w:w="2799" w:type="dxa"/>
            <w:hideMark/>
          </w:tcPr>
          <w:p w14:paraId="08AA7098"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r>
      <w:tr w:rsidR="00C138B5" w:rsidRPr="00CE07DA" w14:paraId="38BD06F1" w14:textId="77777777" w:rsidTr="00CE0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6D04E7B4" w14:textId="77777777" w:rsidR="00C138B5" w:rsidRPr="00CE07DA" w:rsidRDefault="00C138B5" w:rsidP="00CE07DA">
            <w:pPr>
              <w:spacing w:line="276" w:lineRule="auto"/>
              <w:jc w:val="both"/>
              <w:rPr>
                <w:rFonts w:cs="Arial"/>
                <w:b w:val="0"/>
                <w:sz w:val="22"/>
                <w:szCs w:val="22"/>
                <w:lang w:val="fr-FR"/>
              </w:rPr>
            </w:pPr>
            <w:r w:rsidRPr="00CE07DA">
              <w:rPr>
                <w:rFonts w:cs="Arial"/>
                <w:b w:val="0"/>
                <w:sz w:val="22"/>
                <w:szCs w:val="22"/>
                <w:lang w:val="fr-FR"/>
              </w:rPr>
              <w:t>Art. 61/13/11, § 4, de la loi de 1980 + art. 105/87, de l’AR due 1981</w:t>
            </w:r>
          </w:p>
        </w:tc>
        <w:tc>
          <w:tcPr>
            <w:tcW w:w="2799" w:type="dxa"/>
            <w:hideMark/>
          </w:tcPr>
          <w:p w14:paraId="7039E8DC"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Mobilité de chercheur</w:t>
            </w:r>
          </w:p>
        </w:tc>
        <w:tc>
          <w:tcPr>
            <w:tcW w:w="2799" w:type="dxa"/>
          </w:tcPr>
          <w:p w14:paraId="78A74584"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 xml:space="preserve">Les dispositions de la loi du 15 décembre 1980 spécifiques aux chercheurs concernent uniquement les </w:t>
            </w:r>
            <w:r w:rsidRPr="00CE07DA">
              <w:rPr>
                <w:rFonts w:cs="Arial"/>
                <w:bCs/>
                <w:sz w:val="22"/>
                <w:szCs w:val="22"/>
                <w:lang w:val="fr-FR"/>
              </w:rPr>
              <w:lastRenderedPageBreak/>
              <w:t>chercheurs effectuant leurs recherches auprès d’un organisme agréé.</w:t>
            </w:r>
          </w:p>
          <w:p w14:paraId="4422D40F"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Si l’organisme vient à perdre son agrément, le chercheur dispose encore d’un séjour pendant 90 jours (sans préjudice pour l’Office des étrangers de mettre fin à son séjour avant l’écoulement de ce délai de 90 jours). Ce délai lui permet de trouver un autre organisme de recherches agréé par exemple.</w:t>
            </w:r>
          </w:p>
          <w:p w14:paraId="072E2E13"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p>
          <w:p w14:paraId="11AA5497"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Les conditions de délivrance de cette « annexe 51 » sont donc les suivantes :</w:t>
            </w:r>
          </w:p>
          <w:p w14:paraId="4E7BD57C"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L’organisme de recherche agréé par la Belgique s’est vu retiré son agrément ;</w:t>
            </w:r>
          </w:p>
          <w:p w14:paraId="7FB9CB76"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L’Office des étrangers ne met pas fin au séjour de l’intéressé malgré ce retrait de l’agrément.</w:t>
            </w:r>
          </w:p>
        </w:tc>
        <w:tc>
          <w:tcPr>
            <w:tcW w:w="2799" w:type="dxa"/>
            <w:hideMark/>
          </w:tcPr>
          <w:p w14:paraId="15BF70C5"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90 jours</w:t>
            </w:r>
          </w:p>
        </w:tc>
        <w:tc>
          <w:tcPr>
            <w:tcW w:w="2799" w:type="dxa"/>
            <w:hideMark/>
          </w:tcPr>
          <w:p w14:paraId="6C55F5A1" w14:textId="77777777" w:rsidR="00C138B5" w:rsidRPr="00CE07DA" w:rsidRDefault="00C138B5" w:rsidP="00CE07DA">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r>
      <w:tr w:rsidR="00C138B5" w:rsidRPr="00CE07DA" w14:paraId="5506708F" w14:textId="77777777" w:rsidTr="00CE07DA">
        <w:tc>
          <w:tcPr>
            <w:cnfStyle w:val="001000000000" w:firstRow="0" w:lastRow="0" w:firstColumn="1" w:lastColumn="0" w:oddVBand="0" w:evenVBand="0" w:oddHBand="0" w:evenHBand="0" w:firstRowFirstColumn="0" w:firstRowLastColumn="0" w:lastRowFirstColumn="0" w:lastRowLastColumn="0"/>
            <w:tcW w:w="2798" w:type="dxa"/>
            <w:hideMark/>
          </w:tcPr>
          <w:p w14:paraId="46C0234B" w14:textId="77777777" w:rsidR="00C138B5" w:rsidRPr="00CE07DA" w:rsidRDefault="00C138B5" w:rsidP="00CE07DA">
            <w:pPr>
              <w:spacing w:line="276" w:lineRule="auto"/>
              <w:jc w:val="both"/>
              <w:rPr>
                <w:rFonts w:cs="Arial"/>
                <w:b w:val="0"/>
                <w:sz w:val="22"/>
                <w:szCs w:val="22"/>
                <w:lang w:val="fr-FR"/>
              </w:rPr>
            </w:pPr>
            <w:r w:rsidRPr="00CE07DA">
              <w:rPr>
                <w:rFonts w:cs="Arial"/>
                <w:b w:val="0"/>
                <w:sz w:val="22"/>
                <w:szCs w:val="22"/>
                <w:lang w:val="fr-FR"/>
              </w:rPr>
              <w:lastRenderedPageBreak/>
              <w:t>Art. 61/13/13, § 5, de la loi de 1980 + art. 105/103, de l’AR due 1981</w:t>
            </w:r>
          </w:p>
        </w:tc>
        <w:tc>
          <w:tcPr>
            <w:tcW w:w="2799" w:type="dxa"/>
            <w:hideMark/>
          </w:tcPr>
          <w:p w14:paraId="5416C29F"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Séjour pour chercher un emploi ou réer une entreprise après l’achèvement des recherches</w:t>
            </w:r>
          </w:p>
        </w:tc>
        <w:tc>
          <w:tcPr>
            <w:tcW w:w="2799" w:type="dxa"/>
          </w:tcPr>
          <w:p w14:paraId="08352774"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 xml:space="preserve">Après l’achèvement de ses recherches, l’« ancien chercheur » peut demander un séjour d’un an pour trouver un emploi ou créer une entreprise (« séjour post-recherches »). Cette demande de séjour est introduite auprès de la commune de résidence pendant que la carte A en qualité de chercheur est toujours en cours de validité. Cette demande de séjour relève de la compétence de l’Office des étrangers. Vu les effectifs réduits de l’Office des étrangers, il se peut que nous ne soyons pas à même de </w:t>
            </w:r>
            <w:r w:rsidRPr="00CE07DA">
              <w:rPr>
                <w:rFonts w:cs="Arial"/>
                <w:bCs/>
                <w:sz w:val="22"/>
                <w:szCs w:val="22"/>
                <w:lang w:val="fr-FR"/>
              </w:rPr>
              <w:lastRenderedPageBreak/>
              <w:t>prendre une décision sur cette demande avant l’expiration de la carte A de l’« ancien chercheur ». Afin de couvrir son séjour pendant ce laps de temps, une « annexe 51 » est délivrée.</w:t>
            </w:r>
          </w:p>
          <w:p w14:paraId="7A3750DF"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p>
          <w:p w14:paraId="37268302"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Les conditions de délivrance de cette « annexe 51 » sont donc les suivantes :</w:t>
            </w:r>
          </w:p>
          <w:p w14:paraId="5B7CB147"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Introduction d’une demande de séjour « post-recherches » ;</w:t>
            </w:r>
          </w:p>
          <w:p w14:paraId="59A9CA8E"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La carte A de l’« ancien chercheur » arrive à expiration avant que l’Office des étrangers n’ait pu prendre une décision sur cette demande de séjour.</w:t>
            </w:r>
          </w:p>
        </w:tc>
        <w:tc>
          <w:tcPr>
            <w:tcW w:w="2799" w:type="dxa"/>
            <w:hideMark/>
          </w:tcPr>
          <w:p w14:paraId="61CC9AA7"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lastRenderedPageBreak/>
              <w:t>Jusqu’à ce que l’Office des étrangers prenne une décision sur la demande de séjour « post-recherches »</w:t>
            </w:r>
          </w:p>
        </w:tc>
        <w:tc>
          <w:tcPr>
            <w:tcW w:w="2799" w:type="dxa"/>
            <w:hideMark/>
          </w:tcPr>
          <w:p w14:paraId="0155D62F" w14:textId="77777777" w:rsidR="00C138B5" w:rsidRPr="00CE07DA" w:rsidRDefault="00C138B5" w:rsidP="00CE07DA">
            <w:pPr>
              <w:spacing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val="fr-FR"/>
              </w:rPr>
            </w:pPr>
            <w:r w:rsidRPr="00CE07DA">
              <w:rPr>
                <w:rFonts w:cs="Arial"/>
                <w:bCs/>
                <w:sz w:val="22"/>
                <w:szCs w:val="22"/>
                <w:lang w:val="fr-FR"/>
              </w:rPr>
              <w:t>Oui</w:t>
            </w:r>
          </w:p>
        </w:tc>
      </w:tr>
    </w:tbl>
    <w:p w14:paraId="73191396" w14:textId="77777777" w:rsidR="00C138B5" w:rsidRPr="00CE07DA" w:rsidRDefault="00C138B5" w:rsidP="00CE07DA">
      <w:pPr>
        <w:spacing w:line="276" w:lineRule="auto"/>
        <w:jc w:val="both"/>
        <w:rPr>
          <w:rFonts w:eastAsiaTheme="minorHAnsi" w:cs="Arial"/>
          <w:bCs/>
          <w:sz w:val="22"/>
          <w:szCs w:val="22"/>
          <w:lang w:val="fr-FR"/>
        </w:rPr>
      </w:pPr>
    </w:p>
    <w:p w14:paraId="23DA442A" w14:textId="77777777" w:rsidR="003D12C7" w:rsidRPr="00804338" w:rsidRDefault="003D12C7">
      <w:pPr>
        <w:rPr>
          <w:rFonts w:cs="Arial"/>
          <w:lang w:val="fr-FR"/>
        </w:rPr>
      </w:pPr>
    </w:p>
    <w:p w14:paraId="3501FA1D" w14:textId="77777777" w:rsidR="00CE07DA" w:rsidRPr="00804338" w:rsidRDefault="00CE07DA">
      <w:pPr>
        <w:rPr>
          <w:rFonts w:cs="Arial"/>
          <w:lang w:val="fr-FR"/>
        </w:rPr>
      </w:pPr>
    </w:p>
    <w:sectPr w:rsidR="00CE07DA" w:rsidRPr="00804338" w:rsidSect="00804338">
      <w:headerReference w:type="default" r:id="rId11"/>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2944" w14:textId="77777777" w:rsidR="00C138B5" w:rsidRDefault="00C138B5" w:rsidP="00C138B5">
      <w:r>
        <w:separator/>
      </w:r>
    </w:p>
  </w:endnote>
  <w:endnote w:type="continuationSeparator" w:id="0">
    <w:p w14:paraId="5EF4E401" w14:textId="77777777" w:rsidR="00C138B5" w:rsidRDefault="00C138B5" w:rsidP="00C1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581A" w14:textId="77777777" w:rsidR="00C138B5" w:rsidRDefault="00C138B5" w:rsidP="00C138B5">
      <w:r>
        <w:separator/>
      </w:r>
    </w:p>
  </w:footnote>
  <w:footnote w:type="continuationSeparator" w:id="0">
    <w:p w14:paraId="58BD4DAA" w14:textId="77777777" w:rsidR="00C138B5" w:rsidRDefault="00C138B5" w:rsidP="00C138B5">
      <w:r>
        <w:continuationSeparator/>
      </w:r>
    </w:p>
  </w:footnote>
  <w:footnote w:id="1">
    <w:p w14:paraId="24114D8A" w14:textId="77777777" w:rsidR="00C138B5" w:rsidRPr="00DF54D2" w:rsidRDefault="00C138B5" w:rsidP="00C138B5">
      <w:pPr>
        <w:pStyle w:val="FootnoteText"/>
        <w:rPr>
          <w:lang w:val="fr-FR"/>
        </w:rPr>
      </w:pPr>
      <w:r>
        <w:rPr>
          <w:rStyle w:val="FootnoteReference"/>
          <w:rFonts w:eastAsiaTheme="majorEastAsia"/>
        </w:rPr>
        <w:footnoteRef/>
      </w:r>
      <w:r w:rsidRPr="00DF54D2">
        <w:rPr>
          <w:lang w:val="fr-FR"/>
        </w:rPr>
        <w:t xml:space="preserve"> Non application aux citoyens de l’Union.</w:t>
      </w:r>
    </w:p>
  </w:footnote>
  <w:footnote w:id="2">
    <w:p w14:paraId="46D87E46" w14:textId="77777777" w:rsidR="00C138B5" w:rsidRPr="00DF54D2" w:rsidRDefault="00C138B5" w:rsidP="00C138B5">
      <w:pPr>
        <w:pStyle w:val="FootnoteText"/>
        <w:rPr>
          <w:lang w:val="fr-FR"/>
        </w:rPr>
      </w:pPr>
      <w:r>
        <w:rPr>
          <w:rStyle w:val="FootnoteReference"/>
          <w:rFonts w:eastAsiaTheme="majorEastAsia"/>
        </w:rPr>
        <w:footnoteRef/>
      </w:r>
      <w:r w:rsidRPr="00DF54D2">
        <w:rPr>
          <w:lang w:val="fr-FR"/>
        </w:rPr>
        <w:t xml:space="preserve"> Non application aux citoyens de l’Union.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90416"/>
      <w:docPartObj>
        <w:docPartGallery w:val="Page Numbers (Top of Page)"/>
        <w:docPartUnique/>
      </w:docPartObj>
    </w:sdtPr>
    <w:sdtEndPr/>
    <w:sdtContent>
      <w:p w14:paraId="0792EA2F" w14:textId="2BB9152E" w:rsidR="00804338" w:rsidRDefault="00804338">
        <w:pPr>
          <w:pStyle w:val="Header"/>
          <w:jc w:val="right"/>
        </w:pPr>
        <w:r>
          <w:fldChar w:fldCharType="begin"/>
        </w:r>
        <w:r>
          <w:instrText>PAGE   \* MERGEFORMAT</w:instrText>
        </w:r>
        <w:r>
          <w:fldChar w:fldCharType="separate"/>
        </w:r>
        <w:r>
          <w:rPr>
            <w:lang w:val="fr-FR"/>
          </w:rPr>
          <w:t>2</w:t>
        </w:r>
        <w:r>
          <w:fldChar w:fldCharType="end"/>
        </w:r>
      </w:p>
    </w:sdtContent>
  </w:sdt>
  <w:p w14:paraId="5771DD06" w14:textId="77777777" w:rsidR="00804338" w:rsidRDefault="0080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9BC"/>
    <w:multiLevelType w:val="hybridMultilevel"/>
    <w:tmpl w:val="D11805D2"/>
    <w:lvl w:ilvl="0" w:tplc="A7CE2A7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F1328"/>
    <w:multiLevelType w:val="hybridMultilevel"/>
    <w:tmpl w:val="58262DE2"/>
    <w:lvl w:ilvl="0" w:tplc="39EC9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011A9"/>
    <w:multiLevelType w:val="hybridMultilevel"/>
    <w:tmpl w:val="6ECAA0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4E6E23F8"/>
    <w:multiLevelType w:val="hybridMultilevel"/>
    <w:tmpl w:val="96023BFC"/>
    <w:lvl w:ilvl="0" w:tplc="9DDC8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E30D9"/>
    <w:multiLevelType w:val="hybridMultilevel"/>
    <w:tmpl w:val="09DA391A"/>
    <w:lvl w:ilvl="0" w:tplc="03BED7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27800"/>
    <w:multiLevelType w:val="hybridMultilevel"/>
    <w:tmpl w:val="C27E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74311">
    <w:abstractNumId w:val="5"/>
  </w:num>
  <w:num w:numId="2" w16cid:durableId="974026830">
    <w:abstractNumId w:val="4"/>
  </w:num>
  <w:num w:numId="3" w16cid:durableId="142238417">
    <w:abstractNumId w:val="0"/>
  </w:num>
  <w:num w:numId="4" w16cid:durableId="749500936">
    <w:abstractNumId w:val="3"/>
  </w:num>
  <w:num w:numId="5" w16cid:durableId="1405491693">
    <w:abstractNumId w:val="1"/>
  </w:num>
  <w:num w:numId="6" w16cid:durableId="147556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DD"/>
    <w:rsid w:val="003D12C7"/>
    <w:rsid w:val="006473F1"/>
    <w:rsid w:val="00662479"/>
    <w:rsid w:val="00804338"/>
    <w:rsid w:val="00875023"/>
    <w:rsid w:val="00C138B5"/>
    <w:rsid w:val="00C905DD"/>
    <w:rsid w:val="00CE07DA"/>
    <w:rsid w:val="00F9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C616"/>
  <w15:chartTrackingRefBased/>
  <w15:docId w15:val="{39B4EA38-00A0-4CAE-AEF7-E3716448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5DD"/>
    <w:rPr>
      <w:rFonts w:ascii="Arial" w:hAnsi="Arial"/>
      <w:kern w:val="0"/>
      <w:sz w:val="24"/>
      <w:szCs w:val="24"/>
      <w:lang w:val="fr-BE"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138B5"/>
    <w:rPr>
      <w:sz w:val="20"/>
      <w:szCs w:val="20"/>
    </w:rPr>
  </w:style>
  <w:style w:type="character" w:customStyle="1" w:styleId="FootnoteTextChar">
    <w:name w:val="Footnote Text Char"/>
    <w:basedOn w:val="DefaultParagraphFont"/>
    <w:link w:val="FootnoteText"/>
    <w:uiPriority w:val="99"/>
    <w:rsid w:val="00C138B5"/>
    <w:rPr>
      <w:rFonts w:ascii="Arial" w:hAnsi="Arial"/>
      <w:kern w:val="0"/>
      <w:lang w:val="fr-BE" w:eastAsia="en-US"/>
      <w14:ligatures w14:val="none"/>
    </w:rPr>
  </w:style>
  <w:style w:type="character" w:styleId="FootnoteReference">
    <w:name w:val="footnote reference"/>
    <w:basedOn w:val="DefaultParagraphFont"/>
    <w:uiPriority w:val="99"/>
    <w:rsid w:val="00C138B5"/>
    <w:rPr>
      <w:vertAlign w:val="superscript"/>
    </w:rPr>
  </w:style>
  <w:style w:type="table" w:styleId="GridTable1Light-Accent2">
    <w:name w:val="Grid Table 1 Light Accent 2"/>
    <w:basedOn w:val="TableNormal"/>
    <w:uiPriority w:val="46"/>
    <w:rsid w:val="00C138B5"/>
    <w:rPr>
      <w:rFonts w:asciiTheme="minorHAnsi" w:eastAsiaTheme="minorHAnsi" w:hAnsiTheme="minorHAnsi" w:cstheme="minorBidi"/>
      <w:kern w:val="0"/>
      <w:sz w:val="22"/>
      <w:szCs w:val="22"/>
      <w:lang w:val="fr-BE" w:eastAsia="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138B5"/>
    <w:rPr>
      <w:rFonts w:asciiTheme="minorHAnsi" w:eastAsiaTheme="minorHAnsi" w:hAnsiTheme="minorHAnsi" w:cstheme="minorBidi"/>
      <w:kern w:val="0"/>
      <w:sz w:val="22"/>
      <w:szCs w:val="22"/>
      <w:lang w:val="fr-BE" w:eastAsia="en-US"/>
      <w14:ligatures w14:val="none"/>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C138B5"/>
    <w:rPr>
      <w:rFonts w:asciiTheme="minorHAnsi" w:eastAsiaTheme="minorHAnsi" w:hAnsiTheme="minorHAnsi" w:cstheme="minorBidi"/>
      <w:kern w:val="0"/>
      <w:sz w:val="22"/>
      <w:szCs w:val="22"/>
      <w:lang w:val="fr-BE" w:eastAsia="en-US"/>
      <w14:ligatures w14:val="none"/>
    </w:rPr>
    <w:tblPr>
      <w:tblStyleRowBandSize w:val="1"/>
      <w:tblStyleColBandSize w:val="1"/>
      <w:tblInd w:w="0" w:type="nil"/>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Header">
    <w:name w:val="header"/>
    <w:basedOn w:val="Normal"/>
    <w:link w:val="HeaderChar"/>
    <w:uiPriority w:val="99"/>
    <w:rsid w:val="00804338"/>
    <w:pPr>
      <w:tabs>
        <w:tab w:val="center" w:pos="4513"/>
        <w:tab w:val="right" w:pos="9026"/>
      </w:tabs>
    </w:pPr>
  </w:style>
  <w:style w:type="character" w:customStyle="1" w:styleId="HeaderChar">
    <w:name w:val="Header Char"/>
    <w:basedOn w:val="DefaultParagraphFont"/>
    <w:link w:val="Header"/>
    <w:uiPriority w:val="99"/>
    <w:rsid w:val="00804338"/>
    <w:rPr>
      <w:rFonts w:ascii="Arial" w:hAnsi="Arial"/>
      <w:kern w:val="0"/>
      <w:sz w:val="24"/>
      <w:szCs w:val="24"/>
      <w:lang w:val="fr-BE" w:eastAsia="en-US"/>
      <w14:ligatures w14:val="none"/>
    </w:rPr>
  </w:style>
  <w:style w:type="paragraph" w:styleId="Footer">
    <w:name w:val="footer"/>
    <w:basedOn w:val="Normal"/>
    <w:link w:val="FooterChar"/>
    <w:rsid w:val="00804338"/>
    <w:pPr>
      <w:tabs>
        <w:tab w:val="center" w:pos="4513"/>
        <w:tab w:val="right" w:pos="9026"/>
      </w:tabs>
    </w:pPr>
  </w:style>
  <w:style w:type="character" w:customStyle="1" w:styleId="FooterChar">
    <w:name w:val="Footer Char"/>
    <w:basedOn w:val="DefaultParagraphFont"/>
    <w:link w:val="Footer"/>
    <w:rsid w:val="00804338"/>
    <w:rPr>
      <w:rFonts w:ascii="Arial" w:hAnsi="Arial"/>
      <w:kern w:val="0"/>
      <w:sz w:val="24"/>
      <w:szCs w:val="24"/>
      <w:lang w:val="fr-BE" w:eastAsia="en-US"/>
      <w14:ligatures w14:val="none"/>
    </w:rPr>
  </w:style>
  <w:style w:type="table" w:styleId="GridTable4-Accent1">
    <w:name w:val="Grid Table 4 Accent 1"/>
    <w:basedOn w:val="TableNormal"/>
    <w:uiPriority w:val="49"/>
    <w:rsid w:val="00CE07D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jlage" ma:contentTypeID="0x010100BDF9EAF7E7FE59449502797BFB51743F0100AA393DC48576674CAE5722CE0DFE90AC" ma:contentTypeVersion="45" ma:contentTypeDescription="" ma:contentTypeScope="" ma:versionID="15014d22dfd53d86e74ff93919e44e1e">
  <xsd:schema xmlns:xsd="http://www.w3.org/2001/XMLSchema" xmlns:xs="http://www.w3.org/2001/XMLSchema" xmlns:p="http://schemas.microsoft.com/office/2006/metadata/properties" xmlns:ns1="http://schemas.microsoft.com/sharepoint/v3" xmlns:ns2="a445d3d8-28a8-4826-ad51-85ae78dbc123" xmlns:ns3="a771fd84-99d5-44c2-9dac-0b7cb5888153" xmlns:ns4="872641a8-5ee1-4ad8-a2c8-179bbc26f47e" targetNamespace="http://schemas.microsoft.com/office/2006/metadata/properties" ma:root="true" ma:fieldsID="072631df50e7a5b848af828bca296b8e" ns1:_="" ns2:_="" ns3:_="" ns4:_="">
    <xsd:import namespace="http://schemas.microsoft.com/sharepoint/v3"/>
    <xsd:import namespace="a445d3d8-28a8-4826-ad51-85ae78dbc123"/>
    <xsd:import namespace="a771fd84-99d5-44c2-9dac-0b7cb5888153"/>
    <xsd:import namespace="872641a8-5ee1-4ad8-a2c8-179bbc26f47e"/>
    <xsd:element name="properties">
      <xsd:complexType>
        <xsd:sequence>
          <xsd:element name="documentManagement">
            <xsd:complexType>
              <xsd:all>
                <xsd:element ref="ns2:Taal" minOccurs="0"/>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4:TaxCatchAll" minOccurs="0"/>
                <xsd:element ref="ns1:FormData" minOccurs="0"/>
                <xsd:element ref="ns2:replaces-ozb-date" minOccurs="0"/>
                <xsd:element ref="ns2:replaces-ozb-sequence-nr" minOccurs="0"/>
                <xsd:element ref="ns2:replaces-ozb-nr" minOccurs="0"/>
                <xsd:element ref="ns3:vervangt_x0020_omzendbrief" minOccurs="0"/>
                <xsd:element ref="ns2:Cel_x003a_Titel" minOccurs="0"/>
                <xsd:element ref="ns2:c5310d4b92cd4ef5a8e2a50ff63ba4e8" minOccurs="0"/>
                <xsd:element ref="ns4:TaxCatchAllLabel" minOccurs="0"/>
                <xsd:element ref="ns2:g7ae3e1ae2664f8e8c2d1d16ac6e26f8" minOccurs="0"/>
                <xsd:element ref="ns2:ondertekenaar_x003a_Naam-ondertekenaar-nl" minOccurs="0"/>
                <xsd:element ref="ns3:ondertekenaar_x003a_graad-fr" minOccurs="0"/>
                <xsd:element ref="ns2:ondertekenaar_x003a_Naam-ondertekenaar-fr" minOccurs="0"/>
                <xsd:element ref="ns3:ondertekenaar_x003a_aanhef-fr" minOccurs="0"/>
                <xsd:element ref="ns3:ondertekenaar_x003a_graad-nl" minOccurs="0"/>
                <xsd:element ref="ns3:ondertekenaar_x003a_aanhef-nl" minOccurs="0"/>
                <xsd:element ref="ns3:OndertekenaarArchief"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nillable="true"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Goedgekeurd - Approuvé"/>
          <xsd:enumeration value="Teruggestuurd - Renvoyé"/>
          <xsd:enumeration value="Afgekeurd - Rejété"/>
          <xsd:enumeration value="Gepubliceerd - Publié"/>
          <xsd:enumeration value="Gepubliceerd - Publie"/>
          <xsd:enumeration value="Vervangen - Remplacer"/>
          <xsd:enumeration value="Te vertalen - à traduire"/>
          <xsd:enumeration value="Vertaald - Traduit"/>
          <xsd:enumeration value="Externe uitwisseling - Echange externe"/>
        </xsd:restriction>
      </xsd:simpleType>
    </xsd:element>
    <xsd:element name="Dossier" ma:index="14" nillable="true" ma:displayName="Dossier" ma:list="{a771fd84-99d5-44c2-9dac-0b7cb5888153}"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replaces-ozb-date" ma:index="26" nillable="true" ma:displayName="replaces-ozb-date" ma:format="DateOnly" ma:internalName="replaces_x002d_ozb_x002d_date" ma:readOnly="false">
      <xsd:simpleType>
        <xsd:restriction base="dms:DateTime"/>
      </xsd:simpleType>
    </xsd:element>
    <xsd:element name="replaces-ozb-sequence-nr" ma:index="27" nillable="true" ma:displayName="replaces-ozb-sequence-nr" ma:decimals="0" ma:internalName="replaces_x002d_ozb_x002d_sequence_x002d_nr" ma:readOnly="false">
      <xsd:simpleType>
        <xsd:restriction base="dms:Number">
          <xsd:maxInclusive value="2000"/>
          <xsd:minInclusive value="1"/>
        </xsd:restriction>
      </xsd:simpleType>
    </xsd:element>
    <xsd:element name="replaces-ozb-nr" ma:index="28" nillable="true" ma:displayName="replaces-ozb-nr" ma:decimals="0" ma:internalName="replaces_x002d_ozb_x002d_nr" ma:readOnly="false">
      <xsd:simpleType>
        <xsd:restriction base="dms:Number"/>
      </xsd:simpleType>
    </xsd:element>
    <xsd:element name="Cel_x003a_Titel" ma:index="30" nillable="true" ma:displayName="Cel:Titel" ma:list="{ffa42b20-8bb0-4be2-ac94-da94045c778d}" ma:internalName="Cel_x003A_Titel" ma:readOnly="true" ma:showField="Title" ma:web="a445d3d8-28a8-4826-ad51-85ae78dbc123">
      <xsd:simpleType>
        <xsd:restriction base="dms:Lookup"/>
      </xsd:simpleType>
    </xsd:element>
    <xsd:element name="c5310d4b92cd4ef5a8e2a50ff63ba4e8" ma:index="31"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g7ae3e1ae2664f8e8c2d1d16ac6e26f8" ma:index="33" nillable="true"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ondertekenaar_x003a_Naam-ondertekenaar-nl" ma:index="34"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6"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vervangt_x0020_omzendbrief" ma:index="29" nillable="true" ma:displayName="vervangt omzendbrief" ma:list="{a771fd84-99d5-44c2-9dac-0b7cb5888153}" ma:internalName="vervangt_x0020_omzendbrief" ma:readOnly="false" ma:showField="omzendbriefnummer">
      <xsd:simpleType>
        <xsd:restriction base="dms:Lookup"/>
      </xsd:simpleType>
    </xsd:element>
    <xsd:element name="ondertekenaar_x003a_graad-fr" ma:index="35"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7"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graad-nl" ma:index="38"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element name="ondertekenaar_x003a_aanhef-nl" ma:index="39"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Archief" ma:index="40" nillable="true" ma:displayName="Ondertekenaar Archief" ma:internalName="OndertekenaarArchi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676C1C5B-B949-4274-AC62-5321F6A7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a771fd84-99d5-44c2-9dac-0b7cb5888153"/>
    <ds:schemaRef ds:uri="872641a8-5ee1-4ad8-a2c8-179bbc26f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4A1AE-EC8D-4B51-BFDB-2C3E12BAB484}"/>
</file>

<file path=customXml/itemProps3.xml><?xml version="1.0" encoding="utf-8"?>
<ds:datastoreItem xmlns:ds="http://schemas.openxmlformats.org/officeDocument/2006/customXml" ds:itemID="{B361AB1C-E6FF-4804-92FC-052A312EE4A9}"/>
</file>

<file path=customXml/itemProps4.xml><?xml version="1.0" encoding="utf-8"?>
<ds:datastoreItem xmlns:ds="http://schemas.openxmlformats.org/officeDocument/2006/customXml" ds:itemID="{71B6A1FD-8BC8-487B-80EB-7FCE356E5DCB}">
  <ds:schemaRefs>
    <ds:schemaRef ds:uri="a771fd84-99d5-44c2-9dac-0b7cb5888153"/>
    <ds:schemaRef ds:uri="http://www.w3.org/XML/1998/namespace"/>
    <ds:schemaRef ds:uri="http://schemas.microsoft.com/office/2006/documentManagement/types"/>
    <ds:schemaRef ds:uri="http://schemas.openxmlformats.org/package/2006/metadata/core-properties"/>
    <ds:schemaRef ds:uri="872641a8-5ee1-4ad8-a2c8-179bbc26f47e"/>
    <ds:schemaRef ds:uri="http://purl.org/dc/dcmitype/"/>
    <ds:schemaRef ds:uri="http://schemas.microsoft.com/office/infopath/2007/PartnerControls"/>
    <ds:schemaRef ds:uri="http://purl.org/dc/elements/1.1/"/>
    <ds:schemaRef ds:uri="http://purl.org/dc/terms/"/>
    <ds:schemaRef ds:uri="a445d3d8-28a8-4826-ad51-85ae78dbc12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1803</Words>
  <Characters>10281</Characters>
  <Application>Microsoft Office Word</Application>
  <DocSecurity>4</DocSecurity>
  <Lines>85</Lines>
  <Paragraphs>24</Paragraphs>
  <ScaleCrop>false</ScaleCrop>
  <Company>RIZIV-INAMI</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Felice Peeters (RIZIV-INAMI)</dc:creator>
  <cp:keywords/>
  <dc:description/>
  <cp:lastModifiedBy>Dorien Nicola (RIZIV-INAMI)</cp:lastModifiedBy>
  <cp:revision>2</cp:revision>
  <dcterms:created xsi:type="dcterms:W3CDTF">2026-04-02T08:30:00Z</dcterms:created>
  <dcterms:modified xsi:type="dcterms:W3CDTF">2026-04-02T08:30:00Z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ienstOpBrief">
    <vt:lpwstr>395;#Administratieve Controle|83602510-5994-4c0f-b5c9-dfa9b0472570</vt:lpwstr>
  </property>
  <property fmtid="{D5CDD505-2E9C-101B-9397-08002B2CF9AE}" pid="4" name="Rubriek">
    <vt:lpwstr>42;#2299 - Personen ingeschreven in het Rijksregister|8dfac25a-f88b-447a-b30e-c9a0110f4121</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