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6B91" w14:textId="2774D042" w:rsidR="00C56EFB" w:rsidRDefault="00C56EFB" w:rsidP="00F73806">
      <w:pPr>
        <w:shd w:val="clear" w:color="auto" w:fill="FFFFFF"/>
        <w:jc w:val="both"/>
        <w:outlineLvl w:val="0"/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</w:pPr>
      <w:bookmarkStart w:id="0" w:name="_GoBack"/>
      <w:bookmarkEnd w:id="0"/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Continuité des soins </w:t>
      </w:r>
      <w:r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par les </w:t>
      </w:r>
      <w:r w:rsidR="008E4227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fournisseurs d’implants</w:t>
      </w:r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 : prestations </w:t>
      </w:r>
      <w:r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 xml:space="preserve">et remboursement </w:t>
      </w:r>
      <w:r w:rsidRPr="00D447E2">
        <w:rPr>
          <w:rFonts w:ascii="Trebuchet MS" w:hAnsi="Trebuchet MS"/>
          <w:b/>
          <w:bCs/>
          <w:color w:val="2D3235"/>
          <w:kern w:val="36"/>
          <w:sz w:val="35"/>
          <w:szCs w:val="35"/>
          <w:lang w:val="fr-BE" w:eastAsia="en-GB"/>
        </w:rPr>
        <w:t>dans le contexte de crise COVID-19</w:t>
      </w:r>
    </w:p>
    <w:p w14:paraId="02B857CC" w14:textId="77777777" w:rsidR="0040322A" w:rsidRPr="008E4227" w:rsidRDefault="0040322A" w:rsidP="00F7380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BE"/>
        </w:rPr>
      </w:pPr>
    </w:p>
    <w:p w14:paraId="750CD07A" w14:textId="77777777" w:rsidR="000858C4" w:rsidRPr="00442282" w:rsidRDefault="000858C4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42282">
        <w:rPr>
          <w:rFonts w:ascii="Trebuchet MS" w:hAnsi="Trebuchet MS"/>
          <w:sz w:val="20"/>
          <w:szCs w:val="20"/>
          <w:lang w:val="fr-BE"/>
        </w:rPr>
        <w:t>Nous voulons garantir la qualité et la continuité des soins pendant cette crise du COVID-19, tout en respectant les mesures de distanciation sociale.</w:t>
      </w:r>
    </w:p>
    <w:p w14:paraId="07A6BEF9" w14:textId="77777777" w:rsidR="000858C4" w:rsidRPr="00442282" w:rsidRDefault="000858C4" w:rsidP="00F73806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22F8FC99" w14:textId="6A51F88E" w:rsidR="00577A68" w:rsidRPr="00442282" w:rsidRDefault="000858C4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42282">
        <w:rPr>
          <w:rFonts w:ascii="Trebuchet MS" w:hAnsi="Trebuchet MS"/>
          <w:sz w:val="20"/>
          <w:szCs w:val="20"/>
          <w:lang w:val="fr-BE"/>
        </w:rPr>
        <w:t xml:space="preserve">Nous ajustons pour cela certaines règles de l’assurance soins de santé pour le remboursement des prestations délivrées par les </w:t>
      </w:r>
      <w:r w:rsidR="008E4227" w:rsidRPr="00442282">
        <w:rPr>
          <w:rFonts w:ascii="Trebuchet MS" w:hAnsi="Trebuchet MS"/>
          <w:sz w:val="20"/>
          <w:szCs w:val="20"/>
          <w:lang w:val="fr-BE"/>
        </w:rPr>
        <w:t>fournisseurs d’implants</w:t>
      </w:r>
      <w:r w:rsidRPr="00442282">
        <w:rPr>
          <w:rFonts w:ascii="Trebuchet MS" w:hAnsi="Trebuchet MS"/>
          <w:sz w:val="20"/>
          <w:szCs w:val="20"/>
          <w:lang w:val="fr-BE"/>
        </w:rPr>
        <w:t xml:space="preserve"> (</w:t>
      </w:r>
      <w:r w:rsidR="008E4227" w:rsidRPr="00442282">
        <w:rPr>
          <w:rFonts w:ascii="Trebuchet MS" w:hAnsi="Trebuchet MS"/>
          <w:sz w:val="20"/>
          <w:szCs w:val="20"/>
          <w:lang w:val="fr-BE"/>
        </w:rPr>
        <w:t>Liste des implants et dispositifs médicaux invasifs et de la convention de reval</w:t>
      </w:r>
      <w:r w:rsidR="00126D5E">
        <w:rPr>
          <w:rFonts w:ascii="Trebuchet MS" w:hAnsi="Trebuchet MS"/>
          <w:sz w:val="20"/>
          <w:szCs w:val="20"/>
          <w:lang w:val="fr-BE"/>
        </w:rPr>
        <w:t>idation</w:t>
      </w:r>
      <w:r w:rsidRPr="00442282">
        <w:rPr>
          <w:rFonts w:ascii="Trebuchet MS" w:hAnsi="Trebuchet MS"/>
          <w:sz w:val="20"/>
          <w:szCs w:val="20"/>
          <w:lang w:val="fr-BE"/>
        </w:rPr>
        <w:t>).</w:t>
      </w:r>
    </w:p>
    <w:p w14:paraId="44FF3E84" w14:textId="77777777" w:rsidR="000858C4" w:rsidRPr="00442282" w:rsidRDefault="000858C4" w:rsidP="00F73806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0F0E2BFE" w14:textId="3FCD0C64" w:rsidR="00BF302A" w:rsidRPr="00442282" w:rsidRDefault="000858C4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42282">
        <w:rPr>
          <w:rFonts w:ascii="Trebuchet MS" w:hAnsi="Trebuchet MS"/>
          <w:sz w:val="20"/>
          <w:szCs w:val="20"/>
          <w:lang w:val="fr-BE"/>
        </w:rPr>
        <w:t xml:space="preserve">Ces mesures sont d’application à partir du </w:t>
      </w:r>
      <w:r w:rsidR="008E4227" w:rsidRPr="00442282">
        <w:rPr>
          <w:rFonts w:ascii="Trebuchet MS" w:hAnsi="Trebuchet MS"/>
          <w:sz w:val="20"/>
          <w:szCs w:val="20"/>
          <w:lang w:val="fr-BE"/>
        </w:rPr>
        <w:t>1</w:t>
      </w:r>
      <w:r w:rsidRPr="00442282">
        <w:rPr>
          <w:rFonts w:ascii="Trebuchet MS" w:hAnsi="Trebuchet MS"/>
          <w:sz w:val="20"/>
          <w:szCs w:val="20"/>
          <w:lang w:val="fr-BE"/>
        </w:rPr>
        <w:t xml:space="preserve"> mars et pendant la période de crise liée au COVID-19.</w:t>
      </w:r>
    </w:p>
    <w:p w14:paraId="2DBA612D" w14:textId="77777777" w:rsidR="008E274A" w:rsidRPr="00A67A5C" w:rsidRDefault="008E274A" w:rsidP="00F7380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BE"/>
        </w:rPr>
      </w:pPr>
    </w:p>
    <w:p w14:paraId="3D689BFC" w14:textId="77777777" w:rsidR="008E4227" w:rsidRPr="004B6381" w:rsidRDefault="008E4227" w:rsidP="008E4227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4B638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Les conditions de remboursement concernant l’âge des bénéficiaires sont-elles modifiées ?</w:t>
      </w:r>
    </w:p>
    <w:p w14:paraId="7134DADA" w14:textId="79280136" w:rsidR="008E4227" w:rsidRDefault="008E4227" w:rsidP="008E4227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 xml:space="preserve">Si une condition d’âge maximum est prévue dans les conditions de remboursement d’une prestation et que le bénéficiaire atteint cet âge limite durant la </w:t>
      </w:r>
      <w:r w:rsidR="00CF7665">
        <w:rPr>
          <w:rFonts w:ascii="Trebuchet MS" w:hAnsi="Trebuchet MS"/>
          <w:sz w:val="20"/>
          <w:szCs w:val="20"/>
          <w:lang w:val="fr-BE"/>
        </w:rPr>
        <w:t>période de crise COVID-19</w:t>
      </w:r>
      <w:r w:rsidRPr="004B6381">
        <w:rPr>
          <w:rFonts w:ascii="Trebuchet MS" w:hAnsi="Trebuchet MS"/>
          <w:sz w:val="20"/>
          <w:szCs w:val="20"/>
          <w:lang w:val="fr-BE"/>
        </w:rPr>
        <w:t>, l’âge maximum est augmenté de 6 mois.</w:t>
      </w:r>
    </w:p>
    <w:p w14:paraId="7EC9DAAA" w14:textId="77777777" w:rsidR="00424237" w:rsidRPr="004B6381" w:rsidRDefault="00424237" w:rsidP="008E4227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13BCC1E7" w14:textId="68319359" w:rsidR="008E4227" w:rsidRDefault="008E4227" w:rsidP="008E4227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4B6381">
        <w:rPr>
          <w:rFonts w:ascii="Trebuchet MS" w:hAnsi="Trebuchet MS"/>
          <w:sz w:val="20"/>
          <w:szCs w:val="20"/>
          <w:lang w:val="fr-BE"/>
        </w:rPr>
        <w:t xml:space="preserve">Ceci signifie que le texte de la </w:t>
      </w:r>
      <w:r w:rsidR="00954F7F">
        <w:rPr>
          <w:rFonts w:ascii="Trebuchet MS" w:hAnsi="Trebuchet MS"/>
          <w:sz w:val="20"/>
          <w:szCs w:val="20"/>
          <w:lang w:val="fr-BE"/>
        </w:rPr>
        <w:t>Liste</w:t>
      </w:r>
      <w:r w:rsidRPr="004B6381">
        <w:rPr>
          <w:rFonts w:ascii="Trebuchet MS" w:hAnsi="Trebuchet MS"/>
          <w:sz w:val="20"/>
          <w:szCs w:val="20"/>
          <w:lang w:val="fr-BE"/>
        </w:rPr>
        <w:t xml:space="preserve"> doit être lu comme suit, par exemple : ‘moins de 18 ans et 6 mois’ au lieu de ‘moins de 18 ans’.</w:t>
      </w:r>
    </w:p>
    <w:p w14:paraId="7FDE3E73" w14:textId="77777777" w:rsidR="00424237" w:rsidRDefault="00424237" w:rsidP="008E4227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</w:p>
    <w:p w14:paraId="183C0197" w14:textId="3A090DD3" w:rsidR="005E7AE9" w:rsidRPr="004B6381" w:rsidRDefault="005E7AE9" w:rsidP="008E4227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Les délais pour l’introduction des registres électroniques sont-ils prolongé</w:t>
      </w:r>
      <w:r w:rsidR="0044228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s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 ?</w:t>
      </w:r>
    </w:p>
    <w:p w14:paraId="5ABAE216" w14:textId="7AB615FF" w:rsidR="008E4227" w:rsidRDefault="00954F7F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Concernant</w:t>
      </w:r>
      <w:r w:rsidR="005E7AE9">
        <w:rPr>
          <w:rFonts w:ascii="Trebuchet MS" w:hAnsi="Trebuchet MS"/>
          <w:sz w:val="20"/>
          <w:szCs w:val="20"/>
          <w:lang w:val="fr-BE"/>
        </w:rPr>
        <w:t xml:space="preserve"> les prestations de la Liste </w:t>
      </w:r>
      <w:r>
        <w:rPr>
          <w:rFonts w:ascii="Trebuchet MS" w:hAnsi="Trebuchet MS"/>
          <w:sz w:val="20"/>
          <w:szCs w:val="20"/>
          <w:lang w:val="fr-BE"/>
        </w:rPr>
        <w:t>réalisées</w:t>
      </w:r>
      <w:r w:rsidR="00442282">
        <w:rPr>
          <w:rFonts w:ascii="Trebuchet MS" w:hAnsi="Trebuchet MS"/>
          <w:sz w:val="20"/>
          <w:szCs w:val="20"/>
          <w:lang w:val="fr-BE"/>
        </w:rPr>
        <w:t xml:space="preserve"> </w:t>
      </w:r>
      <w:r w:rsidR="005E7AE9">
        <w:rPr>
          <w:rFonts w:ascii="Trebuchet MS" w:hAnsi="Trebuchet MS"/>
          <w:sz w:val="20"/>
          <w:szCs w:val="20"/>
          <w:lang w:val="fr-BE"/>
        </w:rPr>
        <w:t xml:space="preserve">pour lesquelles le </w:t>
      </w:r>
      <w:r w:rsidR="00243792">
        <w:rPr>
          <w:rFonts w:ascii="Trebuchet MS" w:hAnsi="Trebuchet MS"/>
          <w:sz w:val="20"/>
          <w:szCs w:val="20"/>
          <w:lang w:val="fr-BE"/>
        </w:rPr>
        <w:t>remboursement</w:t>
      </w:r>
      <w:r w:rsidR="005E7AE9">
        <w:rPr>
          <w:rFonts w:ascii="Trebuchet MS" w:hAnsi="Trebuchet MS"/>
          <w:sz w:val="20"/>
          <w:szCs w:val="20"/>
          <w:lang w:val="fr-BE"/>
        </w:rPr>
        <w:t xml:space="preserve"> est </w:t>
      </w:r>
      <w:r>
        <w:rPr>
          <w:rFonts w:ascii="Trebuchet MS" w:hAnsi="Trebuchet MS"/>
          <w:sz w:val="20"/>
          <w:szCs w:val="20"/>
          <w:lang w:val="fr-BE"/>
        </w:rPr>
        <w:t xml:space="preserve">lié à un </w:t>
      </w:r>
      <w:r w:rsidR="00243792">
        <w:rPr>
          <w:rFonts w:ascii="Trebuchet MS" w:hAnsi="Trebuchet MS"/>
          <w:sz w:val="20"/>
          <w:szCs w:val="20"/>
          <w:lang w:val="fr-BE"/>
        </w:rPr>
        <w:t>enregistrement</w:t>
      </w:r>
      <w:r>
        <w:rPr>
          <w:rFonts w:ascii="Trebuchet MS" w:hAnsi="Trebuchet MS"/>
          <w:sz w:val="20"/>
          <w:szCs w:val="20"/>
          <w:lang w:val="fr-BE"/>
        </w:rPr>
        <w:t xml:space="preserve"> de</w:t>
      </w:r>
      <w:r w:rsidR="005E7AE9">
        <w:rPr>
          <w:rFonts w:ascii="Trebuchet MS" w:hAnsi="Trebuchet MS"/>
          <w:sz w:val="20"/>
          <w:szCs w:val="20"/>
          <w:lang w:val="fr-BE"/>
        </w:rPr>
        <w:t xml:space="preserve"> données et pour lesquelles au moin</w:t>
      </w:r>
      <w:r w:rsidR="00243792">
        <w:rPr>
          <w:rFonts w:ascii="Trebuchet MS" w:hAnsi="Trebuchet MS"/>
          <w:sz w:val="20"/>
          <w:szCs w:val="20"/>
          <w:lang w:val="fr-BE"/>
        </w:rPr>
        <w:t>s un jour du délai d’enregistrement tombe d</w:t>
      </w:r>
      <w:r>
        <w:rPr>
          <w:rFonts w:ascii="Trebuchet MS" w:hAnsi="Trebuchet MS"/>
          <w:sz w:val="20"/>
          <w:szCs w:val="20"/>
          <w:lang w:val="fr-BE"/>
        </w:rPr>
        <w:t>urant</w:t>
      </w:r>
      <w:r w:rsidR="00243792">
        <w:rPr>
          <w:rFonts w:ascii="Trebuchet MS" w:hAnsi="Trebuchet MS"/>
          <w:sz w:val="20"/>
          <w:szCs w:val="20"/>
          <w:lang w:val="fr-BE"/>
        </w:rPr>
        <w:t xml:space="preserve"> la </w:t>
      </w:r>
      <w:r w:rsidR="00CF7665">
        <w:rPr>
          <w:rFonts w:ascii="Trebuchet MS" w:hAnsi="Trebuchet MS"/>
          <w:sz w:val="20"/>
          <w:szCs w:val="20"/>
          <w:lang w:val="fr-BE"/>
        </w:rPr>
        <w:t>période de crise COVID-19</w:t>
      </w:r>
      <w:r w:rsidR="00243792">
        <w:rPr>
          <w:rFonts w:ascii="Trebuchet MS" w:hAnsi="Trebuchet MS"/>
          <w:sz w:val="20"/>
          <w:szCs w:val="20"/>
          <w:lang w:val="fr-BE"/>
        </w:rPr>
        <w:t xml:space="preserve">, l’enregistrement peut </w:t>
      </w:r>
      <w:r w:rsidR="00424237">
        <w:rPr>
          <w:rFonts w:ascii="Trebuchet MS" w:hAnsi="Trebuchet MS"/>
          <w:sz w:val="20"/>
          <w:szCs w:val="20"/>
          <w:lang w:val="fr-BE"/>
        </w:rPr>
        <w:t>encore être effectué</w:t>
      </w:r>
      <w:r w:rsidR="00243792">
        <w:rPr>
          <w:rFonts w:ascii="Trebuchet MS" w:hAnsi="Trebuchet MS"/>
          <w:sz w:val="20"/>
          <w:szCs w:val="20"/>
          <w:lang w:val="fr-BE"/>
        </w:rPr>
        <w:t xml:space="preserve"> dans les 6 mois après le jour de l’échéance. </w:t>
      </w:r>
    </w:p>
    <w:p w14:paraId="6DCDF2D2" w14:textId="208977E8" w:rsidR="008E4227" w:rsidRDefault="00834635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834635">
        <w:rPr>
          <w:rFonts w:ascii="Trebuchet MS" w:hAnsi="Trebuchet MS"/>
          <w:sz w:val="20"/>
          <w:szCs w:val="20"/>
          <w:lang w:val="fr-BE"/>
        </w:rPr>
        <w:t>La facturation est seulement possible après l’enregistrement</w:t>
      </w:r>
      <w:r>
        <w:rPr>
          <w:rFonts w:ascii="Trebuchet MS" w:hAnsi="Trebuchet MS"/>
          <w:sz w:val="20"/>
          <w:szCs w:val="20"/>
          <w:lang w:val="fr-BE"/>
        </w:rPr>
        <w:t xml:space="preserve"> puisque celle-ci doit </w:t>
      </w:r>
      <w:r w:rsidR="00954F7F">
        <w:rPr>
          <w:rFonts w:ascii="Trebuchet MS" w:hAnsi="Trebuchet MS"/>
          <w:sz w:val="20"/>
          <w:szCs w:val="20"/>
          <w:lang w:val="fr-BE"/>
        </w:rPr>
        <w:t>mentionner</w:t>
      </w:r>
      <w:r>
        <w:rPr>
          <w:rFonts w:ascii="Trebuchet MS" w:hAnsi="Trebuchet MS"/>
          <w:sz w:val="20"/>
          <w:szCs w:val="20"/>
          <w:lang w:val="fr-BE"/>
        </w:rPr>
        <w:t xml:space="preserve"> le code d’enregistrement.</w:t>
      </w:r>
    </w:p>
    <w:p w14:paraId="2F1D35F2" w14:textId="77777777" w:rsidR="00424237" w:rsidRPr="00834635" w:rsidRDefault="00424237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</w:p>
    <w:p w14:paraId="6423D124" w14:textId="48096B09" w:rsidR="008E4227" w:rsidRDefault="002B58A5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Les délais pour le suivi du traitement après implantation (</w:t>
      </w:r>
      <w:proofErr w:type="spellStart"/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follow</w:t>
      </w:r>
      <w:proofErr w:type="spellEnd"/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-up) sont ils adaptés ?</w:t>
      </w:r>
    </w:p>
    <w:p w14:paraId="0E758A2E" w14:textId="07B64B45" w:rsidR="00DE5C12" w:rsidRDefault="00CF7665" w:rsidP="00DE5C12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Concernant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les prestations de la Liste </w:t>
      </w:r>
      <w:r>
        <w:rPr>
          <w:rFonts w:ascii="Trebuchet MS" w:hAnsi="Trebuchet MS"/>
          <w:sz w:val="20"/>
          <w:szCs w:val="20"/>
          <w:lang w:val="fr-BE"/>
        </w:rPr>
        <w:t>réalisées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pour lesquelles le suivi du traitement doit être assuré (qu’il comporte ou non un enregistrement de données) et pour lesquelles au moins un jour du délai </w:t>
      </w:r>
      <w:r w:rsidR="00424237">
        <w:rPr>
          <w:rFonts w:ascii="Trebuchet MS" w:hAnsi="Trebuchet MS"/>
          <w:sz w:val="20"/>
          <w:szCs w:val="20"/>
          <w:lang w:val="fr-BE"/>
        </w:rPr>
        <w:t>de suivi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tombe dans la </w:t>
      </w:r>
      <w:r>
        <w:rPr>
          <w:rFonts w:ascii="Trebuchet MS" w:hAnsi="Trebuchet MS"/>
          <w:sz w:val="20"/>
          <w:szCs w:val="20"/>
          <w:lang w:val="fr-BE"/>
        </w:rPr>
        <w:t>période de crise COVID-19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, </w:t>
      </w:r>
      <w:r w:rsidR="00424237">
        <w:rPr>
          <w:rFonts w:ascii="Trebuchet MS" w:hAnsi="Trebuchet MS"/>
          <w:sz w:val="20"/>
          <w:szCs w:val="20"/>
          <w:lang w:val="fr-BE"/>
        </w:rPr>
        <w:t>le suivi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peut encore </w:t>
      </w:r>
      <w:r w:rsidR="00424237">
        <w:rPr>
          <w:rFonts w:ascii="Trebuchet MS" w:hAnsi="Trebuchet MS"/>
          <w:sz w:val="20"/>
          <w:szCs w:val="20"/>
          <w:lang w:val="fr-BE"/>
        </w:rPr>
        <w:t xml:space="preserve">être effectué 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dans les 6 mois après le jour de l’échéance. </w:t>
      </w:r>
    </w:p>
    <w:p w14:paraId="654AFCCD" w14:textId="08D1311F" w:rsidR="00424237" w:rsidRDefault="00424237" w:rsidP="00DE5C12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</w:p>
    <w:p w14:paraId="5C563446" w14:textId="72203C3D" w:rsidR="00424237" w:rsidRDefault="00424237" w:rsidP="00DE5C12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</w:p>
    <w:p w14:paraId="27763C47" w14:textId="5E84270C" w:rsidR="008E4227" w:rsidRDefault="002B58A5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lastRenderedPageBreak/>
        <w:t>Les délais pour la demande d’un</w:t>
      </w:r>
      <w:r w:rsidR="00D328B3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numéro de suivi sont-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ils adaptés ?</w:t>
      </w:r>
    </w:p>
    <w:p w14:paraId="1EDFB6CC" w14:textId="7445E4A4" w:rsidR="00DE5C12" w:rsidRDefault="00CF7665" w:rsidP="00DE5C12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Concernant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les prestations de la Liste </w:t>
      </w:r>
      <w:r>
        <w:rPr>
          <w:rFonts w:ascii="Trebuchet MS" w:hAnsi="Trebuchet MS"/>
          <w:sz w:val="20"/>
          <w:szCs w:val="20"/>
          <w:lang w:val="fr-BE"/>
        </w:rPr>
        <w:t>réalisées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pour lesquelles le remboursement est </w:t>
      </w:r>
      <w:r w:rsidR="00392B2E" w:rsidRPr="007F0E0C">
        <w:rPr>
          <w:rFonts w:ascii="Trebuchet MS" w:hAnsi="Trebuchet MS"/>
          <w:sz w:val="20"/>
          <w:szCs w:val="20"/>
          <w:lang w:val="fr-BE"/>
        </w:rPr>
        <w:t>dû</w:t>
      </w:r>
      <w:r w:rsidR="00392B2E">
        <w:rPr>
          <w:rFonts w:ascii="Trebuchet MS" w:hAnsi="Trebuchet MS"/>
          <w:sz w:val="20"/>
          <w:szCs w:val="20"/>
          <w:lang w:val="fr-BE"/>
        </w:rPr>
        <w:t xml:space="preserve"> après l’octroi d’un numéro de suivi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et pour lesquelles au moins un jour du délai </w:t>
      </w:r>
      <w:r w:rsidR="00392B2E">
        <w:rPr>
          <w:rFonts w:ascii="Trebuchet MS" w:hAnsi="Trebuchet MS"/>
          <w:sz w:val="20"/>
          <w:szCs w:val="20"/>
          <w:lang w:val="fr-BE"/>
        </w:rPr>
        <w:t>de demande pour l’obtention d</w:t>
      </w:r>
      <w:r w:rsidR="00D328B3">
        <w:rPr>
          <w:rFonts w:ascii="Trebuchet MS" w:hAnsi="Trebuchet MS"/>
          <w:sz w:val="20"/>
          <w:szCs w:val="20"/>
          <w:lang w:val="fr-BE"/>
        </w:rPr>
        <w:t xml:space="preserve">u </w:t>
      </w:r>
      <w:r w:rsidR="00392B2E">
        <w:rPr>
          <w:rFonts w:ascii="Trebuchet MS" w:hAnsi="Trebuchet MS"/>
          <w:sz w:val="20"/>
          <w:szCs w:val="20"/>
          <w:lang w:val="fr-BE"/>
        </w:rPr>
        <w:t>numéro de suivi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tombe dans la </w:t>
      </w:r>
      <w:r>
        <w:rPr>
          <w:rFonts w:ascii="Trebuchet MS" w:hAnsi="Trebuchet MS"/>
          <w:sz w:val="20"/>
          <w:szCs w:val="20"/>
          <w:lang w:val="fr-BE"/>
        </w:rPr>
        <w:t>période de crise COVID-19</w:t>
      </w:r>
      <w:r w:rsidR="00DE5C12">
        <w:rPr>
          <w:rFonts w:ascii="Trebuchet MS" w:hAnsi="Trebuchet MS"/>
          <w:sz w:val="20"/>
          <w:szCs w:val="20"/>
          <w:lang w:val="fr-BE"/>
        </w:rPr>
        <w:t>, l</w:t>
      </w:r>
      <w:r w:rsidR="00392B2E">
        <w:rPr>
          <w:rFonts w:ascii="Trebuchet MS" w:hAnsi="Trebuchet MS"/>
          <w:sz w:val="20"/>
          <w:szCs w:val="20"/>
          <w:lang w:val="fr-BE"/>
        </w:rPr>
        <w:t>a demande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</w:t>
      </w:r>
      <w:r w:rsidR="00392B2E" w:rsidRPr="00392B2E">
        <w:rPr>
          <w:rFonts w:ascii="Trebuchet MS" w:hAnsi="Trebuchet MS"/>
          <w:sz w:val="20"/>
          <w:szCs w:val="20"/>
          <w:lang w:val="fr-BE"/>
        </w:rPr>
        <w:t xml:space="preserve">peut encore être </w:t>
      </w:r>
      <w:r w:rsidR="00392B2E">
        <w:rPr>
          <w:rFonts w:ascii="Trebuchet MS" w:hAnsi="Trebuchet MS"/>
          <w:sz w:val="20"/>
          <w:szCs w:val="20"/>
          <w:lang w:val="fr-BE"/>
        </w:rPr>
        <w:t>effectuée</w:t>
      </w:r>
      <w:r w:rsidR="00392B2E" w:rsidRPr="00392B2E">
        <w:rPr>
          <w:rFonts w:ascii="Trebuchet MS" w:hAnsi="Trebuchet MS"/>
          <w:sz w:val="20"/>
          <w:szCs w:val="20"/>
          <w:lang w:val="fr-BE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>dans les 3</w:t>
      </w:r>
      <w:r w:rsidR="00DE5C12">
        <w:rPr>
          <w:rFonts w:ascii="Trebuchet MS" w:hAnsi="Trebuchet MS"/>
          <w:sz w:val="20"/>
          <w:szCs w:val="20"/>
          <w:lang w:val="fr-BE"/>
        </w:rPr>
        <w:t xml:space="preserve"> mois après le jour de l’échéance. </w:t>
      </w:r>
    </w:p>
    <w:p w14:paraId="2BAE0DF2" w14:textId="77777777" w:rsidR="001D3457" w:rsidRDefault="001D3457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74DAD9FE" w14:textId="3D777AC8" w:rsidR="008E4227" w:rsidRDefault="002B58A5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Les délais de la Liste pour l’introduction de rapports comme mentionnés dans les conditions de remboursement sont-ils adaptés ?</w:t>
      </w:r>
    </w:p>
    <w:p w14:paraId="40E96EE0" w14:textId="1575E9E8" w:rsidR="00D328B3" w:rsidRPr="00D328B3" w:rsidRDefault="00D328B3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D328B3">
        <w:rPr>
          <w:rFonts w:ascii="Trebuchet MS" w:hAnsi="Trebuchet MS"/>
          <w:sz w:val="20"/>
          <w:szCs w:val="20"/>
          <w:lang w:val="fr-BE"/>
        </w:rPr>
        <w:t>Pour les rapports intermédiaires, finaux ou périodiques</w:t>
      </w:r>
      <w:r w:rsidRPr="00D328B3">
        <w:rPr>
          <w:lang w:val="fr-BE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>pour lesquel</w:t>
      </w:r>
      <w:r w:rsidRPr="00D328B3">
        <w:rPr>
          <w:rFonts w:ascii="Trebuchet MS" w:hAnsi="Trebuchet MS"/>
          <w:sz w:val="20"/>
          <w:szCs w:val="20"/>
          <w:lang w:val="fr-BE"/>
        </w:rPr>
        <w:t>s</w:t>
      </w:r>
      <w:r>
        <w:rPr>
          <w:rFonts w:ascii="Trebuchet MS" w:hAnsi="Trebuchet MS"/>
          <w:sz w:val="20"/>
          <w:szCs w:val="20"/>
          <w:lang w:val="fr-BE"/>
        </w:rPr>
        <w:t xml:space="preserve"> la date limite d’introduction est prévue</w:t>
      </w:r>
      <w:r w:rsidR="00CF7665">
        <w:rPr>
          <w:rFonts w:ascii="Trebuchet MS" w:hAnsi="Trebuchet MS"/>
          <w:sz w:val="20"/>
          <w:szCs w:val="20"/>
          <w:lang w:val="fr-BE"/>
        </w:rPr>
        <w:t xml:space="preserve"> avant la fin 2020, en ce</w:t>
      </w:r>
      <w:r>
        <w:rPr>
          <w:rFonts w:ascii="Trebuchet MS" w:hAnsi="Trebuchet MS"/>
          <w:sz w:val="20"/>
          <w:szCs w:val="20"/>
          <w:lang w:val="fr-BE"/>
        </w:rPr>
        <w:t xml:space="preserve"> compris les rapports dans le cadre des Applications cliniques limitées (ACL), les délais d’introduction sont prolongés de 6 mois.</w:t>
      </w:r>
      <w:r w:rsidRPr="00D328B3">
        <w:rPr>
          <w:rFonts w:ascii="Trebuchet MS" w:hAnsi="Trebuchet MS"/>
          <w:sz w:val="20"/>
          <w:szCs w:val="20"/>
          <w:lang w:val="fr-BE"/>
        </w:rPr>
        <w:t xml:space="preserve"> </w:t>
      </w:r>
    </w:p>
    <w:p w14:paraId="42AFA70A" w14:textId="77777777" w:rsidR="00894C8D" w:rsidRDefault="00894C8D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485D7EEE" w14:textId="70352A96" w:rsidR="008E4227" w:rsidRDefault="002B58A5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Le remboursement temporaire (ACL) de l’assurance obligatoire </w:t>
      </w:r>
      <w:r w:rsidRPr="002B58A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pour le rétablissement percutané de la coaptation des feuillets des valves mitrales pour le traitement d’une régurgitation de la valve mitrale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est-il prolongé ?</w:t>
      </w:r>
    </w:p>
    <w:p w14:paraId="0784EBBF" w14:textId="28655903" w:rsidR="008E4227" w:rsidRPr="00C25C46" w:rsidRDefault="00C25C46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C25C46">
        <w:rPr>
          <w:rFonts w:ascii="Trebuchet MS" w:hAnsi="Trebuchet MS"/>
          <w:sz w:val="20"/>
          <w:szCs w:val="20"/>
          <w:lang w:val="fr-BE"/>
        </w:rPr>
        <w:t xml:space="preserve">Le remboursement temporaire pour </w:t>
      </w:r>
      <w:r w:rsidR="00723EE3">
        <w:rPr>
          <w:rFonts w:ascii="Trebuchet MS" w:hAnsi="Trebuchet MS"/>
          <w:sz w:val="20"/>
          <w:szCs w:val="20"/>
          <w:lang w:val="fr-BE"/>
        </w:rPr>
        <w:t>les prestations 172491-172502 et</w:t>
      </w:r>
      <w:r w:rsidRPr="00C25C46">
        <w:rPr>
          <w:rFonts w:ascii="Trebuchet MS" w:hAnsi="Trebuchet MS"/>
          <w:sz w:val="20"/>
          <w:szCs w:val="20"/>
          <w:lang w:val="fr-BE"/>
        </w:rPr>
        <w:t xml:space="preserve"> 172513-172524 est prolongé de 6</w:t>
      </w:r>
      <w:r w:rsidR="00CF7665">
        <w:rPr>
          <w:rFonts w:ascii="Trebuchet MS" w:hAnsi="Trebuchet MS"/>
          <w:sz w:val="20"/>
          <w:szCs w:val="20"/>
          <w:lang w:val="fr-BE"/>
        </w:rPr>
        <w:t xml:space="preserve"> </w:t>
      </w:r>
      <w:r w:rsidRPr="00C25C46">
        <w:rPr>
          <w:rFonts w:ascii="Trebuchet MS" w:hAnsi="Trebuchet MS"/>
          <w:sz w:val="20"/>
          <w:szCs w:val="20"/>
          <w:lang w:val="fr-BE"/>
        </w:rPr>
        <w:t>mois</w:t>
      </w:r>
      <w:r w:rsidRPr="00C25C46">
        <w:rPr>
          <w:lang w:val="fr-BE"/>
        </w:rPr>
        <w:t xml:space="preserve"> </w:t>
      </w:r>
      <w:r w:rsidRPr="00C25C46">
        <w:rPr>
          <w:rFonts w:ascii="Trebuchet MS" w:hAnsi="Trebuchet MS"/>
          <w:sz w:val="20"/>
          <w:szCs w:val="20"/>
          <w:lang w:val="fr-BE"/>
        </w:rPr>
        <w:t xml:space="preserve">à compter du jour de l’échéance. Les conventions conclues dans ce cadre avec les réseaux concernés sont également prolongés de la même période. L’ACL </w:t>
      </w:r>
      <w:r w:rsidR="00CF7665">
        <w:rPr>
          <w:rFonts w:ascii="Trebuchet MS" w:hAnsi="Trebuchet MS"/>
          <w:sz w:val="20"/>
          <w:szCs w:val="20"/>
          <w:lang w:val="fr-BE"/>
        </w:rPr>
        <w:t>est</w:t>
      </w:r>
      <w:r w:rsidRPr="00C25C46">
        <w:rPr>
          <w:rFonts w:ascii="Trebuchet MS" w:hAnsi="Trebuchet MS"/>
          <w:sz w:val="20"/>
          <w:szCs w:val="20"/>
          <w:lang w:val="fr-BE"/>
        </w:rPr>
        <w:t xml:space="preserve"> donc </w:t>
      </w:r>
      <w:r w:rsidR="00CF7665">
        <w:rPr>
          <w:rFonts w:ascii="Trebuchet MS" w:hAnsi="Trebuchet MS"/>
          <w:sz w:val="20"/>
          <w:szCs w:val="20"/>
          <w:lang w:val="fr-BE"/>
        </w:rPr>
        <w:t xml:space="preserve">d’application </w:t>
      </w:r>
      <w:r w:rsidRPr="00C25C46">
        <w:rPr>
          <w:rFonts w:ascii="Trebuchet MS" w:hAnsi="Trebuchet MS"/>
          <w:sz w:val="20"/>
          <w:szCs w:val="20"/>
          <w:lang w:val="fr-BE"/>
        </w:rPr>
        <w:t>jusqu’au 30/06/2021 inclus à la place du 31/12/2020.</w:t>
      </w:r>
    </w:p>
    <w:p w14:paraId="357553F9" w14:textId="77777777" w:rsidR="00894C8D" w:rsidRDefault="00894C8D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398D25EC" w14:textId="67A80FDC" w:rsidR="000858C4" w:rsidRDefault="000858C4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La validité des prescriptions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médicales </w:t>
      </w:r>
      <w:r w:rsidR="0083463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pour les dispositifs médicaux en ambulatoire </w:t>
      </w: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est-elle prolongée ?</w:t>
      </w:r>
    </w:p>
    <w:p w14:paraId="582BBDCB" w14:textId="624AF0BF" w:rsidR="00834635" w:rsidRPr="001D3457" w:rsidRDefault="00834635" w:rsidP="001D3457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1D3457">
        <w:rPr>
          <w:rFonts w:ascii="Trebuchet MS" w:hAnsi="Trebuchet MS"/>
          <w:sz w:val="20"/>
          <w:szCs w:val="20"/>
          <w:lang w:val="fr-BE"/>
        </w:rPr>
        <w:t xml:space="preserve">Pour les prescriptions en ambulatoire de dispositifs médicaux invasifs </w:t>
      </w:r>
      <w:r w:rsidR="00CF7665">
        <w:rPr>
          <w:rFonts w:ascii="Trebuchet MS" w:hAnsi="Trebuchet MS"/>
          <w:sz w:val="20"/>
          <w:szCs w:val="20"/>
          <w:lang w:val="fr-BE"/>
        </w:rPr>
        <w:t>dont au moins un jour de validité tombe durant la période de crise COVID-19,</w:t>
      </w:r>
      <w:r w:rsidRPr="001D3457">
        <w:rPr>
          <w:rFonts w:ascii="Trebuchet MS" w:hAnsi="Trebuchet MS"/>
          <w:sz w:val="20"/>
          <w:szCs w:val="20"/>
          <w:lang w:val="fr-BE"/>
        </w:rPr>
        <w:t xml:space="preserve"> la période de validité </w:t>
      </w:r>
      <w:r w:rsidR="00CF7665">
        <w:rPr>
          <w:rFonts w:ascii="Trebuchet MS" w:hAnsi="Trebuchet MS"/>
          <w:sz w:val="20"/>
          <w:szCs w:val="20"/>
          <w:lang w:val="fr-BE"/>
        </w:rPr>
        <w:t xml:space="preserve">de cette prescription </w:t>
      </w:r>
      <w:r w:rsidRPr="001D3457">
        <w:rPr>
          <w:rFonts w:ascii="Trebuchet MS" w:hAnsi="Trebuchet MS"/>
          <w:sz w:val="20"/>
          <w:szCs w:val="20"/>
          <w:lang w:val="fr-BE"/>
        </w:rPr>
        <w:t xml:space="preserve">est prolongée de 6 mois. </w:t>
      </w:r>
    </w:p>
    <w:p w14:paraId="3292FB5E" w14:textId="77777777" w:rsidR="001D3457" w:rsidRDefault="001D3457" w:rsidP="00F73806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018AE3E0" w14:textId="04F693CC" w:rsidR="004B6381" w:rsidRPr="007F0E0C" w:rsidRDefault="001D3457" w:rsidP="00F73806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7F0E0C">
        <w:rPr>
          <w:rFonts w:ascii="Trebuchet MS" w:hAnsi="Trebuchet MS"/>
          <w:sz w:val="20"/>
          <w:szCs w:val="20"/>
          <w:lang w:val="fr-BE"/>
        </w:rPr>
        <w:t xml:space="preserve">Le dispensateur de soins </w:t>
      </w:r>
      <w:r w:rsidR="004B6381" w:rsidRPr="007F0E0C">
        <w:rPr>
          <w:rFonts w:ascii="Trebuchet MS" w:hAnsi="Trebuchet MS"/>
          <w:sz w:val="20"/>
          <w:szCs w:val="20"/>
          <w:lang w:val="fr-BE"/>
        </w:rPr>
        <w:t>qui met en œuvre la prescription est responsable de vérifier si son contenu est toujours actuel.</w:t>
      </w:r>
    </w:p>
    <w:p w14:paraId="02909DAE" w14:textId="77777777" w:rsidR="003650EB" w:rsidRPr="007F0E0C" w:rsidRDefault="003650EB" w:rsidP="00F73806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4854A97E" w14:textId="04E18F53" w:rsidR="00473BB5" w:rsidRDefault="00B66E2F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7F0E0C">
        <w:rPr>
          <w:rFonts w:ascii="Trebuchet MS" w:hAnsi="Trebuchet MS"/>
          <w:sz w:val="20"/>
          <w:szCs w:val="20"/>
          <w:lang w:val="fr-BE"/>
        </w:rPr>
        <w:t xml:space="preserve">Pour rappel, ce délai de validité concerne la période </w:t>
      </w:r>
      <w:r w:rsidR="00F87652" w:rsidRPr="007F0E0C">
        <w:rPr>
          <w:rFonts w:ascii="Trebuchet MS" w:hAnsi="Trebuchet MS"/>
          <w:sz w:val="20"/>
          <w:szCs w:val="20"/>
          <w:lang w:val="fr-BE"/>
        </w:rPr>
        <w:t xml:space="preserve">entre la date de rédaction de la prescription par le médecin et la date de réception de cette prescription par </w:t>
      </w:r>
      <w:r w:rsidR="001D3457" w:rsidRPr="007F0E0C">
        <w:rPr>
          <w:rFonts w:ascii="Trebuchet MS" w:hAnsi="Trebuchet MS"/>
          <w:sz w:val="20"/>
          <w:szCs w:val="20"/>
          <w:lang w:val="fr-BE"/>
        </w:rPr>
        <w:t>le fournisseur d’implants</w:t>
      </w:r>
      <w:r w:rsidR="00F87652" w:rsidRPr="007F0E0C">
        <w:rPr>
          <w:rFonts w:ascii="Trebuchet MS" w:hAnsi="Trebuchet MS"/>
          <w:sz w:val="20"/>
          <w:szCs w:val="20"/>
          <w:lang w:val="fr-BE"/>
        </w:rPr>
        <w:t>.</w:t>
      </w:r>
    </w:p>
    <w:p w14:paraId="70FE78C8" w14:textId="77777777" w:rsidR="00894C8D" w:rsidRDefault="00894C8D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7726AEE0" w14:textId="77777777" w:rsidR="00894C8D" w:rsidRDefault="00894C8D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5131D87B" w14:textId="77777777" w:rsidR="00894C8D" w:rsidRDefault="00894C8D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54205AF6" w14:textId="220FBF7D" w:rsidR="00834635" w:rsidRPr="001D3457" w:rsidRDefault="001D3457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1D345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lastRenderedPageBreak/>
        <w:t>Les accord</w:t>
      </w:r>
      <w:r w:rsidR="00E96C7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s du Collège des médecins-</w:t>
      </w:r>
      <w:r w:rsidRPr="001D345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directeurs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</w:t>
      </w:r>
      <w:r w:rsidR="00E96C7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et du médecin conseil avec une durée de validité sont-</w:t>
      </w:r>
      <w:r w:rsidRPr="001D345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ils prolongés</w:t>
      </w:r>
      <w:r w:rsidR="00E96C7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 ?</w:t>
      </w:r>
    </w:p>
    <w:p w14:paraId="67076829" w14:textId="55641B5C" w:rsidR="00834635" w:rsidRPr="00834635" w:rsidRDefault="00834635" w:rsidP="00834635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834635">
        <w:rPr>
          <w:rFonts w:ascii="Trebuchet MS" w:hAnsi="Trebuchet MS"/>
          <w:sz w:val="20"/>
          <w:szCs w:val="20"/>
          <w:lang w:val="fr-BE"/>
        </w:rPr>
        <w:t xml:space="preserve">Pour </w:t>
      </w:r>
      <w:r w:rsidR="00E96C77">
        <w:rPr>
          <w:rFonts w:ascii="Trebuchet MS" w:hAnsi="Trebuchet MS"/>
          <w:sz w:val="20"/>
          <w:szCs w:val="20"/>
          <w:lang w:val="fr-BE"/>
        </w:rPr>
        <w:t xml:space="preserve">certaines prestations, </w:t>
      </w:r>
      <w:r w:rsidRPr="00834635">
        <w:rPr>
          <w:rFonts w:ascii="Trebuchet MS" w:hAnsi="Trebuchet MS"/>
          <w:sz w:val="20"/>
          <w:szCs w:val="20"/>
          <w:lang w:val="fr-BE"/>
        </w:rPr>
        <w:t xml:space="preserve">le Collège des médecins-directeurs </w:t>
      </w:r>
      <w:r w:rsidR="00E96C77">
        <w:rPr>
          <w:rFonts w:ascii="Trebuchet MS" w:hAnsi="Trebuchet MS"/>
          <w:sz w:val="20"/>
          <w:szCs w:val="20"/>
          <w:lang w:val="fr-BE"/>
        </w:rPr>
        <w:t>ou le médecin-c</w:t>
      </w:r>
      <w:r w:rsidR="0025380B">
        <w:rPr>
          <w:rFonts w:ascii="Trebuchet MS" w:hAnsi="Trebuchet MS"/>
          <w:sz w:val="20"/>
          <w:szCs w:val="20"/>
          <w:lang w:val="fr-BE"/>
        </w:rPr>
        <w:t>onseil donnent un accord limité</w:t>
      </w:r>
      <w:r w:rsidR="00E96C77">
        <w:rPr>
          <w:rFonts w:ascii="Trebuchet MS" w:hAnsi="Trebuchet MS"/>
          <w:sz w:val="20"/>
          <w:szCs w:val="20"/>
          <w:lang w:val="fr-BE"/>
        </w:rPr>
        <w:t xml:space="preserve"> dans le temps. </w:t>
      </w:r>
      <w:r w:rsidR="00E96C77" w:rsidRPr="00E96C77">
        <w:rPr>
          <w:rFonts w:ascii="Trebuchet MS" w:hAnsi="Trebuchet MS"/>
          <w:sz w:val="20"/>
          <w:szCs w:val="20"/>
          <w:lang w:val="fr-BE"/>
        </w:rPr>
        <w:t xml:space="preserve">Si au moins un jour de validité </w:t>
      </w:r>
      <w:r w:rsidR="00E96C77">
        <w:rPr>
          <w:rFonts w:ascii="Trebuchet MS" w:hAnsi="Trebuchet MS"/>
          <w:sz w:val="20"/>
          <w:szCs w:val="20"/>
          <w:lang w:val="fr-BE"/>
        </w:rPr>
        <w:t>de l’accord tombe</w:t>
      </w:r>
      <w:r w:rsidRPr="00834635">
        <w:rPr>
          <w:rFonts w:ascii="Trebuchet MS" w:hAnsi="Trebuchet MS"/>
          <w:sz w:val="20"/>
          <w:szCs w:val="20"/>
          <w:lang w:val="fr-BE"/>
        </w:rPr>
        <w:t xml:space="preserve"> durant la période de crise du Covid-19</w:t>
      </w:r>
      <w:r w:rsidR="00E96C77">
        <w:rPr>
          <w:rFonts w:ascii="Trebuchet MS" w:hAnsi="Trebuchet MS"/>
          <w:sz w:val="20"/>
          <w:szCs w:val="20"/>
          <w:lang w:val="fr-BE"/>
        </w:rPr>
        <w:t xml:space="preserve">, </w:t>
      </w:r>
      <w:r w:rsidRPr="00834635">
        <w:rPr>
          <w:rFonts w:ascii="Trebuchet MS" w:hAnsi="Trebuchet MS"/>
          <w:sz w:val="20"/>
          <w:szCs w:val="20"/>
          <w:lang w:val="fr-BE"/>
        </w:rPr>
        <w:t xml:space="preserve">la période de validité </w:t>
      </w:r>
      <w:r w:rsidR="00E96C77">
        <w:rPr>
          <w:rFonts w:ascii="Trebuchet MS" w:hAnsi="Trebuchet MS"/>
          <w:sz w:val="20"/>
          <w:szCs w:val="20"/>
          <w:lang w:val="fr-BE"/>
        </w:rPr>
        <w:t xml:space="preserve">de l’accord </w:t>
      </w:r>
      <w:r w:rsidRPr="00834635">
        <w:rPr>
          <w:rFonts w:ascii="Trebuchet MS" w:hAnsi="Trebuchet MS"/>
          <w:sz w:val="20"/>
          <w:szCs w:val="20"/>
          <w:lang w:val="fr-BE"/>
        </w:rPr>
        <w:t xml:space="preserve">est prolongée de 6 mois. </w:t>
      </w:r>
    </w:p>
    <w:p w14:paraId="5FC658CF" w14:textId="77777777" w:rsidR="00834635" w:rsidRDefault="00834635" w:rsidP="00442282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57F986A0" w14:textId="177788C3" w:rsidR="00442282" w:rsidRDefault="00442282" w:rsidP="00442282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 traitement des dossiers individuels</w:t>
      </w:r>
      <w:r w:rsidRPr="004415B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devant être soumis à un organe de l’INAMI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est-il assuré</w:t>
      </w:r>
      <w:r w:rsidR="0083463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 ?</w:t>
      </w:r>
    </w:p>
    <w:p w14:paraId="5B668695" w14:textId="77777777" w:rsidR="00834635" w:rsidRDefault="00834635" w:rsidP="00442282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1AAE7AA0" w14:textId="1C987D96" w:rsidR="00442282" w:rsidRDefault="00442282" w:rsidP="00442282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4415B2">
        <w:rPr>
          <w:rFonts w:ascii="Trebuchet MS" w:hAnsi="Trebuchet MS"/>
          <w:sz w:val="20"/>
          <w:szCs w:val="20"/>
          <w:lang w:val="fr-BE"/>
        </w:rPr>
        <w:t xml:space="preserve">Afin </w:t>
      </w:r>
      <w:r>
        <w:rPr>
          <w:rFonts w:ascii="Trebuchet MS" w:hAnsi="Trebuchet MS"/>
          <w:sz w:val="20"/>
          <w:szCs w:val="20"/>
          <w:lang w:val="fr-BE"/>
        </w:rPr>
        <w:t xml:space="preserve">d’assurer </w:t>
      </w:r>
      <w:r w:rsidRPr="004415B2">
        <w:rPr>
          <w:rFonts w:ascii="Trebuchet MS" w:hAnsi="Trebuchet MS"/>
          <w:sz w:val="20"/>
          <w:szCs w:val="20"/>
          <w:lang w:val="fr-BE"/>
        </w:rPr>
        <w:t>une continuité dans le traitement de</w:t>
      </w:r>
      <w:r>
        <w:rPr>
          <w:rFonts w:ascii="Trebuchet MS" w:hAnsi="Trebuchet MS"/>
          <w:sz w:val="20"/>
          <w:szCs w:val="20"/>
          <w:lang w:val="fr-BE"/>
        </w:rPr>
        <w:t>s</w:t>
      </w:r>
      <w:r w:rsidRPr="004415B2">
        <w:rPr>
          <w:rFonts w:ascii="Trebuchet MS" w:hAnsi="Trebuchet MS"/>
          <w:sz w:val="20"/>
          <w:szCs w:val="20"/>
          <w:lang w:val="fr-BE"/>
        </w:rPr>
        <w:t xml:space="preserve"> dossiers individuels, il est prévu d’organiser des réunions </w:t>
      </w:r>
      <w:proofErr w:type="spellStart"/>
      <w:r w:rsidRPr="004415B2">
        <w:rPr>
          <w:rFonts w:ascii="Trebuchet MS" w:hAnsi="Trebuchet MS"/>
          <w:sz w:val="20"/>
          <w:szCs w:val="20"/>
          <w:lang w:val="fr-BE"/>
        </w:rPr>
        <w:t>peer</w:t>
      </w:r>
      <w:proofErr w:type="spellEnd"/>
      <w:r w:rsidRPr="004415B2">
        <w:rPr>
          <w:rFonts w:ascii="Trebuchet MS" w:hAnsi="Trebuchet MS"/>
          <w:sz w:val="20"/>
          <w:szCs w:val="20"/>
          <w:lang w:val="fr-BE"/>
        </w:rPr>
        <w:t xml:space="preserve"> </w:t>
      </w:r>
      <w:proofErr w:type="spellStart"/>
      <w:r w:rsidRPr="004415B2">
        <w:rPr>
          <w:rFonts w:ascii="Trebuchet MS" w:hAnsi="Trebuchet MS"/>
          <w:sz w:val="20"/>
          <w:szCs w:val="20"/>
          <w:lang w:val="fr-BE"/>
        </w:rPr>
        <w:t>review</w:t>
      </w:r>
      <w:proofErr w:type="spellEnd"/>
      <w:r w:rsidRPr="004415B2">
        <w:rPr>
          <w:rFonts w:ascii="Trebuchet MS" w:hAnsi="Trebuchet MS"/>
          <w:sz w:val="20"/>
          <w:szCs w:val="20"/>
          <w:lang w:val="fr-BE"/>
        </w:rPr>
        <w:t xml:space="preserve"> par téléconférence quand cela </w:t>
      </w:r>
      <w:r>
        <w:rPr>
          <w:rFonts w:ascii="Trebuchet MS" w:hAnsi="Trebuchet MS"/>
          <w:sz w:val="20"/>
          <w:szCs w:val="20"/>
          <w:lang w:val="fr-BE"/>
        </w:rPr>
        <w:t>s’avère</w:t>
      </w:r>
      <w:r w:rsidRPr="004415B2">
        <w:rPr>
          <w:rFonts w:ascii="Trebuchet MS" w:hAnsi="Trebuchet MS"/>
          <w:sz w:val="20"/>
          <w:szCs w:val="20"/>
          <w:lang w:val="fr-BE"/>
        </w:rPr>
        <w:t xml:space="preserve"> nécessaire. </w:t>
      </w:r>
      <w:r>
        <w:rPr>
          <w:rFonts w:ascii="Trebuchet MS" w:hAnsi="Trebuchet MS"/>
          <w:sz w:val="20"/>
          <w:szCs w:val="20"/>
          <w:lang w:val="fr-BE"/>
        </w:rPr>
        <w:t xml:space="preserve">Ceci concerne également les réunions du Collège des médecins-directeurs et les dossiers individuels qui doivent y être traités. Les délais pour prendre des décisions ne sont donc </w:t>
      </w:r>
      <w:r w:rsidRPr="004415B2">
        <w:rPr>
          <w:rFonts w:ascii="Trebuchet MS" w:hAnsi="Trebuchet MS"/>
          <w:b/>
          <w:sz w:val="20"/>
          <w:szCs w:val="20"/>
          <w:lang w:val="fr-BE"/>
        </w:rPr>
        <w:t>pas</w:t>
      </w:r>
      <w:r>
        <w:rPr>
          <w:rFonts w:ascii="Trebuchet MS" w:hAnsi="Trebuchet MS"/>
          <w:sz w:val="20"/>
          <w:szCs w:val="20"/>
          <w:lang w:val="fr-BE"/>
        </w:rPr>
        <w:t xml:space="preserve"> prolongés. Il n’y a pas d’adaptation prévue dans ces cas afin de ne pas porter atteinte aux droits des bénéficiaires. </w:t>
      </w:r>
    </w:p>
    <w:p w14:paraId="2116A030" w14:textId="77777777" w:rsidR="00E96C77" w:rsidRPr="004415B2" w:rsidRDefault="00E96C77" w:rsidP="00442282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32A2FF14" w14:textId="77777777" w:rsidR="00442282" w:rsidRPr="004415B2" w:rsidRDefault="00442282" w:rsidP="00442282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32206986" w14:textId="0745F23A" w:rsidR="00442282" w:rsidRDefault="00442282" w:rsidP="00442282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B933F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Les copies de documents du dossier 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individuel </w:t>
      </w:r>
      <w:r w:rsidRPr="00B933F7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sont-elles autorisées? </w:t>
      </w:r>
    </w:p>
    <w:p w14:paraId="216A445C" w14:textId="77777777" w:rsidR="00834635" w:rsidRPr="00B933F7" w:rsidRDefault="00834635" w:rsidP="00442282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207D098E" w14:textId="7C0C09DB" w:rsidR="00442282" w:rsidRDefault="00442282" w:rsidP="00442282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B933F7">
        <w:rPr>
          <w:rFonts w:ascii="Trebuchet MS" w:hAnsi="Trebuchet MS"/>
          <w:sz w:val="20"/>
          <w:szCs w:val="20"/>
          <w:lang w:val="fr-BE"/>
        </w:rPr>
        <w:t xml:space="preserve">Durant la période de crise du Covid-19, les médecins-conseils, le Collège des médecins-directeurs ou le secrétariat de la CRIDMI (Commission de remboursement des implants et des dispositifs médicaux invasifs) peuvent prendre des décisions sur base de copies des documents médico-administratifs. </w:t>
      </w:r>
    </w:p>
    <w:p w14:paraId="74E30E24" w14:textId="77777777" w:rsidR="00E96C77" w:rsidRPr="006D15CD" w:rsidRDefault="00E96C77" w:rsidP="00442282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77E4582F" w14:textId="77777777" w:rsidR="00442282" w:rsidRPr="006D15CD" w:rsidRDefault="00442282" w:rsidP="00442282">
      <w:pPr>
        <w:jc w:val="both"/>
        <w:rPr>
          <w:lang w:val="fr-BE"/>
        </w:rPr>
      </w:pPr>
    </w:p>
    <w:p w14:paraId="0E180DD8" w14:textId="77777777" w:rsidR="00442282" w:rsidRPr="00802F31" w:rsidRDefault="00442282" w:rsidP="00442282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802F3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Le médecin-conseil bénéficie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-t-il </w:t>
      </w:r>
      <w:r w:rsidRPr="00802F3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de temps</w:t>
      </w: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 supplémentaire </w:t>
      </w:r>
      <w:r w:rsidRPr="00802F31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pour donner son accord? </w:t>
      </w:r>
    </w:p>
    <w:p w14:paraId="4BD7DA3B" w14:textId="77777777" w:rsidR="00442282" w:rsidRPr="00802F31" w:rsidRDefault="00442282" w:rsidP="00442282">
      <w:pPr>
        <w:jc w:val="both"/>
        <w:rPr>
          <w:rFonts w:ascii="Trebuchet MS" w:hAnsi="Trebuchet MS"/>
          <w:sz w:val="20"/>
          <w:szCs w:val="20"/>
          <w:lang w:val="fr-BE"/>
        </w:rPr>
      </w:pPr>
    </w:p>
    <w:p w14:paraId="32DBDD34" w14:textId="241879B9" w:rsidR="00442282" w:rsidRPr="00F32E90" w:rsidRDefault="00442282" w:rsidP="00442282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F32E90">
        <w:rPr>
          <w:rFonts w:ascii="Trebuchet MS" w:hAnsi="Trebuchet MS"/>
          <w:sz w:val="20"/>
          <w:szCs w:val="20"/>
          <w:lang w:val="fr-BE"/>
        </w:rPr>
        <w:t>Les médecins-conseils peuvent se position</w:t>
      </w:r>
      <w:r>
        <w:rPr>
          <w:rFonts w:ascii="Trebuchet MS" w:hAnsi="Trebuchet MS"/>
          <w:sz w:val="20"/>
          <w:szCs w:val="20"/>
          <w:lang w:val="fr-BE"/>
        </w:rPr>
        <w:t>n</w:t>
      </w:r>
      <w:r w:rsidRPr="00F32E90">
        <w:rPr>
          <w:rFonts w:ascii="Trebuchet MS" w:hAnsi="Trebuchet MS"/>
          <w:sz w:val="20"/>
          <w:szCs w:val="20"/>
          <w:lang w:val="fr-BE"/>
        </w:rPr>
        <w:t>er sur base des dossiers</w:t>
      </w:r>
      <w:r>
        <w:rPr>
          <w:rFonts w:ascii="Trebuchet MS" w:hAnsi="Trebuchet MS"/>
          <w:sz w:val="20"/>
          <w:szCs w:val="20"/>
          <w:lang w:val="fr-BE"/>
        </w:rPr>
        <w:t xml:space="preserve"> </w:t>
      </w:r>
      <w:r w:rsidR="00834635">
        <w:rPr>
          <w:rFonts w:ascii="Trebuchet MS" w:hAnsi="Trebuchet MS"/>
          <w:sz w:val="20"/>
          <w:szCs w:val="20"/>
          <w:lang w:val="fr-BE"/>
        </w:rPr>
        <w:t>individuels</w:t>
      </w:r>
      <w:r w:rsidRPr="00F32E90">
        <w:rPr>
          <w:rFonts w:ascii="Trebuchet MS" w:hAnsi="Trebuchet MS"/>
          <w:sz w:val="20"/>
          <w:szCs w:val="20"/>
          <w:lang w:val="fr-BE"/>
        </w:rPr>
        <w:t xml:space="preserve">. </w:t>
      </w:r>
    </w:p>
    <w:p w14:paraId="37C1F094" w14:textId="1B27ED3F" w:rsidR="00442282" w:rsidRPr="00B933F7" w:rsidRDefault="00442282" w:rsidP="00442282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F32E90">
        <w:rPr>
          <w:rFonts w:ascii="Trebuchet MS" w:hAnsi="Trebuchet MS"/>
          <w:sz w:val="20"/>
          <w:szCs w:val="20"/>
          <w:lang w:val="fr-BE"/>
        </w:rPr>
        <w:t xml:space="preserve">Les délais de décision </w:t>
      </w:r>
      <w:r w:rsidR="00834635">
        <w:rPr>
          <w:rFonts w:ascii="Trebuchet MS" w:hAnsi="Trebuchet MS"/>
          <w:sz w:val="20"/>
          <w:szCs w:val="20"/>
          <w:lang w:val="fr-BE"/>
        </w:rPr>
        <w:t>du</w:t>
      </w:r>
      <w:r w:rsidR="00834635" w:rsidRPr="00F32E90">
        <w:rPr>
          <w:rFonts w:ascii="Trebuchet MS" w:hAnsi="Trebuchet MS"/>
          <w:sz w:val="20"/>
          <w:szCs w:val="20"/>
          <w:lang w:val="fr-BE"/>
        </w:rPr>
        <w:t xml:space="preserve"> </w:t>
      </w:r>
      <w:r w:rsidR="00834635">
        <w:rPr>
          <w:rFonts w:ascii="Trebuchet MS" w:hAnsi="Trebuchet MS"/>
          <w:sz w:val="20"/>
          <w:szCs w:val="20"/>
          <w:lang w:val="fr-BE"/>
        </w:rPr>
        <w:t>médecin-conseil</w:t>
      </w:r>
      <w:r w:rsidR="00834635" w:rsidRPr="00F32E90">
        <w:rPr>
          <w:rFonts w:ascii="Trebuchet MS" w:hAnsi="Trebuchet MS"/>
          <w:sz w:val="20"/>
          <w:szCs w:val="20"/>
          <w:lang w:val="fr-BE"/>
        </w:rPr>
        <w:t xml:space="preserve"> </w:t>
      </w:r>
      <w:r w:rsidRPr="00F32E90">
        <w:rPr>
          <w:rFonts w:ascii="Trebuchet MS" w:hAnsi="Trebuchet MS"/>
          <w:sz w:val="20"/>
          <w:szCs w:val="20"/>
          <w:lang w:val="fr-BE"/>
        </w:rPr>
        <w:t xml:space="preserve">ne sont </w:t>
      </w:r>
      <w:r w:rsidRPr="00F32E90">
        <w:rPr>
          <w:rFonts w:ascii="Trebuchet MS" w:hAnsi="Trebuchet MS"/>
          <w:b/>
          <w:sz w:val="20"/>
          <w:szCs w:val="20"/>
          <w:lang w:val="fr-BE"/>
        </w:rPr>
        <w:t>pas</w:t>
      </w:r>
      <w:r w:rsidRPr="00F32E90">
        <w:rPr>
          <w:rFonts w:ascii="Trebuchet MS" w:hAnsi="Trebuchet MS"/>
          <w:sz w:val="20"/>
          <w:szCs w:val="20"/>
          <w:lang w:val="fr-BE"/>
        </w:rPr>
        <w:t xml:space="preserve"> prolongés</w:t>
      </w:r>
      <w:r>
        <w:rPr>
          <w:rFonts w:ascii="Trebuchet MS" w:hAnsi="Trebuchet MS"/>
          <w:sz w:val="20"/>
          <w:szCs w:val="20"/>
          <w:lang w:val="fr-BE"/>
        </w:rPr>
        <w:t xml:space="preserve">. </w:t>
      </w:r>
    </w:p>
    <w:p w14:paraId="26372BB1" w14:textId="77777777" w:rsidR="00442282" w:rsidRPr="003814A8" w:rsidRDefault="00442282" w:rsidP="00442282">
      <w:pPr>
        <w:jc w:val="both"/>
        <w:rPr>
          <w:rFonts w:ascii="Trebuchet MS" w:hAnsi="Trebuchet MS"/>
          <w:sz w:val="20"/>
          <w:szCs w:val="20"/>
          <w:lang w:val="fr-BE"/>
        </w:rPr>
      </w:pPr>
      <w:r w:rsidRPr="003814A8">
        <w:rPr>
          <w:rFonts w:ascii="Trebuchet MS" w:hAnsi="Trebuchet MS"/>
          <w:sz w:val="20"/>
          <w:szCs w:val="20"/>
          <w:lang w:val="fr-BE"/>
        </w:rPr>
        <w:t>Si un accord tacite est prévu en cas d’absence de décision dans le délai im</w:t>
      </w:r>
      <w:r>
        <w:rPr>
          <w:rFonts w:ascii="Trebuchet MS" w:hAnsi="Trebuchet MS"/>
          <w:sz w:val="20"/>
          <w:szCs w:val="20"/>
          <w:lang w:val="fr-BE"/>
        </w:rPr>
        <w:t>parti, la règle reste inchangée ;</w:t>
      </w:r>
      <w:r w:rsidRPr="003814A8">
        <w:rPr>
          <w:rFonts w:ascii="Trebuchet MS" w:hAnsi="Trebuchet MS"/>
          <w:sz w:val="20"/>
          <w:szCs w:val="20"/>
          <w:lang w:val="fr-BE"/>
        </w:rPr>
        <w:t xml:space="preserve"> c’est-à-dire que l’accord est considéré comme donné lorsque le délai est échu. </w:t>
      </w:r>
    </w:p>
    <w:p w14:paraId="2D93FB8B" w14:textId="77777777" w:rsidR="00442282" w:rsidRPr="004415B2" w:rsidRDefault="00442282" w:rsidP="00442282">
      <w:pP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 xml:space="preserve">Il n’y a pas d’adaptation prévue dans ces cas afin de ne pas porter atteinte aux droits des bénéficiaires. </w:t>
      </w:r>
    </w:p>
    <w:p w14:paraId="62D674F4" w14:textId="77777777" w:rsidR="008E4227" w:rsidRDefault="008E4227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</w:p>
    <w:p w14:paraId="2D3DEDBE" w14:textId="77777777" w:rsidR="008E4227" w:rsidRPr="00D761C7" w:rsidRDefault="008E4227" w:rsidP="008E4227">
      <w:pPr>
        <w:spacing w:after="200" w:line="276" w:lineRule="auto"/>
        <w:jc w:val="both"/>
        <w:rPr>
          <w:rFonts w:ascii="Calibri" w:hAnsi="Calibri"/>
          <w:sz w:val="22"/>
          <w:szCs w:val="22"/>
          <w:lang w:val="fr-BE"/>
        </w:rPr>
      </w:pPr>
      <w:r w:rsidRPr="00D761C7">
        <w:rPr>
          <w:rFonts w:ascii="Trebuchet MS" w:hAnsi="Trebuchet MS"/>
          <w:color w:val="02819B"/>
          <w:sz w:val="25"/>
          <w:szCs w:val="25"/>
          <w:lang w:val="fr-BE"/>
        </w:rPr>
        <w:t>Quelles sont les dispositions spécifiques concernant les défibrillateurs cardiaques implantables?</w:t>
      </w:r>
    </w:p>
    <w:p w14:paraId="39C0E5DE" w14:textId="64645FB4" w:rsidR="00C25C46" w:rsidRPr="00447E57" w:rsidRDefault="00447E57" w:rsidP="00C25C4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Pour les numéros de pseudo-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nomenclature de </w:t>
      </w:r>
      <w:r w:rsidR="008946DF" w:rsidRPr="00447E57">
        <w:rPr>
          <w:rFonts w:ascii="Trebuchet MS" w:hAnsi="Trebuchet MS"/>
          <w:sz w:val="20"/>
          <w:szCs w:val="20"/>
          <w:lang w:val="fr-BE"/>
        </w:rPr>
        <w:t xml:space="preserve">la convention de rééducation 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Défibrillateurs cardiaques implantables dont le remboursement est </w:t>
      </w:r>
      <w:r>
        <w:rPr>
          <w:rFonts w:ascii="Trebuchet MS" w:hAnsi="Trebuchet MS"/>
          <w:sz w:val="20"/>
          <w:szCs w:val="20"/>
          <w:lang w:val="fr-BE"/>
        </w:rPr>
        <w:t>lié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 à l'enregistrement de données et dont au moins un jour </w:t>
      </w:r>
      <w:r>
        <w:rPr>
          <w:rFonts w:ascii="Trebuchet MS" w:hAnsi="Trebuchet MS"/>
          <w:sz w:val="20"/>
          <w:szCs w:val="20"/>
          <w:lang w:val="fr-BE"/>
        </w:rPr>
        <w:t>du délai pour cet enregistrement se situe durant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 la période de crise </w:t>
      </w:r>
      <w:r>
        <w:rPr>
          <w:rFonts w:ascii="Trebuchet MS" w:hAnsi="Trebuchet MS"/>
          <w:sz w:val="20"/>
          <w:szCs w:val="20"/>
          <w:lang w:val="fr-BE"/>
        </w:rPr>
        <w:t>COVID-19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, l'enregistrement peut encore être effectué dans les 6 mois suivant la date d'échéance. </w:t>
      </w:r>
    </w:p>
    <w:p w14:paraId="74835770" w14:textId="6EA346DE" w:rsidR="00C25C46" w:rsidRPr="00447E57" w:rsidRDefault="00C25C46" w:rsidP="00C25C46">
      <w:pPr>
        <w:pStyle w:val="ListParagraph"/>
        <w:spacing w:after="200" w:line="276" w:lineRule="auto"/>
        <w:contextualSpacing w:val="0"/>
        <w:jc w:val="both"/>
        <w:rPr>
          <w:lang w:val="fr-BE"/>
        </w:rPr>
      </w:pPr>
      <w:r w:rsidRPr="00447E57">
        <w:rPr>
          <w:rFonts w:ascii="Trebuchet MS" w:hAnsi="Trebuchet MS"/>
          <w:sz w:val="20"/>
          <w:szCs w:val="20"/>
          <w:lang w:val="fr-BE"/>
        </w:rPr>
        <w:t xml:space="preserve">La facturation n'est possible qu'après l'enregistrement ; elle doit </w:t>
      </w:r>
      <w:r w:rsidR="00447E57">
        <w:rPr>
          <w:rFonts w:ascii="Trebuchet MS" w:hAnsi="Trebuchet MS"/>
          <w:sz w:val="20"/>
          <w:szCs w:val="20"/>
          <w:lang w:val="fr-BE"/>
        </w:rPr>
        <w:t>mentionner</w:t>
      </w:r>
      <w:r w:rsidRPr="00447E57">
        <w:rPr>
          <w:rFonts w:ascii="Trebuchet MS" w:hAnsi="Trebuchet MS"/>
          <w:sz w:val="20"/>
          <w:szCs w:val="20"/>
          <w:lang w:val="fr-BE"/>
        </w:rPr>
        <w:t xml:space="preserve"> le code d'enregistrement.</w:t>
      </w:r>
    </w:p>
    <w:p w14:paraId="3D2A66A5" w14:textId="33601E1C" w:rsidR="00C25C46" w:rsidRPr="00447E57" w:rsidRDefault="00447E57" w:rsidP="00447E5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447E57">
        <w:rPr>
          <w:rFonts w:ascii="Trebuchet MS" w:hAnsi="Trebuchet MS"/>
          <w:sz w:val="20"/>
          <w:szCs w:val="20"/>
          <w:lang w:val="fr-BE"/>
        </w:rPr>
        <w:t xml:space="preserve">Une électrode de resynchronisation qui a été implantée avant l’implantation d’un défibrillateur dans un centre ayant adhéré à la convention est uniquement remboursée après l’implantation de l’appareil et à la condition que celle-ci se fasse dans les 6 mois après l’implantation de l’électrode. 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Si </w:t>
      </w:r>
      <w:r>
        <w:rPr>
          <w:rFonts w:ascii="Trebuchet MS" w:hAnsi="Trebuchet MS"/>
          <w:sz w:val="20"/>
          <w:szCs w:val="20"/>
          <w:lang w:val="fr-BE"/>
        </w:rPr>
        <w:t xml:space="preserve">au moins </w:t>
      </w:r>
      <w:r w:rsidRPr="00447E57">
        <w:rPr>
          <w:rFonts w:ascii="Trebuchet MS" w:hAnsi="Trebuchet MS"/>
          <w:sz w:val="20"/>
          <w:szCs w:val="20"/>
          <w:lang w:val="fr-BE"/>
        </w:rPr>
        <w:t xml:space="preserve">un jour 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de cette période de 6 mois tombe dans la période de crise </w:t>
      </w:r>
      <w:r>
        <w:rPr>
          <w:rFonts w:ascii="Trebuchet MS" w:hAnsi="Trebuchet MS"/>
          <w:sz w:val="20"/>
          <w:szCs w:val="20"/>
          <w:lang w:val="fr-BE"/>
        </w:rPr>
        <w:t>COVID-19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, la période entre l'implantation </w:t>
      </w:r>
      <w:r w:rsidRPr="00447E57">
        <w:rPr>
          <w:rFonts w:ascii="Trebuchet MS" w:hAnsi="Trebuchet MS"/>
          <w:sz w:val="20"/>
          <w:szCs w:val="20"/>
          <w:lang w:val="fr-BE"/>
        </w:rPr>
        <w:t xml:space="preserve">préalable </w:t>
      </w:r>
      <w:r w:rsidR="00C25C46" w:rsidRPr="00447E57">
        <w:rPr>
          <w:rFonts w:ascii="Trebuchet MS" w:hAnsi="Trebuchet MS"/>
          <w:sz w:val="20"/>
          <w:szCs w:val="20"/>
          <w:lang w:val="fr-BE"/>
        </w:rPr>
        <w:t xml:space="preserve">d'une électrode de resynchronisation et </w:t>
      </w:r>
      <w:r w:rsidR="00C25C46" w:rsidRPr="00447E57">
        <w:rPr>
          <w:rFonts w:ascii="Trebuchet MS" w:hAnsi="Trebuchet MS"/>
          <w:sz w:val="20"/>
          <w:szCs w:val="20"/>
          <w:lang w:val="fr-BE"/>
        </w:rPr>
        <w:lastRenderedPageBreak/>
        <w:t>l'implantation du défibrillateur est prolongée de 6 mois ; une période maximale de 12 mois entre ces 2 implantations est donc acceptée.</w:t>
      </w:r>
    </w:p>
    <w:p w14:paraId="486A48C4" w14:textId="77777777" w:rsidR="00C25C46" w:rsidRPr="00C25C46" w:rsidRDefault="00C25C46" w:rsidP="00C25C46">
      <w:pPr>
        <w:pStyle w:val="ListParagraph"/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</w:p>
    <w:p w14:paraId="3C469906" w14:textId="3FE3837C" w:rsidR="000E3F17" w:rsidRPr="00D93CB0" w:rsidRDefault="00A8238A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P</w:t>
      </w:r>
      <w:r w:rsidR="000E3F17" w:rsidRPr="00D93CB0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endant quelle période ces mesures sont-elles d’application ?</w:t>
      </w:r>
    </w:p>
    <w:p w14:paraId="7B694BF3" w14:textId="09FD3433" w:rsidR="000E3F17" w:rsidRPr="00D93CB0" w:rsidRDefault="000E3F17" w:rsidP="00F73806">
      <w:pPr>
        <w:spacing w:after="200" w:line="276" w:lineRule="auto"/>
        <w:jc w:val="both"/>
        <w:rPr>
          <w:rFonts w:ascii="Trebuchet MS" w:hAnsi="Trebuchet MS"/>
          <w:sz w:val="20"/>
          <w:szCs w:val="20"/>
          <w:lang w:val="fr-BE"/>
        </w:rPr>
      </w:pPr>
      <w:r w:rsidRPr="00D93CB0">
        <w:rPr>
          <w:rFonts w:ascii="Trebuchet MS" w:hAnsi="Trebuchet MS"/>
          <w:sz w:val="20"/>
          <w:szCs w:val="20"/>
          <w:lang w:val="fr-BE"/>
        </w:rPr>
        <w:t xml:space="preserve">Ces mesures exceptionnelles sont d’application à partir du </w:t>
      </w:r>
      <w:r w:rsidR="00AF2E44">
        <w:rPr>
          <w:rFonts w:ascii="Trebuchet MS" w:hAnsi="Trebuchet MS"/>
          <w:sz w:val="20"/>
          <w:szCs w:val="20"/>
          <w:lang w:val="fr-BE"/>
        </w:rPr>
        <w:t>1</w:t>
      </w:r>
      <w:r w:rsidR="00AF2E44" w:rsidRPr="00AF2E44">
        <w:rPr>
          <w:rFonts w:ascii="Trebuchet MS" w:hAnsi="Trebuchet MS"/>
          <w:sz w:val="20"/>
          <w:szCs w:val="20"/>
          <w:vertAlign w:val="superscript"/>
          <w:lang w:val="fr-BE"/>
        </w:rPr>
        <w:t>er</w:t>
      </w:r>
      <w:r w:rsidR="00AF2E44">
        <w:rPr>
          <w:rFonts w:ascii="Trebuchet MS" w:hAnsi="Trebuchet MS"/>
          <w:sz w:val="20"/>
          <w:szCs w:val="20"/>
          <w:lang w:val="fr-BE"/>
        </w:rPr>
        <w:t xml:space="preserve"> </w:t>
      </w:r>
      <w:r w:rsidRPr="00D93CB0">
        <w:rPr>
          <w:rFonts w:ascii="Trebuchet MS" w:hAnsi="Trebuchet MS"/>
          <w:sz w:val="20"/>
          <w:szCs w:val="20"/>
          <w:lang w:val="fr-BE"/>
        </w:rPr>
        <w:t>mars 2020 et le resteront pendant la période liée à la pandémie du COVID-19.</w:t>
      </w:r>
    </w:p>
    <w:p w14:paraId="1193A224" w14:textId="77777777" w:rsidR="000E3F17" w:rsidRPr="00D93CB0" w:rsidRDefault="000E3F17" w:rsidP="00F73806">
      <w:pPr>
        <w:spacing w:after="200" w:line="276" w:lineRule="auto"/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D93CB0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Des questions ?</w:t>
      </w:r>
    </w:p>
    <w:p w14:paraId="67BFF21A" w14:textId="77777777" w:rsidR="000E3F17" w:rsidRPr="006F6332" w:rsidRDefault="000E3F17" w:rsidP="00F73806">
      <w:pPr>
        <w:numPr>
          <w:ilvl w:val="0"/>
          <w:numId w:val="2"/>
        </w:numPr>
        <w:shd w:val="clear" w:color="auto" w:fill="FFFFFF"/>
        <w:spacing w:afterAutospacing="1" w:line="360" w:lineRule="atLeast"/>
        <w:ind w:left="426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Les dispensateurs de soins de santé peuvent poser leurs questions sur les mesures prises pendant cette crise COVID-19 à </w:t>
      </w:r>
      <w:hyperlink r:id="rId6" w:history="1">
        <w:r w:rsidRPr="006F6332">
          <w:rPr>
            <w:rStyle w:val="Hyperlink"/>
            <w:rFonts w:ascii="Trebuchet MS" w:hAnsi="Trebuchet MS"/>
            <w:color w:val="02819B"/>
            <w:lang w:val="fr-BE"/>
          </w:rPr>
          <w:t>covid19@riziv-inami.fgov.be</w:t>
        </w:r>
      </w:hyperlink>
      <w:r w:rsidRPr="006F6332">
        <w:rPr>
          <w:rFonts w:ascii="Trebuchet MS" w:hAnsi="Trebuchet MS"/>
          <w:color w:val="2D3235"/>
          <w:sz w:val="20"/>
          <w:szCs w:val="20"/>
          <w:lang w:val="fr-BE"/>
        </w:rPr>
        <w:t>.</w:t>
      </w:r>
    </w:p>
    <w:p w14:paraId="49B7C409" w14:textId="77777777" w:rsidR="000E3F17" w:rsidRPr="00BC3BC5" w:rsidRDefault="000E3F17" w:rsidP="00F73806">
      <w:pPr>
        <w:numPr>
          <w:ilvl w:val="0"/>
          <w:numId w:val="2"/>
        </w:numPr>
        <w:shd w:val="clear" w:color="auto" w:fill="FFFFFF"/>
        <w:spacing w:afterAutospacing="1" w:line="360" w:lineRule="atLeast"/>
        <w:ind w:left="426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Pour toute autre question liée à la crise du Covid-19 : </w:t>
      </w:r>
      <w:hyperlink r:id="rId7" w:history="1">
        <w:r w:rsidR="00D93CB0">
          <w:rPr>
            <w:rStyle w:val="Hyperlink"/>
            <w:rFonts w:ascii="Trebuchet MS" w:hAnsi="Trebuchet MS"/>
            <w:color w:val="02819B"/>
            <w:lang w:val="fr-BE"/>
          </w:rPr>
          <w:t>www.info-coronavirus.be/</w:t>
        </w:r>
      </w:hyperlink>
      <w:r w:rsidRPr="00BC3BC5">
        <w:rPr>
          <w:rFonts w:ascii="Trebuchet MS" w:hAnsi="Trebuchet MS"/>
          <w:color w:val="2D3235"/>
          <w:sz w:val="20"/>
          <w:szCs w:val="20"/>
          <w:lang w:val="fr-BE"/>
        </w:rPr>
        <w:t> ou 0800 14 689 de 8h à 20h.</w:t>
      </w:r>
    </w:p>
    <w:p w14:paraId="29E85906" w14:textId="77777777" w:rsidR="00963558" w:rsidRPr="006F37F0" w:rsidRDefault="00963558" w:rsidP="00F73806">
      <w:pPr>
        <w:jc w:val="both"/>
        <w:rPr>
          <w:lang w:val="fr-BE"/>
        </w:rPr>
      </w:pPr>
    </w:p>
    <w:sectPr w:rsidR="00963558" w:rsidRPr="006F37F0" w:rsidSect="00D7228B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6DDA"/>
    <w:multiLevelType w:val="hybridMultilevel"/>
    <w:tmpl w:val="1902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3A30"/>
    <w:multiLevelType w:val="hybridMultilevel"/>
    <w:tmpl w:val="02886D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132BD"/>
    <w:multiLevelType w:val="hybridMultilevel"/>
    <w:tmpl w:val="826A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763E1"/>
    <w:multiLevelType w:val="multilevel"/>
    <w:tmpl w:val="E01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D"/>
    <w:rsid w:val="000858C4"/>
    <w:rsid w:val="000E3F17"/>
    <w:rsid w:val="0012192A"/>
    <w:rsid w:val="00126D5E"/>
    <w:rsid w:val="001D3457"/>
    <w:rsid w:val="00243792"/>
    <w:rsid w:val="002452F1"/>
    <w:rsid w:val="0025380B"/>
    <w:rsid w:val="00271CF7"/>
    <w:rsid w:val="002B58A5"/>
    <w:rsid w:val="002E1C89"/>
    <w:rsid w:val="003650EB"/>
    <w:rsid w:val="00392B2E"/>
    <w:rsid w:val="003C4D9F"/>
    <w:rsid w:val="0040322A"/>
    <w:rsid w:val="00424237"/>
    <w:rsid w:val="00442282"/>
    <w:rsid w:val="00447E57"/>
    <w:rsid w:val="00466CD6"/>
    <w:rsid w:val="00473BB5"/>
    <w:rsid w:val="004B6381"/>
    <w:rsid w:val="00577A68"/>
    <w:rsid w:val="005E7AE9"/>
    <w:rsid w:val="005F3646"/>
    <w:rsid w:val="00637FD4"/>
    <w:rsid w:val="0069198A"/>
    <w:rsid w:val="006F37F0"/>
    <w:rsid w:val="00702B50"/>
    <w:rsid w:val="00723EE3"/>
    <w:rsid w:val="0074329C"/>
    <w:rsid w:val="00770698"/>
    <w:rsid w:val="007C78E9"/>
    <w:rsid w:val="007F0E0C"/>
    <w:rsid w:val="007F101B"/>
    <w:rsid w:val="00834635"/>
    <w:rsid w:val="0085765D"/>
    <w:rsid w:val="008946DF"/>
    <w:rsid w:val="00894C8D"/>
    <w:rsid w:val="008C7318"/>
    <w:rsid w:val="008E274A"/>
    <w:rsid w:val="008E4227"/>
    <w:rsid w:val="009371A0"/>
    <w:rsid w:val="00954F7F"/>
    <w:rsid w:val="00963558"/>
    <w:rsid w:val="00987DE5"/>
    <w:rsid w:val="009B379A"/>
    <w:rsid w:val="009D7A6F"/>
    <w:rsid w:val="00A3437B"/>
    <w:rsid w:val="00A67A5C"/>
    <w:rsid w:val="00A8238A"/>
    <w:rsid w:val="00AE5377"/>
    <w:rsid w:val="00AF2E44"/>
    <w:rsid w:val="00B10B5E"/>
    <w:rsid w:val="00B66E2F"/>
    <w:rsid w:val="00B70127"/>
    <w:rsid w:val="00BE2653"/>
    <w:rsid w:val="00BF302A"/>
    <w:rsid w:val="00C160B6"/>
    <w:rsid w:val="00C25C46"/>
    <w:rsid w:val="00C56EFB"/>
    <w:rsid w:val="00CF7665"/>
    <w:rsid w:val="00D328B3"/>
    <w:rsid w:val="00D7228B"/>
    <w:rsid w:val="00D761C7"/>
    <w:rsid w:val="00D93CB0"/>
    <w:rsid w:val="00DC107C"/>
    <w:rsid w:val="00DC5513"/>
    <w:rsid w:val="00DE5C12"/>
    <w:rsid w:val="00E81825"/>
    <w:rsid w:val="00E86BCB"/>
    <w:rsid w:val="00E96C77"/>
    <w:rsid w:val="00F15E0A"/>
    <w:rsid w:val="00F27F8E"/>
    <w:rsid w:val="00F66624"/>
    <w:rsid w:val="00F73806"/>
    <w:rsid w:val="00F87652"/>
    <w:rsid w:val="00FB562B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B240C"/>
  <w15:chartTrackingRefBased/>
  <w15:docId w15:val="{CD9211A3-5B9F-4DFC-9DD7-AE54170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35"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C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245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5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2F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5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2F1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45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2F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635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0E3F1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E3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-coronavirus.be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19@riziv-inami.fgov.be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2020-04-24T14:37:50+00:00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1EB1071-5162-4D87-A7B5-C332C95AABC0}"/>
</file>

<file path=customXml/itemProps2.xml><?xml version="1.0" encoding="utf-8"?>
<ds:datastoreItem xmlns:ds="http://schemas.openxmlformats.org/officeDocument/2006/customXml" ds:itemID="{5C66F71B-06F4-40E7-93C1-39C1D57FE74E}"/>
</file>

<file path=customXml/itemProps3.xml><?xml version="1.0" encoding="utf-8"?>
<ds:datastoreItem xmlns:ds="http://schemas.openxmlformats.org/officeDocument/2006/customXml" ds:itemID="{9705B58A-EAD7-438D-AD02-860BB9BF49AA}"/>
</file>

<file path=customXml/itemProps4.xml><?xml version="1.0" encoding="utf-8"?>
<ds:datastoreItem xmlns:ds="http://schemas.openxmlformats.org/officeDocument/2006/customXml" ds:itemID="{D49210AF-5F59-409B-B18B-5117FD18824C}"/>
</file>

<file path=docProps/app.xml><?xml version="1.0" encoding="utf-8"?>
<Properties xmlns="http://schemas.openxmlformats.org/officeDocument/2006/extended-properties" xmlns:vt="http://schemas.openxmlformats.org/officeDocument/2006/docPropsVTypes">
  <Template>1700BA13.dotm</Template>
  <TotalTime>0</TotalTime>
  <Pages>4</Pages>
  <Words>1147</Words>
  <Characters>6468</Characters>
  <Application>Microsoft Office Word</Application>
  <DocSecurity>4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Thienpondt (RIZIV-INAMI)</dc:creator>
  <cp:keywords/>
  <dc:description/>
  <cp:lastModifiedBy>Sandrine Bingen (RIZIV-INAMI)</cp:lastModifiedBy>
  <cp:revision>2</cp:revision>
  <dcterms:created xsi:type="dcterms:W3CDTF">2020-04-24T13:09:00Z</dcterms:created>
  <dcterms:modified xsi:type="dcterms:W3CDTF">2020-04-24T13:09:00Z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