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BB49" w14:textId="439C2F0D" w:rsidR="00F64F6A" w:rsidRPr="00B328AD" w:rsidRDefault="00F64F6A" w:rsidP="00D34AED">
      <w:pPr>
        <w:rPr>
          <w:b/>
          <w:bCs/>
          <w:lang w:val="fr-BE"/>
        </w:rPr>
      </w:pPr>
      <w:r w:rsidRPr="00B328AD">
        <w:rPr>
          <w:b/>
          <w:bCs/>
          <w:lang w:val="fr-BE"/>
        </w:rPr>
        <w:t xml:space="preserve">CONVENTION ENTRE LE COMITÉ DE L'ASSURANCE SOINS DE SANTÉ DE L'INAMI ET L'HÔPITAL </w:t>
      </w:r>
      <w:r w:rsidR="000D5EF9" w:rsidRPr="000D5EF9">
        <w:rPr>
          <w:b/>
          <w:bCs/>
          <w:highlight w:val="yellow"/>
          <w:lang w:val="fr-BE"/>
        </w:rPr>
        <w:t>XXXX</w:t>
      </w:r>
      <w:r w:rsidR="000D5EF9">
        <w:rPr>
          <w:b/>
          <w:bCs/>
          <w:lang w:val="fr-BE"/>
        </w:rPr>
        <w:t xml:space="preserve"> </w:t>
      </w:r>
      <w:r w:rsidRPr="00B328AD">
        <w:rPr>
          <w:b/>
          <w:bCs/>
          <w:lang w:val="fr-BE"/>
        </w:rPr>
        <w:t>CONCERNANT LE FINANCEMENT DE LA STRUCTURE CPVS</w:t>
      </w:r>
    </w:p>
    <w:p w14:paraId="771D853C" w14:textId="77777777" w:rsidR="00E4492B" w:rsidRDefault="00E4492B" w:rsidP="00D34AED">
      <w:pPr>
        <w:rPr>
          <w:lang w:val="fr-BE"/>
        </w:rPr>
      </w:pPr>
    </w:p>
    <w:p w14:paraId="7D2D31CA" w14:textId="2F6CAC5F" w:rsidR="00F64F6A" w:rsidRPr="00B328AD" w:rsidRDefault="00F64F6A" w:rsidP="00D34AED">
      <w:pPr>
        <w:rPr>
          <w:lang w:val="fr-BE"/>
        </w:rPr>
      </w:pPr>
      <w:r w:rsidRPr="00B328AD">
        <w:rPr>
          <w:lang w:val="fr-BE"/>
        </w:rPr>
        <w:t>Vu la loi relative à l'assurance obligatoire soins de santé et indemnités coordonnée le 14 juillet 1994, article 56, § 2, alinéa</w:t>
      </w:r>
      <w:r w:rsidR="001C79F1" w:rsidRPr="001C79F1">
        <w:rPr>
          <w:lang w:val="fr-BE"/>
        </w:rPr>
        <w:t xml:space="preserve"> </w:t>
      </w:r>
      <w:r w:rsidR="001C79F1" w:rsidRPr="00B328AD">
        <w:rPr>
          <w:lang w:val="fr-BE"/>
        </w:rPr>
        <w:t>premier</w:t>
      </w:r>
      <w:r w:rsidRPr="00B328AD">
        <w:rPr>
          <w:lang w:val="fr-BE"/>
        </w:rPr>
        <w:t>, 6</w:t>
      </w:r>
      <w:r w:rsidR="000D5EF9" w:rsidRPr="00B328AD">
        <w:rPr>
          <w:lang w:val="fr-BE"/>
        </w:rPr>
        <w:t>° ;</w:t>
      </w:r>
    </w:p>
    <w:p w14:paraId="01BE259D" w14:textId="728AB419" w:rsidR="00D34AED" w:rsidRPr="00B328AD" w:rsidRDefault="00F64F6A" w:rsidP="00D34AED">
      <w:pPr>
        <w:rPr>
          <w:lang w:val="fr-BE"/>
        </w:rPr>
      </w:pPr>
      <w:r w:rsidRPr="00B328AD">
        <w:rPr>
          <w:lang w:val="fr-BE"/>
        </w:rPr>
        <w:t xml:space="preserve">Vu l’arrêté royal </w:t>
      </w:r>
      <w:r w:rsidR="000D5EF9">
        <w:rPr>
          <w:lang w:val="fr-BE"/>
        </w:rPr>
        <w:t xml:space="preserve">du </w:t>
      </w:r>
      <w:r w:rsidR="00855B72">
        <w:rPr>
          <w:lang w:val="fr-BE"/>
        </w:rPr>
        <w:t>21 septembre</w:t>
      </w:r>
      <w:r w:rsidR="000D5EF9">
        <w:rPr>
          <w:lang w:val="fr-BE"/>
        </w:rPr>
        <w:t xml:space="preserve"> 2025 </w:t>
      </w:r>
      <w:r w:rsidRPr="00B328AD">
        <w:rPr>
          <w:lang w:val="fr-BE"/>
        </w:rPr>
        <w:t>concernant la convention entre le Comité de l’assurance et l'hôpital dans le cadre des Centres de Prise en charge des Violences Sexuelles</w:t>
      </w:r>
    </w:p>
    <w:p w14:paraId="2D9BA67B" w14:textId="77777777" w:rsidR="00F64F6A" w:rsidRPr="00B328AD" w:rsidRDefault="00F64F6A" w:rsidP="00D34AED">
      <w:pPr>
        <w:rPr>
          <w:lang w:val="fr-BE"/>
        </w:rPr>
      </w:pPr>
    </w:p>
    <w:p w14:paraId="7D2F6923" w14:textId="49CDC7BD" w:rsidR="00D34AED" w:rsidRPr="00B328AD" w:rsidRDefault="000D5EF9" w:rsidP="00D34AED">
      <w:pPr>
        <w:rPr>
          <w:lang w:val="fr-BE"/>
        </w:rPr>
      </w:pPr>
      <w:r>
        <w:rPr>
          <w:lang w:val="fr-BE"/>
        </w:rPr>
        <w:t>Il</w:t>
      </w:r>
      <w:r w:rsidR="00F64F6A" w:rsidRPr="00B328AD">
        <w:rPr>
          <w:lang w:val="fr-BE"/>
        </w:rPr>
        <w:t xml:space="preserve"> est convenu ce qui suit :</w:t>
      </w:r>
    </w:p>
    <w:p w14:paraId="2DCF0390" w14:textId="49B81AF2" w:rsidR="00D34AED" w:rsidRPr="00B328AD" w:rsidRDefault="000D5EF9" w:rsidP="00D34AED">
      <w:pPr>
        <w:rPr>
          <w:lang w:val="fr-BE"/>
        </w:rPr>
      </w:pPr>
      <w:r>
        <w:rPr>
          <w:lang w:val="fr-BE"/>
        </w:rPr>
        <w:t>e</w:t>
      </w:r>
      <w:r w:rsidR="00F64F6A" w:rsidRPr="00B328AD">
        <w:rPr>
          <w:lang w:val="fr-BE"/>
        </w:rPr>
        <w:t xml:space="preserve">ntre d’une </w:t>
      </w:r>
      <w:r w:rsidRPr="00B328AD">
        <w:rPr>
          <w:lang w:val="fr-BE"/>
        </w:rPr>
        <w:t>part,</w:t>
      </w:r>
    </w:p>
    <w:p w14:paraId="7F2BEBC6" w14:textId="348BA6AF" w:rsidR="00D34AED" w:rsidRPr="00B328AD" w:rsidRDefault="00F64F6A" w:rsidP="00D34AED">
      <w:pPr>
        <w:rPr>
          <w:lang w:val="fr-BE"/>
        </w:rPr>
      </w:pPr>
      <w:r w:rsidRPr="00B328AD">
        <w:rPr>
          <w:lang w:val="fr-BE"/>
        </w:rPr>
        <w:t>le Comité de l'Assurance Soins de Santé institué auprès du Service des soins de santé de l'Institut national d'assurance maladie-invalidité, représenté par le fonctionnaire dirigeant du Service des soins de santé de l'INAMI, M. Mickael DAUBIE,</w:t>
      </w:r>
    </w:p>
    <w:p w14:paraId="7C20B2F1" w14:textId="77777777" w:rsidR="00F64F6A" w:rsidRPr="00B328AD" w:rsidRDefault="00F64F6A" w:rsidP="00D34AED">
      <w:pPr>
        <w:rPr>
          <w:lang w:val="fr-BE"/>
        </w:rPr>
      </w:pPr>
    </w:p>
    <w:p w14:paraId="1B306BC9" w14:textId="7880D71E" w:rsidR="00D34AED" w:rsidRPr="00B328AD" w:rsidRDefault="000D5EF9" w:rsidP="00D34AED">
      <w:pPr>
        <w:rPr>
          <w:lang w:val="fr-BE"/>
        </w:rPr>
      </w:pPr>
      <w:r>
        <w:rPr>
          <w:lang w:val="fr-BE"/>
        </w:rPr>
        <w:t>e</w:t>
      </w:r>
      <w:r w:rsidR="00F64F6A" w:rsidRPr="00B328AD">
        <w:rPr>
          <w:lang w:val="fr-BE"/>
        </w:rPr>
        <w:t>t d’autre part,</w:t>
      </w:r>
    </w:p>
    <w:p w14:paraId="0288E053" w14:textId="23EE6834" w:rsidR="00D34AED" w:rsidRPr="00B328AD" w:rsidRDefault="00D34AED" w:rsidP="00D34AED">
      <w:pPr>
        <w:rPr>
          <w:lang w:val="fr-BE"/>
        </w:rPr>
      </w:pPr>
      <w:r w:rsidRPr="00B328AD">
        <w:rPr>
          <w:highlight w:val="yellow"/>
          <w:lang w:val="fr-BE"/>
        </w:rPr>
        <w:t>«NOM», «ADRESSE», «CP» «COMMUNE»,</w:t>
      </w:r>
      <w:r w:rsidRPr="00B328AD">
        <w:rPr>
          <w:lang w:val="fr-BE"/>
        </w:rPr>
        <w:t xml:space="preserve"> </w:t>
      </w:r>
      <w:r w:rsidR="00F64F6A" w:rsidRPr="00B328AD">
        <w:rPr>
          <w:lang w:val="fr-BE"/>
        </w:rPr>
        <w:t>avec</w:t>
      </w:r>
      <w:r w:rsidRPr="00B328AD">
        <w:rPr>
          <w:lang w:val="fr-BE"/>
        </w:rPr>
        <w:t xml:space="preserve"> </w:t>
      </w:r>
      <w:r w:rsidR="00F64F6A" w:rsidRPr="00B328AD">
        <w:rPr>
          <w:lang w:val="fr-BE"/>
        </w:rPr>
        <w:t>le numéro d’agréement</w:t>
      </w:r>
      <w:r w:rsidRPr="00B328AD">
        <w:rPr>
          <w:lang w:val="fr-BE"/>
        </w:rPr>
        <w:t xml:space="preserve"> «N_AGREMENT», </w:t>
      </w:r>
      <w:r w:rsidR="00F64F6A" w:rsidRPr="00B328AD">
        <w:rPr>
          <w:lang w:val="fr-BE"/>
        </w:rPr>
        <w:t>ci-après dénommé « l’hôpital »</w:t>
      </w:r>
      <w:r w:rsidRPr="00B328AD">
        <w:rPr>
          <w:lang w:val="fr-BE"/>
        </w:rPr>
        <w:t xml:space="preserve">, </w:t>
      </w:r>
      <w:r w:rsidR="00F64F6A" w:rsidRPr="00B328AD">
        <w:rPr>
          <w:lang w:val="fr-BE"/>
        </w:rPr>
        <w:t>représenté par</w:t>
      </w:r>
      <w:r w:rsidRPr="00B328AD">
        <w:rPr>
          <w:lang w:val="fr-BE"/>
        </w:rPr>
        <w:t xml:space="preserve"> ………………………………………</w:t>
      </w:r>
    </w:p>
    <w:p w14:paraId="49713AE6" w14:textId="5814969D" w:rsidR="00D34AED" w:rsidRPr="00B328AD" w:rsidRDefault="00D34AED" w:rsidP="00D34AED">
      <w:pPr>
        <w:rPr>
          <w:lang w:val="fr-BE"/>
        </w:rPr>
      </w:pPr>
      <w:r w:rsidRPr="00B328AD">
        <w:rPr>
          <w:lang w:val="fr-BE"/>
        </w:rPr>
        <w:br w:type="page"/>
      </w:r>
    </w:p>
    <w:p w14:paraId="28E2EA91" w14:textId="6FD6C293" w:rsidR="00D34AED" w:rsidRPr="00B328AD" w:rsidRDefault="00937051" w:rsidP="00DD5258">
      <w:pPr>
        <w:spacing w:before="240"/>
        <w:rPr>
          <w:b/>
          <w:bCs/>
          <w:u w:val="single"/>
          <w:lang w:val="fr-BE"/>
        </w:rPr>
      </w:pPr>
      <w:r w:rsidRPr="00B328AD">
        <w:rPr>
          <w:b/>
          <w:bCs/>
          <w:u w:val="single"/>
          <w:lang w:val="fr-BE"/>
        </w:rPr>
        <w:lastRenderedPageBreak/>
        <w:t>Sujet de la convention</w:t>
      </w:r>
    </w:p>
    <w:p w14:paraId="254EB3BD" w14:textId="711E8ABD" w:rsidR="002F6349" w:rsidRPr="00B328AD" w:rsidRDefault="00D34AED" w:rsidP="00D34AED">
      <w:pPr>
        <w:rPr>
          <w:b/>
          <w:bCs/>
          <w:lang w:val="fr-BE"/>
        </w:rPr>
      </w:pPr>
      <w:r w:rsidRPr="00B328AD">
        <w:rPr>
          <w:b/>
          <w:bCs/>
          <w:lang w:val="fr-BE"/>
        </w:rPr>
        <w:t>Arti</w:t>
      </w:r>
      <w:r w:rsidR="00937051" w:rsidRPr="00B328AD">
        <w:rPr>
          <w:b/>
          <w:bCs/>
          <w:lang w:val="fr-BE"/>
        </w:rPr>
        <w:t>cle</w:t>
      </w:r>
      <w:r w:rsidRPr="00B328AD">
        <w:rPr>
          <w:b/>
          <w:bCs/>
          <w:lang w:val="fr-BE"/>
        </w:rPr>
        <w:t xml:space="preserve"> 1</w:t>
      </w:r>
      <w:r w:rsidR="000D5EF9" w:rsidRPr="000D5EF9">
        <w:rPr>
          <w:b/>
          <w:bCs/>
          <w:vertAlign w:val="superscript"/>
          <w:lang w:val="fr-BE"/>
        </w:rPr>
        <w:t>er</w:t>
      </w:r>
      <w:r w:rsidRPr="00B328AD">
        <w:rPr>
          <w:b/>
          <w:bCs/>
          <w:lang w:val="fr-BE"/>
        </w:rPr>
        <w:t xml:space="preserve">. </w:t>
      </w:r>
    </w:p>
    <w:p w14:paraId="0E1C32C7" w14:textId="45D9C95D" w:rsidR="00D34AED" w:rsidRPr="00B328AD" w:rsidRDefault="00937051" w:rsidP="00D34AED">
      <w:pPr>
        <w:rPr>
          <w:lang w:val="fr-BE"/>
        </w:rPr>
      </w:pPr>
      <w:r w:rsidRPr="00B328AD">
        <w:rPr>
          <w:lang w:val="fr-BE"/>
        </w:rPr>
        <w:t>Cette convention détermine l'intervention accordée par l'assurance obligatoire soins de santé et indemnités à la structure CPVS d'un hôpital pour exécuter la mission de la structure CPVS décrite à l'article 2 de cette convention</w:t>
      </w:r>
      <w:r w:rsidR="00D34AED" w:rsidRPr="00B328AD">
        <w:rPr>
          <w:lang w:val="fr-BE"/>
        </w:rPr>
        <w:t>.</w:t>
      </w:r>
    </w:p>
    <w:p w14:paraId="388B8478" w14:textId="7E112C25" w:rsidR="00D34AED" w:rsidRPr="00B328AD" w:rsidRDefault="00C03A87" w:rsidP="00DD5258">
      <w:pPr>
        <w:spacing w:before="240"/>
        <w:rPr>
          <w:b/>
          <w:bCs/>
          <w:u w:val="single"/>
          <w:lang w:val="fr-BE"/>
        </w:rPr>
      </w:pPr>
      <w:r w:rsidRPr="00B328AD">
        <w:rPr>
          <w:b/>
          <w:bCs/>
          <w:u w:val="single"/>
          <w:lang w:val="fr-BE"/>
        </w:rPr>
        <w:t>Mission de la structure CPVS</w:t>
      </w:r>
    </w:p>
    <w:p w14:paraId="19745FCA" w14:textId="77777777" w:rsidR="002F6349" w:rsidRPr="00B328AD" w:rsidRDefault="00D34AED" w:rsidP="00D34AED">
      <w:pPr>
        <w:rPr>
          <w:b/>
          <w:bCs/>
          <w:lang w:val="fr-BE"/>
        </w:rPr>
      </w:pPr>
      <w:r w:rsidRPr="00B328AD">
        <w:rPr>
          <w:b/>
          <w:bCs/>
          <w:lang w:val="fr-BE"/>
        </w:rPr>
        <w:t>Art</w:t>
      </w:r>
      <w:r w:rsidR="00077FB6" w:rsidRPr="00B328AD">
        <w:rPr>
          <w:b/>
          <w:bCs/>
          <w:lang w:val="fr-BE"/>
        </w:rPr>
        <w:t>.</w:t>
      </w:r>
      <w:r w:rsidRPr="00B328AD">
        <w:rPr>
          <w:b/>
          <w:bCs/>
          <w:lang w:val="fr-BE"/>
        </w:rPr>
        <w:t xml:space="preserve"> 2.</w:t>
      </w:r>
      <w:r w:rsidR="00077FB6" w:rsidRPr="00B328AD">
        <w:rPr>
          <w:b/>
          <w:bCs/>
          <w:lang w:val="fr-BE"/>
        </w:rPr>
        <w:t xml:space="preserve"> </w:t>
      </w:r>
    </w:p>
    <w:p w14:paraId="09E4D218" w14:textId="7AE07DBC" w:rsidR="00C03A87" w:rsidRPr="00B328AD" w:rsidRDefault="00C03A87" w:rsidP="00491BA8">
      <w:pPr>
        <w:rPr>
          <w:rFonts w:cstheme="minorHAnsi"/>
          <w:lang w:val="fr-BE"/>
        </w:rPr>
      </w:pPr>
      <w:r w:rsidRPr="00B328AD">
        <w:rPr>
          <w:rFonts w:cstheme="minorHAnsi"/>
          <w:lang w:val="fr-BE"/>
        </w:rPr>
        <w:t>Nonobstant les dispositions de l'article 13 de la loi du 26 avril 2024 relative aux Centres de Prise en charge des Violences Sexuelles, l'hôpital a pour mission d'offrir aux victimes de violences sexuelles</w:t>
      </w:r>
      <w:r w:rsidR="00040F77">
        <w:rPr>
          <w:rFonts w:cstheme="minorHAnsi"/>
          <w:lang w:val="fr-BE"/>
        </w:rPr>
        <w:t xml:space="preserve"> </w:t>
      </w:r>
      <w:r w:rsidRPr="00B328AD">
        <w:rPr>
          <w:rFonts w:cstheme="minorHAnsi"/>
          <w:lang w:val="fr-BE"/>
        </w:rPr>
        <w:t xml:space="preserve">un premier accueil, des soins multidisciplinaires, </w:t>
      </w:r>
      <w:r w:rsidR="00040F77">
        <w:rPr>
          <w:rFonts w:cstheme="minorHAnsi"/>
          <w:lang w:val="fr-BE"/>
        </w:rPr>
        <w:t>un examen médico-légal</w:t>
      </w:r>
      <w:r w:rsidRPr="00B328AD">
        <w:rPr>
          <w:rFonts w:cstheme="minorHAnsi"/>
          <w:lang w:val="fr-BE"/>
        </w:rPr>
        <w:t>, un accompagnement des victimes et des conseils sociaux et juridiques. En plus de l'accueil des victimes, la structure CPVS prévoit également l'accueil et l'accompagnement nécessaires des personnes de soutien des victimes de violences sexuelles.</w:t>
      </w:r>
    </w:p>
    <w:p w14:paraId="67FB1A9E" w14:textId="10EB80DD" w:rsidR="00491BA8" w:rsidRPr="00B328AD" w:rsidRDefault="00C03A87" w:rsidP="00491BA8">
      <w:pPr>
        <w:rPr>
          <w:lang w:val="fr-BE"/>
        </w:rPr>
      </w:pPr>
      <w:r w:rsidRPr="00B328AD">
        <w:rPr>
          <w:lang w:val="fr-BE"/>
        </w:rPr>
        <w:t>Le soutien offert à la victime dépend du temps écoulé entre l</w:t>
      </w:r>
      <w:r w:rsidR="00040F77">
        <w:rPr>
          <w:lang w:val="fr-BE"/>
        </w:rPr>
        <w:t>es</w:t>
      </w:r>
      <w:r w:rsidRPr="00B328AD">
        <w:rPr>
          <w:lang w:val="fr-BE"/>
        </w:rPr>
        <w:t xml:space="preserve"> violence</w:t>
      </w:r>
      <w:r w:rsidR="00040F77">
        <w:rPr>
          <w:lang w:val="fr-BE"/>
        </w:rPr>
        <w:t>s</w:t>
      </w:r>
      <w:r w:rsidRPr="00B328AD">
        <w:rPr>
          <w:lang w:val="fr-BE"/>
        </w:rPr>
        <w:t xml:space="preserve"> sexuelle</w:t>
      </w:r>
      <w:r w:rsidR="00040F77">
        <w:rPr>
          <w:lang w:val="fr-BE"/>
        </w:rPr>
        <w:t>s</w:t>
      </w:r>
      <w:r w:rsidRPr="00B328AD">
        <w:rPr>
          <w:lang w:val="fr-BE"/>
        </w:rPr>
        <w:t xml:space="preserve"> et </w:t>
      </w:r>
      <w:r w:rsidR="00040F77">
        <w:rPr>
          <w:lang w:val="fr-BE"/>
        </w:rPr>
        <w:t>l’admission</w:t>
      </w:r>
      <w:r w:rsidRPr="00B328AD">
        <w:rPr>
          <w:lang w:val="fr-BE"/>
        </w:rPr>
        <w:t xml:space="preserve"> à la structure CPVS.</w:t>
      </w:r>
      <w:r w:rsidR="00491BA8" w:rsidRPr="00B328AD">
        <w:rPr>
          <w:lang w:val="fr-BE"/>
        </w:rPr>
        <w:t xml:space="preserve"> </w:t>
      </w:r>
    </w:p>
    <w:p w14:paraId="4103EBAA" w14:textId="6C356EBC" w:rsidR="00C03A87" w:rsidRPr="00B328AD" w:rsidRDefault="00040F77" w:rsidP="00C03A87">
      <w:pPr>
        <w:pStyle w:val="ListParagraph"/>
        <w:numPr>
          <w:ilvl w:val="0"/>
          <w:numId w:val="8"/>
        </w:numPr>
        <w:rPr>
          <w:lang w:val="fr-BE"/>
        </w:rPr>
      </w:pPr>
      <w:r>
        <w:rPr>
          <w:b/>
          <w:bCs/>
          <w:lang w:val="fr-BE"/>
        </w:rPr>
        <w:t>Pour les</w:t>
      </w:r>
      <w:r w:rsidR="00C03A87" w:rsidRPr="00B328AD">
        <w:rPr>
          <w:b/>
          <w:bCs/>
          <w:lang w:val="fr-BE"/>
        </w:rPr>
        <w:t xml:space="preserve"> victimes de violences sexuelles</w:t>
      </w:r>
      <w:r>
        <w:rPr>
          <w:b/>
          <w:bCs/>
          <w:lang w:val="fr-BE"/>
        </w:rPr>
        <w:t xml:space="preserve"> en</w:t>
      </w:r>
      <w:r w:rsidR="00C03A87" w:rsidRPr="00B328AD">
        <w:rPr>
          <w:b/>
          <w:bCs/>
          <w:lang w:val="fr-BE"/>
        </w:rPr>
        <w:t xml:space="preserve"> </w:t>
      </w:r>
      <w:r>
        <w:rPr>
          <w:b/>
          <w:bCs/>
          <w:lang w:val="fr-BE"/>
        </w:rPr>
        <w:t xml:space="preserve">phase </w:t>
      </w:r>
      <w:r w:rsidR="00C03A87" w:rsidRPr="00B328AD">
        <w:rPr>
          <w:b/>
          <w:bCs/>
          <w:lang w:val="fr-BE"/>
        </w:rPr>
        <w:t>aiguë (&lt; 7 jours) et post-aiguë (entre 7 et 30 jours)</w:t>
      </w:r>
      <w:r w:rsidR="00C03A87" w:rsidRPr="00B328AD">
        <w:rPr>
          <w:lang w:val="fr-BE"/>
        </w:rPr>
        <w:t xml:space="preserve">, des soins de santé multidisciplinaires sont offerts, y compris l'évaluation de l'état de santé et le diagnostic, le traitement préventif et curatif en réponse </w:t>
      </w:r>
      <w:r>
        <w:rPr>
          <w:lang w:val="fr-BE"/>
        </w:rPr>
        <w:t>aux</w:t>
      </w:r>
      <w:r w:rsidR="00C03A87" w:rsidRPr="00B328AD">
        <w:rPr>
          <w:lang w:val="fr-BE"/>
        </w:rPr>
        <w:t xml:space="preserve"> violence</w:t>
      </w:r>
      <w:r>
        <w:rPr>
          <w:lang w:val="fr-BE"/>
        </w:rPr>
        <w:t>s</w:t>
      </w:r>
      <w:r w:rsidR="00C03A87" w:rsidRPr="00B328AD">
        <w:rPr>
          <w:lang w:val="fr-BE"/>
        </w:rPr>
        <w:t xml:space="preserve"> sexuelle</w:t>
      </w:r>
      <w:r>
        <w:rPr>
          <w:lang w:val="fr-BE"/>
        </w:rPr>
        <w:t>s</w:t>
      </w:r>
      <w:r w:rsidR="00C03A87" w:rsidRPr="00B328AD">
        <w:rPr>
          <w:lang w:val="fr-BE"/>
        </w:rPr>
        <w:t xml:space="preserve">, comme le traitement des blessures et des contusions, ainsi que l'accompagnement psychologique clinique en réponse </w:t>
      </w:r>
      <w:r>
        <w:rPr>
          <w:lang w:val="fr-BE"/>
        </w:rPr>
        <w:t>aux</w:t>
      </w:r>
      <w:r w:rsidR="00C03A87" w:rsidRPr="00B328AD">
        <w:rPr>
          <w:lang w:val="fr-BE"/>
        </w:rPr>
        <w:t xml:space="preserve"> violence</w:t>
      </w:r>
      <w:r>
        <w:rPr>
          <w:lang w:val="fr-BE"/>
        </w:rPr>
        <w:t>s</w:t>
      </w:r>
      <w:r w:rsidR="00C03A87" w:rsidRPr="00B328AD">
        <w:rPr>
          <w:lang w:val="fr-BE"/>
        </w:rPr>
        <w:t xml:space="preserve"> sexuelle</w:t>
      </w:r>
      <w:r>
        <w:rPr>
          <w:lang w:val="fr-BE"/>
        </w:rPr>
        <w:t>s</w:t>
      </w:r>
      <w:r w:rsidR="00C03A87" w:rsidRPr="00B328AD">
        <w:rPr>
          <w:lang w:val="fr-BE"/>
        </w:rPr>
        <w:t xml:space="preserve">. En outre, un examen médico-légal est proposé, ainsi que des conseils sur les services de soutien psychologique, l'assistance sociale ou les conseils juridiques disponibles. Si la victime souhaite déposer une plainte, un inspecteur violences sexuelles est appelé pour </w:t>
      </w:r>
      <w:r>
        <w:rPr>
          <w:lang w:val="fr-BE"/>
        </w:rPr>
        <w:t>auditionner</w:t>
      </w:r>
      <w:r w:rsidRPr="00B328AD">
        <w:rPr>
          <w:lang w:val="fr-BE"/>
        </w:rPr>
        <w:t xml:space="preserve"> </w:t>
      </w:r>
      <w:r w:rsidR="00C03A87" w:rsidRPr="00B328AD">
        <w:rPr>
          <w:lang w:val="fr-BE"/>
        </w:rPr>
        <w:t>la victime à la structure CPVS.</w:t>
      </w:r>
    </w:p>
    <w:p w14:paraId="4E74C182" w14:textId="62640421" w:rsidR="00C03A87" w:rsidRPr="00B328AD" w:rsidRDefault="00040F77" w:rsidP="00C03A87">
      <w:pPr>
        <w:pStyle w:val="ListParagraph"/>
        <w:numPr>
          <w:ilvl w:val="0"/>
          <w:numId w:val="8"/>
        </w:numPr>
        <w:rPr>
          <w:lang w:val="fr-BE"/>
        </w:rPr>
      </w:pPr>
      <w:r>
        <w:rPr>
          <w:b/>
          <w:bCs/>
          <w:lang w:val="fr-BE"/>
        </w:rPr>
        <w:t>Pour les</w:t>
      </w:r>
      <w:r w:rsidRPr="00B328AD">
        <w:rPr>
          <w:b/>
          <w:bCs/>
          <w:lang w:val="fr-BE"/>
        </w:rPr>
        <w:t xml:space="preserve"> </w:t>
      </w:r>
      <w:r w:rsidR="00C03A87" w:rsidRPr="00B328AD">
        <w:rPr>
          <w:b/>
          <w:bCs/>
          <w:lang w:val="fr-BE"/>
        </w:rPr>
        <w:t>victimes de violences sexuelles</w:t>
      </w:r>
      <w:r>
        <w:rPr>
          <w:b/>
          <w:bCs/>
          <w:lang w:val="fr-BE"/>
        </w:rPr>
        <w:t xml:space="preserve"> en phase</w:t>
      </w:r>
      <w:r w:rsidR="00C03A87" w:rsidRPr="00B328AD">
        <w:rPr>
          <w:b/>
          <w:bCs/>
          <w:lang w:val="fr-BE"/>
        </w:rPr>
        <w:t xml:space="preserve"> non aiguë (&gt; 30 jours),</w:t>
      </w:r>
      <w:r w:rsidR="00C03A87" w:rsidRPr="00B328AD">
        <w:rPr>
          <w:lang w:val="fr-BE"/>
        </w:rPr>
        <w:t xml:space="preserve"> des conseils et une orientation sont offerts</w:t>
      </w:r>
      <w:r w:rsidR="00BF6801">
        <w:rPr>
          <w:lang w:val="fr-BE"/>
        </w:rPr>
        <w:t xml:space="preserve"> </w:t>
      </w:r>
      <w:r w:rsidR="00BF6801" w:rsidRPr="00BF6801">
        <w:rPr>
          <w:lang w:val="fr-BE"/>
        </w:rPr>
        <w:t xml:space="preserve">après </w:t>
      </w:r>
      <w:r w:rsidR="00BF6801">
        <w:rPr>
          <w:lang w:val="fr-BE"/>
        </w:rPr>
        <w:t>l’</w:t>
      </w:r>
      <w:r w:rsidR="00BF6801" w:rsidRPr="00BF6801">
        <w:rPr>
          <w:lang w:val="fr-BE"/>
        </w:rPr>
        <w:t>accueil et un entretien d'orientation</w:t>
      </w:r>
      <w:r w:rsidR="00C03A87" w:rsidRPr="00B328AD">
        <w:rPr>
          <w:lang w:val="fr-BE"/>
        </w:rPr>
        <w:t xml:space="preserve">. </w:t>
      </w:r>
      <w:r w:rsidR="00BF6801" w:rsidRPr="00BF6801">
        <w:rPr>
          <w:lang w:val="fr-BE"/>
        </w:rPr>
        <w:t>Afin de garantir une orientation adéquate, une consultation psychologique clinique peut être proposée.</w:t>
      </w:r>
      <w:r w:rsidR="00BF6801">
        <w:rPr>
          <w:lang w:val="fr-BE"/>
        </w:rPr>
        <w:t xml:space="preserve"> </w:t>
      </w:r>
      <w:r w:rsidR="00C03A87" w:rsidRPr="00B328AD">
        <w:rPr>
          <w:lang w:val="fr-BE"/>
        </w:rPr>
        <w:t xml:space="preserve">Les partenaires liés à la structure CPVS prennent les dispositions nécessaires pour faciliter le dépôt éventuel d'une plainte et planifier un rendez-vous pour </w:t>
      </w:r>
      <w:r>
        <w:rPr>
          <w:lang w:val="fr-BE"/>
        </w:rPr>
        <w:t>une audition</w:t>
      </w:r>
      <w:r w:rsidR="00C03A87" w:rsidRPr="00B328AD">
        <w:rPr>
          <w:lang w:val="fr-BE"/>
        </w:rPr>
        <w:t xml:space="preserve"> dans la zone de police locale.</w:t>
      </w:r>
    </w:p>
    <w:p w14:paraId="06DC6D20" w14:textId="463E74A9" w:rsidR="00D40E82" w:rsidRPr="00B328AD" w:rsidRDefault="00C03A87" w:rsidP="00DD5258">
      <w:pPr>
        <w:spacing w:before="240"/>
        <w:rPr>
          <w:b/>
          <w:bCs/>
          <w:u w:val="single"/>
          <w:lang w:val="fr-BE"/>
        </w:rPr>
      </w:pPr>
      <w:r w:rsidRPr="00B328AD">
        <w:rPr>
          <w:b/>
          <w:bCs/>
          <w:u w:val="single"/>
          <w:lang w:val="fr-BE"/>
        </w:rPr>
        <w:t>Conditions pour l’intervention</w:t>
      </w:r>
    </w:p>
    <w:p w14:paraId="42BE9F59" w14:textId="77777777" w:rsidR="002F6349" w:rsidRPr="00B328AD" w:rsidRDefault="007D0944" w:rsidP="00077FB6">
      <w:pPr>
        <w:rPr>
          <w:b/>
          <w:bCs/>
          <w:lang w:val="fr-BE"/>
        </w:rPr>
      </w:pPr>
      <w:r w:rsidRPr="00B328AD">
        <w:rPr>
          <w:b/>
          <w:bCs/>
          <w:lang w:val="fr-BE"/>
        </w:rPr>
        <w:t xml:space="preserve">Art </w:t>
      </w:r>
      <w:r w:rsidR="00B8403B" w:rsidRPr="00B328AD">
        <w:rPr>
          <w:b/>
          <w:bCs/>
          <w:lang w:val="fr-BE"/>
        </w:rPr>
        <w:t>3</w:t>
      </w:r>
      <w:r w:rsidR="00077FB6" w:rsidRPr="00B328AD">
        <w:rPr>
          <w:b/>
          <w:bCs/>
          <w:lang w:val="fr-BE"/>
        </w:rPr>
        <w:t xml:space="preserve">. </w:t>
      </w:r>
    </w:p>
    <w:p w14:paraId="3FC03721" w14:textId="15DD126B" w:rsidR="00B8403B" w:rsidRPr="00B328AD" w:rsidRDefault="00C03A87" w:rsidP="00077FB6">
      <w:pPr>
        <w:rPr>
          <w:b/>
          <w:bCs/>
          <w:lang w:val="fr-BE"/>
        </w:rPr>
      </w:pPr>
      <w:r w:rsidRPr="00B328AD">
        <w:rPr>
          <w:lang w:val="fr-BE"/>
        </w:rPr>
        <w:t xml:space="preserve">Les conditions pour l'intervention prévue dans le cadre de cette convention sont fixées par l'arrêté royal du </w:t>
      </w:r>
      <w:r w:rsidR="00855B72">
        <w:rPr>
          <w:lang w:val="fr-BE"/>
        </w:rPr>
        <w:t>21 septembre 2025</w:t>
      </w:r>
      <w:r w:rsidR="00077FB6" w:rsidRPr="00B328AD">
        <w:rPr>
          <w:b/>
          <w:bCs/>
          <w:lang w:val="fr-BE"/>
        </w:rPr>
        <w:t xml:space="preserve">. </w:t>
      </w:r>
    </w:p>
    <w:p w14:paraId="51BB46BE" w14:textId="77777777" w:rsidR="002F6349" w:rsidRPr="00B328AD" w:rsidRDefault="00B8403B" w:rsidP="00D40E82">
      <w:pPr>
        <w:rPr>
          <w:b/>
          <w:bCs/>
          <w:lang w:val="fr-BE"/>
        </w:rPr>
      </w:pPr>
      <w:r w:rsidRPr="00B328AD">
        <w:rPr>
          <w:b/>
          <w:bCs/>
          <w:lang w:val="fr-BE"/>
        </w:rPr>
        <w:t>Art</w:t>
      </w:r>
      <w:r w:rsidR="00C30CF9" w:rsidRPr="00B328AD">
        <w:rPr>
          <w:b/>
          <w:bCs/>
          <w:lang w:val="fr-BE"/>
        </w:rPr>
        <w:t>.</w:t>
      </w:r>
      <w:r w:rsidRPr="00B328AD">
        <w:rPr>
          <w:b/>
          <w:bCs/>
          <w:lang w:val="fr-BE"/>
        </w:rPr>
        <w:t xml:space="preserve"> </w:t>
      </w:r>
      <w:r w:rsidR="00C30CF9" w:rsidRPr="00B328AD">
        <w:rPr>
          <w:b/>
          <w:bCs/>
          <w:lang w:val="fr-BE"/>
        </w:rPr>
        <w:t xml:space="preserve">4. </w:t>
      </w:r>
    </w:p>
    <w:p w14:paraId="64166287" w14:textId="7C64004D" w:rsidR="000D34D2" w:rsidRDefault="00C03A87" w:rsidP="00D40E82">
      <w:pPr>
        <w:rPr>
          <w:lang w:val="fr-BE"/>
        </w:rPr>
      </w:pPr>
      <w:r w:rsidRPr="00B328AD">
        <w:rPr>
          <w:lang w:val="fr-BE"/>
        </w:rPr>
        <w:t xml:space="preserve">Conformément à l'article 10 de l'arrêté royal du </w:t>
      </w:r>
      <w:r w:rsidR="00855B72">
        <w:rPr>
          <w:lang w:val="fr-BE"/>
        </w:rPr>
        <w:t>21 septembre 2025</w:t>
      </w:r>
      <w:r w:rsidRPr="00B328AD">
        <w:rPr>
          <w:lang w:val="fr-BE"/>
        </w:rPr>
        <w:t xml:space="preserve">, la structure CPVS de l'hôpital doit soumettre chaque année, dans le deuxième mois suivant une année de fonctionnement, un rapport d'activités détaillé au comité d’accompagnement. </w:t>
      </w:r>
    </w:p>
    <w:p w14:paraId="023DAAB4" w14:textId="14142684" w:rsidR="00D16B1D" w:rsidRPr="00B328AD" w:rsidRDefault="00C03A87" w:rsidP="00D40E82">
      <w:pPr>
        <w:rPr>
          <w:lang w:val="fr-BE"/>
        </w:rPr>
      </w:pPr>
      <w:r w:rsidRPr="00B328AD">
        <w:rPr>
          <w:lang w:val="fr-BE"/>
        </w:rPr>
        <w:lastRenderedPageBreak/>
        <w:t xml:space="preserve">La structure CPVS doit enregistrer des données pour réaliser l'évaluation. Les données suivantes doivent au minimum être enregistrées et incluses dans le rapport </w:t>
      </w:r>
      <w:r w:rsidR="000D5EF9" w:rsidRPr="00B328AD">
        <w:rPr>
          <w:lang w:val="fr-BE"/>
        </w:rPr>
        <w:t>d’évaluation :</w:t>
      </w:r>
    </w:p>
    <w:p w14:paraId="164DEA88" w14:textId="77777777" w:rsidR="00C03A87" w:rsidRPr="00B328AD" w:rsidRDefault="00C03A87" w:rsidP="00C03A87">
      <w:pPr>
        <w:pStyle w:val="ListParagraph"/>
        <w:numPr>
          <w:ilvl w:val="0"/>
          <w:numId w:val="9"/>
        </w:numPr>
        <w:rPr>
          <w:lang w:val="fr-BE"/>
        </w:rPr>
      </w:pPr>
      <w:r w:rsidRPr="00B328AD">
        <w:rPr>
          <w:lang w:val="fr-BE"/>
        </w:rPr>
        <w:t>La composition et la gestion du personnel de la structure CPVS ;</w:t>
      </w:r>
    </w:p>
    <w:p w14:paraId="462B2A4A" w14:textId="77777777" w:rsidR="00C03A87" w:rsidRPr="00B328AD" w:rsidRDefault="00C03A87" w:rsidP="00C03A87">
      <w:pPr>
        <w:pStyle w:val="ListParagraph"/>
        <w:numPr>
          <w:ilvl w:val="0"/>
          <w:numId w:val="9"/>
        </w:numPr>
        <w:rPr>
          <w:lang w:val="fr-BE"/>
        </w:rPr>
      </w:pPr>
      <w:r w:rsidRPr="00B328AD">
        <w:rPr>
          <w:lang w:val="fr-BE"/>
        </w:rPr>
        <w:t>Données sur les activités réalisées dans la structure CPVS ;</w:t>
      </w:r>
    </w:p>
    <w:p w14:paraId="01022C48" w14:textId="45DF69DE" w:rsidR="00C03A87" w:rsidRDefault="00C03A87" w:rsidP="00C03A87">
      <w:pPr>
        <w:pStyle w:val="ListParagraph"/>
        <w:numPr>
          <w:ilvl w:val="0"/>
          <w:numId w:val="9"/>
        </w:numPr>
        <w:rPr>
          <w:lang w:val="fr-BE"/>
        </w:rPr>
      </w:pPr>
      <w:r w:rsidRPr="00B328AD">
        <w:rPr>
          <w:lang w:val="fr-BE"/>
        </w:rPr>
        <w:t xml:space="preserve">Données sur le nombre et les caractéristiques (âge, sexe, nationalité, etc.) des victimes de violences sexuelles qui se sont présentées à la structure CPVS, avec au moins des informations sur le nombre de victimes </w:t>
      </w:r>
      <w:r w:rsidR="00040F77">
        <w:rPr>
          <w:lang w:val="fr-BE"/>
        </w:rPr>
        <w:t xml:space="preserve">en phase </w:t>
      </w:r>
      <w:r w:rsidRPr="00B328AD">
        <w:rPr>
          <w:lang w:val="fr-BE"/>
        </w:rPr>
        <w:t>aiguë</w:t>
      </w:r>
      <w:r w:rsidR="00DB1259">
        <w:rPr>
          <w:lang w:val="fr-BE"/>
        </w:rPr>
        <w:t>,</w:t>
      </w:r>
      <w:r w:rsidR="00D104E6">
        <w:rPr>
          <w:lang w:val="fr-BE"/>
        </w:rPr>
        <w:t xml:space="preserve"> </w:t>
      </w:r>
      <w:r w:rsidRPr="00B328AD">
        <w:rPr>
          <w:lang w:val="fr-BE"/>
        </w:rPr>
        <w:t xml:space="preserve">post-aiguë </w:t>
      </w:r>
      <w:r w:rsidR="00DB1259">
        <w:rPr>
          <w:lang w:val="fr-BE"/>
        </w:rPr>
        <w:t xml:space="preserve">en non-aiguë </w:t>
      </w:r>
      <w:r w:rsidRPr="00B328AD">
        <w:rPr>
          <w:lang w:val="fr-BE"/>
        </w:rPr>
        <w:t>et le nombre de victimes AMI et non-AMI ;</w:t>
      </w:r>
    </w:p>
    <w:p w14:paraId="3480257F" w14:textId="23902AD6" w:rsidR="0014211B" w:rsidRDefault="0014211B" w:rsidP="00C03A87">
      <w:pPr>
        <w:pStyle w:val="ListParagraph"/>
        <w:numPr>
          <w:ilvl w:val="0"/>
          <w:numId w:val="9"/>
        </w:numPr>
        <w:rPr>
          <w:lang w:val="fr-BE"/>
        </w:rPr>
      </w:pPr>
      <w:r>
        <w:rPr>
          <w:lang w:val="fr-BE"/>
        </w:rPr>
        <w:t>N</w:t>
      </w:r>
      <w:r w:rsidRPr="0014211B">
        <w:rPr>
          <w:lang w:val="fr-BE"/>
        </w:rPr>
        <w:t>ombre de moments d'intervision qui ont eu lieu avec le médecin lié au centre de référence VIH et le nombre de victimes qui ont été traitées par PEP</w:t>
      </w:r>
      <w:r>
        <w:rPr>
          <w:lang w:val="fr-BE"/>
        </w:rPr>
        <w:t> ;</w:t>
      </w:r>
    </w:p>
    <w:p w14:paraId="4B698000" w14:textId="08AEC9CB" w:rsidR="00C03A87" w:rsidRPr="00B328AD" w:rsidRDefault="00C03A87" w:rsidP="00C03A87">
      <w:pPr>
        <w:pStyle w:val="ListParagraph"/>
        <w:numPr>
          <w:ilvl w:val="0"/>
          <w:numId w:val="9"/>
        </w:numPr>
        <w:rPr>
          <w:lang w:val="fr-BE"/>
        </w:rPr>
      </w:pPr>
      <w:r w:rsidRPr="00B328AD">
        <w:rPr>
          <w:lang w:val="fr-BE"/>
        </w:rPr>
        <w:t>Informations sur les activités et les soins de santé réalisés dans le cadre de l'accueil des victimes de violences sexuelles.</w:t>
      </w:r>
    </w:p>
    <w:p w14:paraId="4C7F93F6" w14:textId="2E3A474F" w:rsidR="004C7D61" w:rsidRPr="00B328AD" w:rsidRDefault="00C03A87" w:rsidP="00DD5258">
      <w:pPr>
        <w:spacing w:before="240"/>
        <w:rPr>
          <w:b/>
          <w:bCs/>
          <w:u w:val="single"/>
          <w:lang w:val="fr-BE"/>
        </w:rPr>
      </w:pPr>
      <w:r w:rsidRPr="00B328AD">
        <w:rPr>
          <w:b/>
          <w:bCs/>
          <w:u w:val="single"/>
          <w:lang w:val="fr-BE"/>
        </w:rPr>
        <w:t>Intervention financière et modalités de paiement</w:t>
      </w:r>
    </w:p>
    <w:p w14:paraId="23F2668F" w14:textId="77777777" w:rsidR="002F6349" w:rsidRPr="00B328AD" w:rsidRDefault="00591478" w:rsidP="00591478">
      <w:pPr>
        <w:rPr>
          <w:b/>
          <w:bCs/>
          <w:lang w:val="fr-BE"/>
        </w:rPr>
      </w:pPr>
      <w:r w:rsidRPr="00B328AD">
        <w:rPr>
          <w:b/>
          <w:bCs/>
          <w:lang w:val="fr-BE"/>
        </w:rPr>
        <w:t>Art</w:t>
      </w:r>
      <w:r w:rsidR="00C30CF9" w:rsidRPr="00B328AD">
        <w:rPr>
          <w:b/>
          <w:bCs/>
          <w:lang w:val="fr-BE"/>
        </w:rPr>
        <w:t>.</w:t>
      </w:r>
      <w:r w:rsidRPr="00B328AD">
        <w:rPr>
          <w:b/>
          <w:bCs/>
          <w:lang w:val="fr-BE"/>
        </w:rPr>
        <w:t xml:space="preserve"> </w:t>
      </w:r>
      <w:r w:rsidR="0080366C" w:rsidRPr="00B328AD">
        <w:rPr>
          <w:b/>
          <w:bCs/>
          <w:lang w:val="fr-BE"/>
        </w:rPr>
        <w:t>5</w:t>
      </w:r>
      <w:r w:rsidR="00C30CF9" w:rsidRPr="00B328AD">
        <w:rPr>
          <w:b/>
          <w:bCs/>
          <w:lang w:val="fr-BE"/>
        </w:rPr>
        <w:t xml:space="preserve">. </w:t>
      </w:r>
    </w:p>
    <w:p w14:paraId="6D37F23E" w14:textId="69E266C9" w:rsidR="00C03A87" w:rsidRPr="00B328AD" w:rsidRDefault="00C03A87" w:rsidP="00591478">
      <w:pPr>
        <w:rPr>
          <w:lang w:val="fr-BE"/>
        </w:rPr>
      </w:pPr>
      <w:r w:rsidRPr="00B328AD">
        <w:rPr>
          <w:lang w:val="fr-BE"/>
        </w:rPr>
        <w:t xml:space="preserve">L'intervention totale est calculée en fonction du nombre annuel prévu de victimes de violences sexuelles qui se présentent à la structure CPVS. Le nombre prévu de victimes est calculé et fixé par le Comité d'assurance. </w:t>
      </w:r>
    </w:p>
    <w:p w14:paraId="5DAC5720" w14:textId="69293101" w:rsidR="00C03A87" w:rsidRPr="00B328AD" w:rsidRDefault="00C03A87" w:rsidP="00591478">
      <w:pPr>
        <w:rPr>
          <w:lang w:val="fr-BE"/>
        </w:rPr>
      </w:pPr>
      <w:r w:rsidRPr="00B328AD">
        <w:rPr>
          <w:lang w:val="fr-BE"/>
        </w:rPr>
        <w:t>L'intervention pour la première année de fonctionnement, du 1</w:t>
      </w:r>
      <w:r w:rsidRPr="00BB7CE9">
        <w:rPr>
          <w:vertAlign w:val="superscript"/>
          <w:lang w:val="fr-BE"/>
        </w:rPr>
        <w:t>er</w:t>
      </w:r>
      <w:r w:rsidR="00BB7CE9">
        <w:rPr>
          <w:lang w:val="fr-BE"/>
        </w:rPr>
        <w:t xml:space="preserve"> </w:t>
      </w:r>
      <w:r w:rsidRPr="00B328AD">
        <w:rPr>
          <w:lang w:val="fr-BE"/>
        </w:rPr>
        <w:t xml:space="preserve">janvier 2026 au 31 décembre 2026, s'élève à </w:t>
      </w:r>
      <w:r w:rsidRPr="00B328AD">
        <w:rPr>
          <w:highlight w:val="yellow"/>
          <w:lang w:val="fr-BE"/>
        </w:rPr>
        <w:t>xxx</w:t>
      </w:r>
      <w:r w:rsidRPr="00B328AD">
        <w:rPr>
          <w:lang w:val="fr-BE"/>
        </w:rPr>
        <w:t xml:space="preserve"> euros.</w:t>
      </w:r>
    </w:p>
    <w:p w14:paraId="2A85DA90" w14:textId="2A3EB4D6" w:rsidR="00C03A87" w:rsidRDefault="00C03A87" w:rsidP="00591478">
      <w:pPr>
        <w:rPr>
          <w:lang w:val="fr-BE"/>
        </w:rPr>
      </w:pPr>
      <w:r w:rsidRPr="00B328AD">
        <w:rPr>
          <w:lang w:val="fr-BE"/>
        </w:rPr>
        <w:t xml:space="preserve">Le montant visé </w:t>
      </w:r>
      <w:r w:rsidR="00BB7CE9">
        <w:rPr>
          <w:lang w:val="fr-BE"/>
        </w:rPr>
        <w:t>à</w:t>
      </w:r>
      <w:r w:rsidRPr="00B328AD">
        <w:rPr>
          <w:lang w:val="fr-BE"/>
        </w:rPr>
        <w:t xml:space="preserve"> </w:t>
      </w:r>
      <w:r w:rsidR="00BB7CE9">
        <w:rPr>
          <w:lang w:val="fr-BE"/>
        </w:rPr>
        <w:t>l’</w:t>
      </w:r>
      <w:r w:rsidRPr="00B328AD">
        <w:rPr>
          <w:lang w:val="fr-BE"/>
        </w:rPr>
        <w:t>alinéa</w:t>
      </w:r>
      <w:r w:rsidR="00BB7CE9">
        <w:rPr>
          <w:lang w:val="fr-BE"/>
        </w:rPr>
        <w:t xml:space="preserve"> 2</w:t>
      </w:r>
      <w:r w:rsidRPr="00B328AD">
        <w:rPr>
          <w:lang w:val="fr-BE"/>
        </w:rPr>
        <w:t xml:space="preserve"> est indexé chaque année au 1</w:t>
      </w:r>
      <w:r w:rsidRPr="00BB7CE9">
        <w:rPr>
          <w:vertAlign w:val="superscript"/>
          <w:lang w:val="fr-BE"/>
        </w:rPr>
        <w:t>er</w:t>
      </w:r>
      <w:r w:rsidR="00BB7CE9">
        <w:rPr>
          <w:lang w:val="fr-BE"/>
        </w:rPr>
        <w:t xml:space="preserve"> </w:t>
      </w:r>
      <w:r w:rsidRPr="00B328AD">
        <w:rPr>
          <w:lang w:val="fr-BE"/>
        </w:rPr>
        <w:t>janvier conformément au régime d'indexation relatif à l'indice santé lissé, déterminé en vertu de l'article 207bis de la loi relative à l'assurance obligatoire soins de santé et indemnités, coordonnée le 14 juillet 1994.</w:t>
      </w:r>
    </w:p>
    <w:p w14:paraId="57FA2C4B" w14:textId="77777777" w:rsidR="00C74DFC" w:rsidRPr="009B3E75" w:rsidRDefault="00C74DFC" w:rsidP="00C74DFC">
      <w:pPr>
        <w:rPr>
          <w:lang w:val="fr-FR"/>
        </w:rPr>
      </w:pPr>
      <w:r w:rsidRPr="009B3E75">
        <w:rPr>
          <w:b/>
          <w:bCs/>
          <w:lang w:val="fr-FR"/>
        </w:rPr>
        <w:t>Art. 6.</w:t>
      </w:r>
    </w:p>
    <w:p w14:paraId="33820D2B" w14:textId="12078EA0" w:rsidR="00C74DFC" w:rsidRPr="009B3E75" w:rsidRDefault="00C74DFC" w:rsidP="00C74DFC">
      <w:pPr>
        <w:rPr>
          <w:lang w:val="fr-FR"/>
        </w:rPr>
      </w:pPr>
      <w:r w:rsidRPr="009B3E75">
        <w:rPr>
          <w:lang w:val="fr-FR"/>
        </w:rPr>
        <w:t>L'hôpital reçoit une indemnité pour les frais liés au personnel employé dans l</w:t>
      </w:r>
      <w:r w:rsidR="00EE33C6">
        <w:rPr>
          <w:lang w:val="fr-FR"/>
        </w:rPr>
        <w:t xml:space="preserve">a structure </w:t>
      </w:r>
      <w:r w:rsidRPr="009B3E75">
        <w:rPr>
          <w:lang w:val="fr-FR"/>
        </w:rPr>
        <w:t>CPVS. La partie fixe de l'indemnité doit être utilisée pour financer la permanence du personnel et pour pourvoir les postes permanents. La partie variable par victime peut être allouée par l</w:t>
      </w:r>
      <w:r w:rsidR="00EE33C6">
        <w:rPr>
          <w:lang w:val="fr-FR"/>
        </w:rPr>
        <w:t xml:space="preserve">a structure </w:t>
      </w:r>
      <w:r w:rsidRPr="009B3E75">
        <w:rPr>
          <w:lang w:val="fr-FR"/>
        </w:rPr>
        <w:t>CPVS à l'une des catégories de personnel qu'il juge nécessaire.</w:t>
      </w:r>
    </w:p>
    <w:p w14:paraId="075CDD06" w14:textId="421F5725" w:rsidR="009B3E75" w:rsidRDefault="009B3E75" w:rsidP="001C7C84">
      <w:pPr>
        <w:rPr>
          <w:lang w:val="fr-FR"/>
        </w:rPr>
      </w:pPr>
      <w:r w:rsidRPr="009B3E75">
        <w:rPr>
          <w:lang w:val="fr-FR"/>
        </w:rPr>
        <w:t xml:space="preserve">Les </w:t>
      </w:r>
      <w:r w:rsidR="00080E45">
        <w:rPr>
          <w:lang w:val="fr-FR"/>
        </w:rPr>
        <w:t>frais</w:t>
      </w:r>
      <w:r w:rsidRPr="009B3E75">
        <w:rPr>
          <w:lang w:val="fr-FR"/>
        </w:rPr>
        <w:t xml:space="preserve"> de fonctionnement sont répartis entre les frais généraux, d'une part, et les frais engagés pour l'exécution de la mission, d'autre part. Les frais généraux représentent 60 % du coût total de fonctionnement et sont des coûts qui ne peuvent être directement attribués à la mission, mais qui sont indirectement nécessaires à l'exécution de celle-ci. Ces coûts comprennent les frais de maintenance d</w:t>
      </w:r>
      <w:r w:rsidR="00EE33C6">
        <w:rPr>
          <w:lang w:val="fr-FR"/>
        </w:rPr>
        <w:t xml:space="preserve">e la structure </w:t>
      </w:r>
      <w:r w:rsidRPr="009B3E75">
        <w:rPr>
          <w:lang w:val="fr-FR"/>
        </w:rPr>
        <w:t xml:space="preserve">CPVS, </w:t>
      </w:r>
      <w:r w:rsidR="007C7961" w:rsidRPr="007C7961">
        <w:rPr>
          <w:lang w:val="fr-FR"/>
        </w:rPr>
        <w:t>coûts énergétiques et d’eau</w:t>
      </w:r>
      <w:r w:rsidRPr="009B3E75">
        <w:rPr>
          <w:lang w:val="fr-FR"/>
        </w:rPr>
        <w:t>, les (télé)communications, les services de soutien et les éléments qui ne peuvent être directement attribués à la mission. Les 40 % restants servent à financer les éléments qui sont une conséquence directe et sont jugés nécessaires à l'exécution de la mission de la présente convention, notamment l'achat de produits, de matériel (petit matériel), de consommables, les frais de formation continue, d'intervision et de supervision des membres du personnel.</w:t>
      </w:r>
    </w:p>
    <w:p w14:paraId="0DF069EB" w14:textId="77777777" w:rsidR="00AA6257" w:rsidRDefault="00AA6257" w:rsidP="001C7C84">
      <w:pPr>
        <w:rPr>
          <w:lang w:val="fr-FR"/>
        </w:rPr>
      </w:pPr>
    </w:p>
    <w:p w14:paraId="5DAD141B" w14:textId="77777777" w:rsidR="00AA6257" w:rsidRDefault="00AA6257" w:rsidP="001C7C84">
      <w:pPr>
        <w:rPr>
          <w:lang w:val="fr-FR"/>
        </w:rPr>
      </w:pPr>
    </w:p>
    <w:p w14:paraId="75736291" w14:textId="421A55DD" w:rsidR="002F6349" w:rsidRPr="00B328AD" w:rsidRDefault="00B8403B" w:rsidP="001C7C84">
      <w:pPr>
        <w:rPr>
          <w:rFonts w:cs="Arial"/>
          <w:b/>
          <w:bCs/>
          <w:lang w:val="fr-BE"/>
        </w:rPr>
      </w:pPr>
      <w:r w:rsidRPr="00B328AD">
        <w:rPr>
          <w:rFonts w:cs="Arial"/>
          <w:b/>
          <w:bCs/>
          <w:lang w:val="fr-BE"/>
        </w:rPr>
        <w:lastRenderedPageBreak/>
        <w:t>Art</w:t>
      </w:r>
      <w:r w:rsidR="0080366C" w:rsidRPr="00B328AD">
        <w:rPr>
          <w:rFonts w:cs="Arial"/>
          <w:b/>
          <w:bCs/>
          <w:lang w:val="fr-BE"/>
        </w:rPr>
        <w:t xml:space="preserve">. </w:t>
      </w:r>
      <w:r w:rsidR="00C74DFC">
        <w:rPr>
          <w:rFonts w:cs="Arial"/>
          <w:b/>
          <w:bCs/>
          <w:lang w:val="fr-BE"/>
        </w:rPr>
        <w:t>7</w:t>
      </w:r>
      <w:r w:rsidR="0080366C" w:rsidRPr="00B328AD">
        <w:rPr>
          <w:rFonts w:cs="Arial"/>
          <w:b/>
          <w:bCs/>
          <w:lang w:val="fr-BE"/>
        </w:rPr>
        <w:t xml:space="preserve">. </w:t>
      </w:r>
    </w:p>
    <w:p w14:paraId="29C4B77E" w14:textId="6573271C" w:rsidR="00591478" w:rsidRPr="00B328AD" w:rsidRDefault="00C03A87" w:rsidP="001C7C84">
      <w:pPr>
        <w:rPr>
          <w:rFonts w:cs="Arial"/>
          <w:lang w:val="fr-BE"/>
        </w:rPr>
      </w:pPr>
      <w:r w:rsidRPr="00B328AD">
        <w:rPr>
          <w:rFonts w:cs="Arial"/>
          <w:lang w:val="fr-BE"/>
        </w:rPr>
        <w:t xml:space="preserve">L’intervention </w:t>
      </w:r>
      <w:r w:rsidR="00FE60BE">
        <w:rPr>
          <w:rFonts w:cs="Arial"/>
          <w:lang w:val="fr-BE"/>
        </w:rPr>
        <w:t>par</w:t>
      </w:r>
      <w:r w:rsidRPr="00B328AD">
        <w:rPr>
          <w:rFonts w:cs="Arial"/>
          <w:lang w:val="fr-BE"/>
        </w:rPr>
        <w:t xml:space="preserve"> année de fonctionnement</w:t>
      </w:r>
      <w:r w:rsidR="0080366C" w:rsidRPr="00B328AD">
        <w:rPr>
          <w:rFonts w:cs="Arial"/>
          <w:lang w:val="fr-BE"/>
        </w:rPr>
        <w:t xml:space="preserve"> </w:t>
      </w:r>
      <w:r w:rsidRPr="00B328AD">
        <w:rPr>
          <w:rFonts w:cs="Arial"/>
          <w:lang w:val="fr-BE"/>
        </w:rPr>
        <w:t xml:space="preserve">sera payée par l’INAMI comme </w:t>
      </w:r>
      <w:r w:rsidR="00BB7CE9" w:rsidRPr="00B328AD">
        <w:rPr>
          <w:rFonts w:cs="Arial"/>
          <w:lang w:val="fr-BE"/>
        </w:rPr>
        <w:t>suit :</w:t>
      </w:r>
    </w:p>
    <w:p w14:paraId="19E532BF" w14:textId="2A88FB4C" w:rsidR="00C03A87" w:rsidRPr="00FE60BE" w:rsidRDefault="00C03A87" w:rsidP="00C03A87">
      <w:pPr>
        <w:pStyle w:val="ListParagraph"/>
        <w:numPr>
          <w:ilvl w:val="0"/>
          <w:numId w:val="10"/>
        </w:numPr>
        <w:rPr>
          <w:rFonts w:cs="Arial"/>
          <w:lang w:val="fr-BE"/>
        </w:rPr>
      </w:pPr>
      <w:r w:rsidRPr="00FE60BE">
        <w:rPr>
          <w:rFonts w:cs="Arial"/>
          <w:lang w:val="fr-BE"/>
        </w:rPr>
        <w:t>Une 1</w:t>
      </w:r>
      <w:r w:rsidRPr="00FE60BE">
        <w:rPr>
          <w:rFonts w:cs="Arial"/>
          <w:vertAlign w:val="superscript"/>
          <w:lang w:val="fr-BE"/>
        </w:rPr>
        <w:t>ère</w:t>
      </w:r>
      <w:r w:rsidRPr="00FE60BE">
        <w:rPr>
          <w:rFonts w:cs="Arial"/>
          <w:lang w:val="fr-BE"/>
        </w:rPr>
        <w:t xml:space="preserve"> tranche de </w:t>
      </w:r>
      <w:r w:rsidR="00FE60BE" w:rsidRPr="00FE60BE">
        <w:rPr>
          <w:rFonts w:cs="Arial"/>
          <w:lang w:val="fr-BE"/>
        </w:rPr>
        <w:t>50</w:t>
      </w:r>
      <w:r w:rsidRPr="00FE60BE">
        <w:rPr>
          <w:rFonts w:cs="Arial"/>
          <w:lang w:val="fr-BE"/>
        </w:rPr>
        <w:t xml:space="preserve">% sera versée </w:t>
      </w:r>
      <w:r w:rsidR="00FE60BE" w:rsidRPr="00FE60BE">
        <w:rPr>
          <w:rFonts w:cs="Arial"/>
          <w:lang w:val="fr-BE"/>
        </w:rPr>
        <w:t>après signature de la convention ; pour les années de fonctionnement suivantes, une tranche de 50 % sera payée par l'INAMI au cours du mois de janvier ;</w:t>
      </w:r>
    </w:p>
    <w:p w14:paraId="08D87FF0" w14:textId="4CF6A9FF" w:rsidR="00C03A87" w:rsidRPr="00FE60BE" w:rsidRDefault="00C03A87" w:rsidP="00C03A87">
      <w:pPr>
        <w:pStyle w:val="ListParagraph"/>
        <w:numPr>
          <w:ilvl w:val="0"/>
          <w:numId w:val="10"/>
        </w:numPr>
        <w:rPr>
          <w:rFonts w:cs="Arial"/>
          <w:lang w:val="fr-BE"/>
        </w:rPr>
      </w:pPr>
      <w:r w:rsidRPr="00FE60BE">
        <w:rPr>
          <w:rFonts w:cs="Arial"/>
          <w:lang w:val="fr-BE"/>
        </w:rPr>
        <w:t>Une 2</w:t>
      </w:r>
      <w:r w:rsidR="007D5BEF" w:rsidRPr="00FE60BE">
        <w:rPr>
          <w:rFonts w:cs="Arial"/>
          <w:vertAlign w:val="superscript"/>
          <w:lang w:val="fr-BE"/>
        </w:rPr>
        <w:t xml:space="preserve">ième </w:t>
      </w:r>
      <w:r w:rsidRPr="00FE60BE">
        <w:rPr>
          <w:rFonts w:cs="Arial"/>
          <w:lang w:val="fr-BE"/>
        </w:rPr>
        <w:t xml:space="preserve">tranche de </w:t>
      </w:r>
      <w:r w:rsidR="00FE60BE" w:rsidRPr="00FE60BE">
        <w:rPr>
          <w:rFonts w:cs="Arial"/>
          <w:lang w:val="fr-BE"/>
        </w:rPr>
        <w:t>40</w:t>
      </w:r>
      <w:r w:rsidRPr="00FE60BE">
        <w:rPr>
          <w:rFonts w:cs="Arial"/>
          <w:lang w:val="fr-BE"/>
        </w:rPr>
        <w:t xml:space="preserve">% sera versée par l'INAMI fin </w:t>
      </w:r>
      <w:r w:rsidR="00FE60BE" w:rsidRPr="00FE60BE">
        <w:rPr>
          <w:rFonts w:cs="Arial"/>
          <w:lang w:val="fr-BE"/>
        </w:rPr>
        <w:t>juillet</w:t>
      </w:r>
      <w:r w:rsidRPr="00FE60BE">
        <w:rPr>
          <w:rFonts w:cs="Arial"/>
          <w:lang w:val="fr-BE"/>
        </w:rPr>
        <w:t xml:space="preserve">, à condition que toutes les </w:t>
      </w:r>
      <w:r w:rsidR="00FE60BE">
        <w:rPr>
          <w:rFonts w:cs="Arial"/>
          <w:lang w:val="fr-BE"/>
        </w:rPr>
        <w:t xml:space="preserve">pièces </w:t>
      </w:r>
      <w:r w:rsidR="00FE60BE" w:rsidRPr="00FE60BE">
        <w:rPr>
          <w:rFonts w:cs="Arial"/>
          <w:lang w:val="fr-BE"/>
        </w:rPr>
        <w:t xml:space="preserve">justificatives </w:t>
      </w:r>
      <w:r w:rsidRPr="00FE60BE">
        <w:rPr>
          <w:rFonts w:cs="Arial"/>
          <w:lang w:val="fr-BE"/>
        </w:rPr>
        <w:t xml:space="preserve">de </w:t>
      </w:r>
      <w:r w:rsidR="00DD2E9A" w:rsidRPr="00FE60BE">
        <w:rPr>
          <w:rFonts w:cs="Arial"/>
          <w:lang w:val="fr-BE"/>
        </w:rPr>
        <w:t xml:space="preserve">la </w:t>
      </w:r>
      <w:r w:rsidRPr="00FE60BE">
        <w:rPr>
          <w:rFonts w:cs="Arial"/>
          <w:lang w:val="fr-BE"/>
        </w:rPr>
        <w:t xml:space="preserve">période du </w:t>
      </w:r>
      <w:r w:rsidR="00FE60BE" w:rsidRPr="00FE60BE">
        <w:rPr>
          <w:rFonts w:cs="Arial"/>
          <w:lang w:val="fr-BE"/>
        </w:rPr>
        <w:t>0</w:t>
      </w:r>
      <w:r w:rsidRPr="00FE60BE">
        <w:rPr>
          <w:rFonts w:cs="Arial"/>
          <w:lang w:val="fr-BE"/>
        </w:rPr>
        <w:t>1/</w:t>
      </w:r>
      <w:r w:rsidR="00FE60BE" w:rsidRPr="00FE60BE">
        <w:rPr>
          <w:rFonts w:cs="Arial"/>
          <w:lang w:val="fr-BE"/>
        </w:rPr>
        <w:t>0</w:t>
      </w:r>
      <w:r w:rsidRPr="00FE60BE">
        <w:rPr>
          <w:rFonts w:cs="Arial"/>
          <w:lang w:val="fr-BE"/>
        </w:rPr>
        <w:t>1</w:t>
      </w:r>
      <w:r w:rsidR="00FE60BE" w:rsidRPr="00FE60BE">
        <w:rPr>
          <w:rFonts w:cs="Arial"/>
          <w:lang w:val="fr-BE"/>
        </w:rPr>
        <w:t>/T</w:t>
      </w:r>
      <w:r w:rsidRPr="00FE60BE">
        <w:rPr>
          <w:rFonts w:cs="Arial"/>
          <w:lang w:val="fr-BE"/>
        </w:rPr>
        <w:t xml:space="preserve"> au 3</w:t>
      </w:r>
      <w:r w:rsidR="00FE60BE" w:rsidRPr="00FE60BE">
        <w:rPr>
          <w:rFonts w:cs="Arial"/>
          <w:lang w:val="fr-BE"/>
        </w:rPr>
        <w:t>0</w:t>
      </w:r>
      <w:r w:rsidRPr="00FE60BE">
        <w:rPr>
          <w:rFonts w:cs="Arial"/>
          <w:lang w:val="fr-BE"/>
        </w:rPr>
        <w:t>/</w:t>
      </w:r>
      <w:r w:rsidR="00FE60BE" w:rsidRPr="00FE60BE">
        <w:rPr>
          <w:rFonts w:cs="Arial"/>
          <w:lang w:val="fr-BE"/>
        </w:rPr>
        <w:t>06/T</w:t>
      </w:r>
      <w:r w:rsidRPr="00FE60BE">
        <w:rPr>
          <w:rFonts w:cs="Arial"/>
          <w:lang w:val="fr-BE"/>
        </w:rPr>
        <w:t xml:space="preserve"> </w:t>
      </w:r>
      <w:r w:rsidR="00DD2E9A" w:rsidRPr="00FE60BE">
        <w:rPr>
          <w:rFonts w:cs="Arial"/>
          <w:lang w:val="fr-BE"/>
        </w:rPr>
        <w:t>s</w:t>
      </w:r>
      <w:r w:rsidR="00BB7CE9" w:rsidRPr="00FE60BE">
        <w:rPr>
          <w:rFonts w:cs="Arial"/>
          <w:lang w:val="fr-BE"/>
        </w:rPr>
        <w:t>oient</w:t>
      </w:r>
      <w:r w:rsidR="00DD2E9A" w:rsidRPr="00FE60BE">
        <w:rPr>
          <w:rFonts w:cs="Arial"/>
          <w:lang w:val="fr-BE"/>
        </w:rPr>
        <w:t xml:space="preserve"> transmis</w:t>
      </w:r>
      <w:r w:rsidR="00BB7CE9" w:rsidRPr="00FE60BE">
        <w:rPr>
          <w:rFonts w:cs="Arial"/>
          <w:lang w:val="fr-BE"/>
        </w:rPr>
        <w:t>es</w:t>
      </w:r>
      <w:r w:rsidR="00DD2E9A" w:rsidRPr="00FE60BE">
        <w:rPr>
          <w:rFonts w:cs="Arial"/>
          <w:lang w:val="fr-BE"/>
        </w:rPr>
        <w:t xml:space="preserve"> </w:t>
      </w:r>
      <w:r w:rsidR="00FE60BE" w:rsidRPr="00FE60BE">
        <w:rPr>
          <w:rFonts w:cs="Arial"/>
          <w:lang w:val="fr-BE"/>
        </w:rPr>
        <w:t>au plus tard le 15/07/T et après vérification de ceux-ci</w:t>
      </w:r>
      <w:r w:rsidRPr="00FE60BE">
        <w:rPr>
          <w:rFonts w:cs="Arial"/>
          <w:lang w:val="fr-BE"/>
        </w:rPr>
        <w:t>;</w:t>
      </w:r>
    </w:p>
    <w:p w14:paraId="71542C61" w14:textId="018B8B74" w:rsidR="00C03A87" w:rsidRPr="00FE60BE" w:rsidRDefault="00DD2E9A" w:rsidP="00C03A87">
      <w:pPr>
        <w:pStyle w:val="ListParagraph"/>
        <w:numPr>
          <w:ilvl w:val="0"/>
          <w:numId w:val="10"/>
        </w:numPr>
        <w:rPr>
          <w:rFonts w:cs="Arial"/>
          <w:lang w:val="fr-BE"/>
        </w:rPr>
      </w:pPr>
      <w:r w:rsidRPr="00FE60BE">
        <w:rPr>
          <w:rFonts w:cs="Arial"/>
          <w:lang w:val="fr-BE"/>
        </w:rPr>
        <w:t xml:space="preserve">Une </w:t>
      </w:r>
      <w:r w:rsidR="007D5BEF" w:rsidRPr="00FE60BE">
        <w:rPr>
          <w:rFonts w:cs="Arial"/>
          <w:lang w:val="fr-BE"/>
        </w:rPr>
        <w:t xml:space="preserve">dernière </w:t>
      </w:r>
      <w:r w:rsidR="00C03A87" w:rsidRPr="00FE60BE">
        <w:rPr>
          <w:rFonts w:cs="Arial"/>
          <w:lang w:val="fr-BE"/>
        </w:rPr>
        <w:t>tranche de 10% sera versée au plus tard le 28/02/</w:t>
      </w:r>
      <w:r w:rsidR="00FE60BE" w:rsidRPr="00FE60BE">
        <w:rPr>
          <w:rFonts w:cs="Arial"/>
          <w:lang w:val="fr-BE"/>
        </w:rPr>
        <w:t>T</w:t>
      </w:r>
      <w:r w:rsidR="00F927CA">
        <w:rPr>
          <w:rFonts w:cs="Arial"/>
          <w:lang w:val="fr-BE"/>
        </w:rPr>
        <w:t>+1</w:t>
      </w:r>
      <w:r w:rsidR="00C03A87" w:rsidRPr="00FE60BE">
        <w:rPr>
          <w:rFonts w:cs="Arial"/>
          <w:lang w:val="fr-BE"/>
        </w:rPr>
        <w:t xml:space="preserve"> par l'INAMI, à condition que toutes les </w:t>
      </w:r>
      <w:r w:rsidR="00FE60BE" w:rsidRPr="00FE60BE">
        <w:rPr>
          <w:rFonts w:cs="Arial"/>
          <w:lang w:val="fr-BE"/>
        </w:rPr>
        <w:t>pièces justificatives</w:t>
      </w:r>
      <w:r w:rsidR="00C03A87" w:rsidRPr="00FE60BE">
        <w:rPr>
          <w:rFonts w:cs="Arial"/>
          <w:lang w:val="fr-BE"/>
        </w:rPr>
        <w:t xml:space="preserve"> </w:t>
      </w:r>
      <w:r w:rsidRPr="00FE60BE">
        <w:rPr>
          <w:rFonts w:cs="Arial"/>
          <w:lang w:val="fr-BE"/>
        </w:rPr>
        <w:t xml:space="preserve">de la période </w:t>
      </w:r>
      <w:r w:rsidR="00FE60BE" w:rsidRPr="00FE60BE">
        <w:rPr>
          <w:rFonts w:cs="Arial"/>
          <w:lang w:val="fr-BE"/>
        </w:rPr>
        <w:t>01/07/T</w:t>
      </w:r>
      <w:r w:rsidRPr="00FE60BE">
        <w:rPr>
          <w:rFonts w:cs="Arial"/>
          <w:lang w:val="fr-BE"/>
        </w:rPr>
        <w:t xml:space="preserve"> au 31/12</w:t>
      </w:r>
      <w:r w:rsidR="00FE60BE" w:rsidRPr="00FE60BE">
        <w:rPr>
          <w:rFonts w:cs="Arial"/>
          <w:lang w:val="fr-BE"/>
        </w:rPr>
        <w:t>/T</w:t>
      </w:r>
      <w:r w:rsidRPr="00FE60BE">
        <w:rPr>
          <w:rFonts w:cs="Arial"/>
          <w:lang w:val="fr-BE"/>
        </w:rPr>
        <w:t xml:space="preserve"> </w:t>
      </w:r>
      <w:r w:rsidR="00BB7CE9" w:rsidRPr="00FE60BE">
        <w:rPr>
          <w:rFonts w:cs="Arial"/>
          <w:lang w:val="fr-BE"/>
        </w:rPr>
        <w:t>soient transmises</w:t>
      </w:r>
      <w:r w:rsidRPr="00FE60BE">
        <w:rPr>
          <w:rFonts w:cs="Arial"/>
          <w:lang w:val="fr-BE"/>
        </w:rPr>
        <w:t xml:space="preserve"> </w:t>
      </w:r>
      <w:r w:rsidR="00FE60BE" w:rsidRPr="00FE60BE">
        <w:rPr>
          <w:rFonts w:cs="Arial"/>
          <w:lang w:val="fr-BE"/>
        </w:rPr>
        <w:t>au plus tard le 15/02/T</w:t>
      </w:r>
      <w:r w:rsidR="00F927CA">
        <w:rPr>
          <w:rFonts w:cs="Arial"/>
          <w:lang w:val="fr-BE"/>
        </w:rPr>
        <w:t>+1</w:t>
      </w:r>
      <w:r w:rsidR="00FE60BE" w:rsidRPr="00FE60BE">
        <w:rPr>
          <w:rFonts w:cs="Arial"/>
          <w:lang w:val="fr-BE"/>
        </w:rPr>
        <w:t>.</w:t>
      </w:r>
    </w:p>
    <w:p w14:paraId="18BB5E2A" w14:textId="3A074FF0" w:rsidR="00DD2E9A" w:rsidRPr="00B328AD" w:rsidRDefault="00DD2E9A" w:rsidP="00D34AED">
      <w:pPr>
        <w:rPr>
          <w:rFonts w:cs="Arial"/>
          <w:lang w:val="fr-BE"/>
        </w:rPr>
      </w:pPr>
      <w:r w:rsidRPr="000709DB">
        <w:rPr>
          <w:rFonts w:cs="Arial"/>
          <w:lang w:val="fr-BE"/>
        </w:rPr>
        <w:t xml:space="preserve">Les paiements pour les années de </w:t>
      </w:r>
      <w:r w:rsidR="00BB7CE9" w:rsidRPr="000709DB">
        <w:rPr>
          <w:rFonts w:cs="Arial"/>
          <w:lang w:val="fr-BE"/>
        </w:rPr>
        <w:t>fonctionnement suivantes</w:t>
      </w:r>
      <w:r w:rsidRPr="000709DB">
        <w:rPr>
          <w:rFonts w:cs="Arial"/>
          <w:lang w:val="fr-BE"/>
        </w:rPr>
        <w:t xml:space="preserve"> seront versés par tranches</w:t>
      </w:r>
      <w:r w:rsidR="00BB7CE9" w:rsidRPr="000709DB">
        <w:rPr>
          <w:rFonts w:cs="Arial"/>
          <w:lang w:val="fr-BE"/>
        </w:rPr>
        <w:t xml:space="preserve"> selon un schéma analogue</w:t>
      </w:r>
      <w:r w:rsidRPr="000709DB">
        <w:rPr>
          <w:rFonts w:cs="Arial"/>
          <w:lang w:val="fr-BE"/>
        </w:rPr>
        <w:t>.</w:t>
      </w:r>
      <w:r w:rsidRPr="00B328AD">
        <w:rPr>
          <w:rFonts w:cs="Arial"/>
          <w:lang w:val="fr-BE"/>
        </w:rPr>
        <w:t xml:space="preserve"> </w:t>
      </w:r>
    </w:p>
    <w:p w14:paraId="2842840F" w14:textId="51AC3E61" w:rsidR="00DD2E9A" w:rsidRPr="00B328AD" w:rsidRDefault="00DD2E9A" w:rsidP="00D34AED">
      <w:pPr>
        <w:rPr>
          <w:rFonts w:cs="Arial"/>
          <w:lang w:val="fr-BE"/>
        </w:rPr>
      </w:pPr>
      <w:r w:rsidRPr="00B328AD">
        <w:rPr>
          <w:rFonts w:cs="Arial"/>
          <w:lang w:val="fr-BE"/>
        </w:rPr>
        <w:t xml:space="preserve">Les pièces justificatives, </w:t>
      </w:r>
      <w:r w:rsidR="00BB7CE9" w:rsidRPr="007D5BEF">
        <w:rPr>
          <w:rFonts w:cs="Arial"/>
          <w:lang w:val="fr-BE"/>
        </w:rPr>
        <w:t xml:space="preserve">telles que </w:t>
      </w:r>
      <w:r w:rsidRPr="007D5BEF">
        <w:rPr>
          <w:rFonts w:cs="Arial"/>
          <w:lang w:val="fr-BE"/>
        </w:rPr>
        <w:t>décrit</w:t>
      </w:r>
      <w:r w:rsidR="00BB7CE9" w:rsidRPr="007D5BEF">
        <w:rPr>
          <w:rFonts w:cs="Arial"/>
          <w:lang w:val="fr-BE"/>
        </w:rPr>
        <w:t>es</w:t>
      </w:r>
      <w:r w:rsidRPr="007D5BEF">
        <w:rPr>
          <w:rFonts w:cs="Arial"/>
          <w:lang w:val="fr-BE"/>
        </w:rPr>
        <w:t xml:space="preserve"> </w:t>
      </w:r>
      <w:r w:rsidR="000709DB" w:rsidRPr="007D5BEF">
        <w:rPr>
          <w:rFonts w:cs="Arial"/>
          <w:lang w:val="fr-BE"/>
        </w:rPr>
        <w:t>dans</w:t>
      </w:r>
      <w:r w:rsidRPr="007D5BEF">
        <w:rPr>
          <w:rFonts w:cs="Arial"/>
          <w:lang w:val="fr-BE"/>
        </w:rPr>
        <w:t xml:space="preserve"> l’</w:t>
      </w:r>
      <w:r w:rsidR="00855B72">
        <w:rPr>
          <w:rFonts w:cs="Arial"/>
          <w:lang w:val="fr-BE"/>
        </w:rPr>
        <w:t>a</w:t>
      </w:r>
      <w:r w:rsidRPr="007D5BEF">
        <w:rPr>
          <w:rFonts w:cs="Arial"/>
          <w:lang w:val="fr-BE"/>
        </w:rPr>
        <w:t xml:space="preserve">rrêté </w:t>
      </w:r>
      <w:r w:rsidR="00855B72">
        <w:rPr>
          <w:rFonts w:cs="Arial"/>
          <w:lang w:val="fr-BE"/>
        </w:rPr>
        <w:t>r</w:t>
      </w:r>
      <w:r w:rsidRPr="007D5BEF">
        <w:rPr>
          <w:rFonts w:cs="Arial"/>
          <w:lang w:val="fr-BE"/>
        </w:rPr>
        <w:t>oyal</w:t>
      </w:r>
      <w:r w:rsidR="00BB7CE9" w:rsidRPr="007D5BEF">
        <w:rPr>
          <w:rFonts w:cs="Arial"/>
          <w:lang w:val="fr-BE"/>
        </w:rPr>
        <w:t xml:space="preserve"> du </w:t>
      </w:r>
      <w:r w:rsidR="00855B72">
        <w:rPr>
          <w:lang w:val="fr-BE"/>
        </w:rPr>
        <w:t>21 septembre 2025</w:t>
      </w:r>
      <w:r w:rsidRPr="00B328AD">
        <w:rPr>
          <w:rFonts w:cs="Arial"/>
          <w:lang w:val="fr-BE"/>
        </w:rPr>
        <w:t>, doi</w:t>
      </w:r>
      <w:r w:rsidR="00BB7CE9">
        <w:rPr>
          <w:rFonts w:cs="Arial"/>
          <w:lang w:val="fr-BE"/>
        </w:rPr>
        <w:t>ven</w:t>
      </w:r>
      <w:r w:rsidRPr="00B328AD">
        <w:rPr>
          <w:rFonts w:cs="Arial"/>
          <w:lang w:val="fr-BE"/>
        </w:rPr>
        <w:t>t être classée</w:t>
      </w:r>
      <w:r w:rsidR="00BB7CE9">
        <w:rPr>
          <w:rFonts w:cs="Arial"/>
          <w:lang w:val="fr-BE"/>
        </w:rPr>
        <w:t>s</w:t>
      </w:r>
      <w:r w:rsidRPr="00B328AD">
        <w:rPr>
          <w:rFonts w:cs="Arial"/>
          <w:lang w:val="fr-BE"/>
        </w:rPr>
        <w:t xml:space="preserve"> par rubrique et elles doivent être repris</w:t>
      </w:r>
      <w:r w:rsidR="00BB7CE9">
        <w:rPr>
          <w:rFonts w:cs="Arial"/>
          <w:lang w:val="fr-BE"/>
        </w:rPr>
        <w:t xml:space="preserve">es </w:t>
      </w:r>
      <w:r w:rsidRPr="00B328AD">
        <w:rPr>
          <w:rFonts w:cs="Arial"/>
          <w:lang w:val="fr-BE"/>
        </w:rPr>
        <w:t xml:space="preserve">dans une liste détaillée. Un </w:t>
      </w:r>
      <w:r w:rsidR="000A1558">
        <w:rPr>
          <w:rFonts w:cs="Arial"/>
          <w:lang w:val="fr-BE"/>
        </w:rPr>
        <w:t xml:space="preserve">modèle auquel doit répondre </w:t>
      </w:r>
      <w:r w:rsidRPr="00B328AD">
        <w:rPr>
          <w:rFonts w:cs="Arial"/>
          <w:lang w:val="fr-BE"/>
        </w:rPr>
        <w:t>un rapport financi</w:t>
      </w:r>
      <w:r w:rsidR="000A1558">
        <w:rPr>
          <w:rFonts w:cs="Arial"/>
          <w:lang w:val="fr-BE"/>
        </w:rPr>
        <w:t>er</w:t>
      </w:r>
      <w:r w:rsidRPr="00B328AD">
        <w:rPr>
          <w:rFonts w:cs="Arial"/>
          <w:lang w:val="fr-BE"/>
        </w:rPr>
        <w:t xml:space="preserve"> e</w:t>
      </w:r>
      <w:r w:rsidR="000A1558">
        <w:rPr>
          <w:rFonts w:cs="Arial"/>
          <w:lang w:val="fr-BE"/>
        </w:rPr>
        <w:t>s</w:t>
      </w:r>
      <w:r w:rsidRPr="00B328AD">
        <w:rPr>
          <w:rFonts w:cs="Arial"/>
          <w:lang w:val="fr-BE"/>
        </w:rPr>
        <w:t xml:space="preserve">t repris en annexe 1 de cette convention. Un manuel pour la préparation d'un rapport financier est inclus dans l'annexe 2. </w:t>
      </w:r>
    </w:p>
    <w:p w14:paraId="01E716B8" w14:textId="77777777" w:rsidR="00DD2E9A" w:rsidRPr="00B328AD" w:rsidRDefault="00DD2E9A" w:rsidP="00D34AED">
      <w:pPr>
        <w:rPr>
          <w:rFonts w:cs="Arial"/>
          <w:lang w:val="fr-BE"/>
        </w:rPr>
      </w:pPr>
      <w:r w:rsidRPr="00B328AD">
        <w:rPr>
          <w:rFonts w:cs="Arial"/>
          <w:lang w:val="fr-BE"/>
        </w:rPr>
        <w:t xml:space="preserve">Sur base des avances payées et des preuves, l’INAMI effectuera le décompte final de l’année de fonctionnement écoulée. Les paiements éventuels seront réglés avec la mention « Convention CPVS INAMI – </w:t>
      </w:r>
      <w:r w:rsidRPr="00B328AD">
        <w:rPr>
          <w:rFonts w:cs="Arial"/>
          <w:i/>
          <w:iCs/>
          <w:lang w:val="fr-BE"/>
        </w:rPr>
        <w:t>nom de l'hôpital – année comptable</w:t>
      </w:r>
      <w:r w:rsidRPr="00B328AD">
        <w:rPr>
          <w:rFonts w:cs="Arial"/>
          <w:lang w:val="fr-BE"/>
        </w:rPr>
        <w:t xml:space="preserve"> - décompte ». </w:t>
      </w:r>
    </w:p>
    <w:p w14:paraId="64ADE8BA" w14:textId="722A20DF" w:rsidR="00DD2E9A" w:rsidRPr="00B328AD" w:rsidRDefault="00DD2E9A" w:rsidP="00D34AED">
      <w:pPr>
        <w:rPr>
          <w:rFonts w:cs="Arial"/>
          <w:b/>
          <w:bCs/>
          <w:u w:val="single"/>
          <w:lang w:val="fr-BE"/>
        </w:rPr>
      </w:pPr>
      <w:r w:rsidRPr="00B328AD">
        <w:rPr>
          <w:rFonts w:cs="Arial"/>
          <w:lang w:val="fr-BE"/>
        </w:rPr>
        <w:t xml:space="preserve">Les </w:t>
      </w:r>
      <w:r w:rsidR="00883A98">
        <w:rPr>
          <w:rFonts w:cs="Arial"/>
          <w:lang w:val="fr-BE"/>
        </w:rPr>
        <w:t xml:space="preserve">éventuels </w:t>
      </w:r>
      <w:r w:rsidRPr="00B328AD">
        <w:rPr>
          <w:rFonts w:cs="Arial"/>
          <w:lang w:val="fr-BE"/>
        </w:rPr>
        <w:t>remboursements par l</w:t>
      </w:r>
      <w:r w:rsidR="00883A98">
        <w:rPr>
          <w:rFonts w:cs="Arial"/>
          <w:lang w:val="fr-BE"/>
        </w:rPr>
        <w:t>a structure</w:t>
      </w:r>
      <w:r w:rsidRPr="00B328AD">
        <w:rPr>
          <w:rFonts w:cs="Arial"/>
          <w:lang w:val="fr-BE"/>
        </w:rPr>
        <w:t xml:space="preserve"> </w:t>
      </w:r>
      <w:r w:rsidR="000A1558">
        <w:rPr>
          <w:rFonts w:cs="Arial"/>
          <w:lang w:val="fr-BE"/>
        </w:rPr>
        <w:t>CPVS</w:t>
      </w:r>
      <w:r w:rsidRPr="00B328AD">
        <w:rPr>
          <w:rFonts w:cs="Arial"/>
          <w:lang w:val="fr-BE"/>
        </w:rPr>
        <w:t xml:space="preserve"> </w:t>
      </w:r>
      <w:r w:rsidR="00883A98">
        <w:rPr>
          <w:rFonts w:cs="Arial"/>
          <w:lang w:val="fr-BE"/>
        </w:rPr>
        <w:t xml:space="preserve">– en application des dispositions ci-dessus – pour </w:t>
      </w:r>
      <w:r w:rsidR="00C044CE">
        <w:rPr>
          <w:rFonts w:cs="Arial"/>
          <w:lang w:val="fr-BE"/>
        </w:rPr>
        <w:t>autant</w:t>
      </w:r>
      <w:r w:rsidR="00883A98">
        <w:rPr>
          <w:rFonts w:cs="Arial"/>
          <w:lang w:val="fr-BE"/>
        </w:rPr>
        <w:t xml:space="preserve"> qu’ils ne puissent être compensés par les avances payées, sont effectués </w:t>
      </w:r>
      <w:r w:rsidRPr="00B328AD">
        <w:rPr>
          <w:rFonts w:cs="Arial"/>
          <w:lang w:val="fr-BE"/>
        </w:rPr>
        <w:t>par virement dans les deux semaines suivant la date du décompte</w:t>
      </w:r>
      <w:r w:rsidR="00883A98">
        <w:rPr>
          <w:rFonts w:cs="Arial"/>
          <w:lang w:val="fr-BE"/>
        </w:rPr>
        <w:t>,</w:t>
      </w:r>
      <w:r w:rsidRPr="00B328AD">
        <w:rPr>
          <w:rFonts w:cs="Arial"/>
          <w:lang w:val="fr-BE"/>
        </w:rPr>
        <w:t xml:space="preserve"> sur le numéro de compte de l’INAMI portant les références IBAN : BE84 6790 2621 5359, BIC PCHQBEBB et avec le libellé “CONVENTION CPVS INAMI – </w:t>
      </w:r>
      <w:r w:rsidRPr="00B328AD">
        <w:rPr>
          <w:rFonts w:cs="Arial"/>
          <w:i/>
          <w:iCs/>
          <w:lang w:val="fr-BE"/>
        </w:rPr>
        <w:t>nom de l’hôpital – année</w:t>
      </w:r>
      <w:r w:rsidRPr="00B328AD">
        <w:rPr>
          <w:rFonts w:cs="Arial"/>
          <w:lang w:val="fr-BE"/>
        </w:rPr>
        <w:t xml:space="preserve"> </w:t>
      </w:r>
      <w:r w:rsidRPr="00B328AD">
        <w:rPr>
          <w:rFonts w:cs="Arial"/>
          <w:i/>
          <w:iCs/>
          <w:lang w:val="fr-BE"/>
        </w:rPr>
        <w:t>comptable</w:t>
      </w:r>
      <w:r w:rsidRPr="00B328AD">
        <w:rPr>
          <w:rFonts w:cs="Arial"/>
          <w:lang w:val="fr-BE"/>
        </w:rPr>
        <w:t xml:space="preserve"> - décompte”.</w:t>
      </w:r>
      <w:r w:rsidRPr="00B328AD">
        <w:rPr>
          <w:rFonts w:cs="Arial"/>
          <w:b/>
          <w:bCs/>
          <w:u w:val="single"/>
          <w:lang w:val="fr-BE"/>
        </w:rPr>
        <w:t xml:space="preserve">  </w:t>
      </w:r>
    </w:p>
    <w:p w14:paraId="71E8177B" w14:textId="1AAC83C2" w:rsidR="002F35C8" w:rsidRPr="00B328AD" w:rsidRDefault="00B466C1" w:rsidP="00DD5258">
      <w:pPr>
        <w:spacing w:before="240"/>
        <w:rPr>
          <w:b/>
          <w:bCs/>
          <w:u w:val="single"/>
          <w:lang w:val="fr-BE"/>
        </w:rPr>
      </w:pPr>
      <w:r w:rsidRPr="00B328AD">
        <w:rPr>
          <w:b/>
          <w:bCs/>
          <w:u w:val="single"/>
          <w:lang w:val="fr-BE"/>
        </w:rPr>
        <w:t>Durée de la convention</w:t>
      </w:r>
    </w:p>
    <w:p w14:paraId="4B0DBD89" w14:textId="2D59DAEB" w:rsidR="002F6349" w:rsidRPr="00B328AD" w:rsidRDefault="002F35C8" w:rsidP="00D34AED">
      <w:pPr>
        <w:rPr>
          <w:lang w:val="fr-BE"/>
        </w:rPr>
      </w:pPr>
      <w:r w:rsidRPr="00B328AD">
        <w:rPr>
          <w:b/>
          <w:bCs/>
          <w:lang w:val="fr-BE"/>
        </w:rPr>
        <w:t>Art</w:t>
      </w:r>
      <w:r w:rsidR="002F6349" w:rsidRPr="00B328AD">
        <w:rPr>
          <w:b/>
          <w:bCs/>
          <w:lang w:val="fr-BE"/>
        </w:rPr>
        <w:t>.</w:t>
      </w:r>
      <w:r w:rsidRPr="00B328AD">
        <w:rPr>
          <w:b/>
          <w:bCs/>
          <w:lang w:val="fr-BE"/>
        </w:rPr>
        <w:t xml:space="preserve"> </w:t>
      </w:r>
      <w:r w:rsidR="00C74DFC">
        <w:rPr>
          <w:b/>
          <w:bCs/>
          <w:lang w:val="fr-BE"/>
        </w:rPr>
        <w:t>8</w:t>
      </w:r>
      <w:r w:rsidRPr="00B328AD">
        <w:rPr>
          <w:b/>
          <w:bCs/>
          <w:lang w:val="fr-BE"/>
        </w:rPr>
        <w:t>.</w:t>
      </w:r>
      <w:r w:rsidR="002F6349" w:rsidRPr="00B328AD">
        <w:rPr>
          <w:lang w:val="fr-BE"/>
        </w:rPr>
        <w:t xml:space="preserve"> </w:t>
      </w:r>
    </w:p>
    <w:p w14:paraId="10D49096" w14:textId="095C578A" w:rsidR="00B466C1" w:rsidRPr="00B328AD" w:rsidRDefault="00B466C1" w:rsidP="00D34AED">
      <w:pPr>
        <w:rPr>
          <w:lang w:val="fr-BE"/>
        </w:rPr>
      </w:pPr>
      <w:r w:rsidRPr="00B328AD">
        <w:rPr>
          <w:lang w:val="fr-BE"/>
        </w:rPr>
        <w:t>Cette convention couvre la période du 1er janvier 2026 au 31 décembre 20</w:t>
      </w:r>
      <w:r w:rsidR="004A787F">
        <w:rPr>
          <w:lang w:val="fr-BE"/>
        </w:rPr>
        <w:t>30</w:t>
      </w:r>
      <w:r w:rsidRPr="00B328AD">
        <w:rPr>
          <w:lang w:val="fr-BE"/>
        </w:rPr>
        <w:t xml:space="preserve">. </w:t>
      </w:r>
    </w:p>
    <w:p w14:paraId="71A5AFA4" w14:textId="77777777" w:rsidR="00B328AD" w:rsidRDefault="00B328AD" w:rsidP="00DD5258">
      <w:pPr>
        <w:spacing w:before="240"/>
        <w:rPr>
          <w:b/>
          <w:bCs/>
          <w:u w:val="single"/>
          <w:lang w:val="fr-BE"/>
        </w:rPr>
      </w:pPr>
      <w:r w:rsidRPr="00DD5258">
        <w:rPr>
          <w:b/>
          <w:bCs/>
          <w:u w:val="single"/>
          <w:lang w:val="fr-BE"/>
        </w:rPr>
        <w:t>Conditions</w:t>
      </w:r>
      <w:r w:rsidRPr="00B328AD">
        <w:rPr>
          <w:b/>
          <w:bCs/>
          <w:u w:val="single"/>
          <w:lang w:val="fr-FR"/>
        </w:rPr>
        <w:t xml:space="preserve"> de résiliation de la convention</w:t>
      </w:r>
      <w:r w:rsidRPr="00B328AD">
        <w:rPr>
          <w:b/>
          <w:bCs/>
          <w:u w:val="single"/>
          <w:lang w:val="fr-BE"/>
        </w:rPr>
        <w:t xml:space="preserve"> </w:t>
      </w:r>
    </w:p>
    <w:p w14:paraId="12D3AC04" w14:textId="3413D15C" w:rsidR="002F6349" w:rsidRPr="00B328AD" w:rsidRDefault="002F35C8" w:rsidP="00D34AED">
      <w:pPr>
        <w:rPr>
          <w:b/>
          <w:bCs/>
          <w:lang w:val="fr-BE"/>
        </w:rPr>
      </w:pPr>
      <w:r w:rsidRPr="00B328AD">
        <w:rPr>
          <w:b/>
          <w:bCs/>
          <w:lang w:val="fr-BE"/>
        </w:rPr>
        <w:t>Art</w:t>
      </w:r>
      <w:r w:rsidR="002F6349" w:rsidRPr="00B328AD">
        <w:rPr>
          <w:b/>
          <w:bCs/>
          <w:lang w:val="fr-BE"/>
        </w:rPr>
        <w:t xml:space="preserve">. </w:t>
      </w:r>
      <w:r w:rsidR="00C74DFC">
        <w:rPr>
          <w:b/>
          <w:bCs/>
          <w:lang w:val="fr-BE"/>
        </w:rPr>
        <w:t>9</w:t>
      </w:r>
      <w:r w:rsidRPr="00B328AD">
        <w:rPr>
          <w:b/>
          <w:bCs/>
          <w:lang w:val="fr-BE"/>
        </w:rPr>
        <w:t>.</w:t>
      </w:r>
      <w:r w:rsidR="002F6349" w:rsidRPr="00B328AD">
        <w:rPr>
          <w:b/>
          <w:bCs/>
          <w:lang w:val="fr-BE"/>
        </w:rPr>
        <w:t xml:space="preserve"> </w:t>
      </w:r>
    </w:p>
    <w:p w14:paraId="33F23227" w14:textId="14A0F60D" w:rsidR="00953009" w:rsidRDefault="00B466C1" w:rsidP="00D34AED">
      <w:pPr>
        <w:rPr>
          <w:rFonts w:cs="Arial"/>
          <w:color w:val="000000" w:themeColor="text1"/>
          <w:lang w:val="fr-BE"/>
        </w:rPr>
      </w:pPr>
      <w:r w:rsidRPr="00B328AD">
        <w:rPr>
          <w:rFonts w:cs="Arial"/>
          <w:color w:val="000000" w:themeColor="text1"/>
          <w:lang w:val="fr-BE"/>
        </w:rPr>
        <w:t xml:space="preserve">Cette convention peut être résiliée à tout moment par l'une des parties, à condition qu'une lettre recommandée et motivée soit envoyée à l'autre partie. Le délai de préavis prend cours </w:t>
      </w:r>
      <w:r w:rsidR="00883A98" w:rsidRPr="00B328AD">
        <w:rPr>
          <w:rFonts w:cs="Arial"/>
          <w:color w:val="000000" w:themeColor="text1"/>
          <w:lang w:val="fr-BE"/>
        </w:rPr>
        <w:t>le premier jour</w:t>
      </w:r>
      <w:r w:rsidRPr="00B328AD">
        <w:rPr>
          <w:rFonts w:cs="Arial"/>
          <w:color w:val="000000" w:themeColor="text1"/>
          <w:lang w:val="fr-BE"/>
        </w:rPr>
        <w:t xml:space="preserve"> du mois suivant la date d'envoi de la lettre recommandée. Lors de la résiliation, </w:t>
      </w:r>
      <w:r w:rsidR="00040F77">
        <w:rPr>
          <w:rFonts w:cs="Arial"/>
          <w:color w:val="000000" w:themeColor="text1"/>
          <w:lang w:val="fr-BE"/>
        </w:rPr>
        <w:t>la</w:t>
      </w:r>
      <w:r w:rsidRPr="00B328AD">
        <w:rPr>
          <w:rFonts w:cs="Arial"/>
          <w:color w:val="000000" w:themeColor="text1"/>
          <w:lang w:val="fr-BE"/>
        </w:rPr>
        <w:t xml:space="preserve"> </w:t>
      </w:r>
      <w:r w:rsidR="00040F77">
        <w:rPr>
          <w:rFonts w:cs="Arial"/>
          <w:color w:val="000000" w:themeColor="text1"/>
          <w:lang w:val="fr-BE"/>
        </w:rPr>
        <w:t xml:space="preserve"> structure CPVS </w:t>
      </w:r>
      <w:r w:rsidRPr="00B328AD">
        <w:rPr>
          <w:rFonts w:cs="Arial"/>
          <w:color w:val="000000" w:themeColor="text1"/>
          <w:lang w:val="fr-BE"/>
        </w:rPr>
        <w:t>doit immédiatement soumettre un rapport d'activités détaillé ainsi qu'un rapport financier détaillé.</w:t>
      </w:r>
    </w:p>
    <w:p w14:paraId="37846236" w14:textId="77777777" w:rsidR="00AA6257" w:rsidRDefault="00AA6257" w:rsidP="00D34AED">
      <w:pPr>
        <w:rPr>
          <w:rFonts w:cs="Arial"/>
          <w:color w:val="000000" w:themeColor="text1"/>
          <w:lang w:val="fr-BE"/>
        </w:rPr>
      </w:pPr>
    </w:p>
    <w:p w14:paraId="7FB68E91" w14:textId="77777777" w:rsidR="00AA6257" w:rsidRPr="00B328AD" w:rsidRDefault="00AA6257" w:rsidP="00D34AED">
      <w:pPr>
        <w:rPr>
          <w:rFonts w:cs="Arial"/>
          <w:color w:val="000000" w:themeColor="text1"/>
          <w:lang w:val="fr-BE"/>
        </w:rPr>
      </w:pPr>
    </w:p>
    <w:p w14:paraId="6DC25A95" w14:textId="40FC481B" w:rsidR="002F35C8" w:rsidRPr="00B328AD" w:rsidRDefault="00B466C1" w:rsidP="00DD5258">
      <w:pPr>
        <w:spacing w:before="240"/>
        <w:rPr>
          <w:b/>
          <w:bCs/>
          <w:u w:val="single"/>
          <w:lang w:val="fr-BE"/>
        </w:rPr>
      </w:pPr>
      <w:r w:rsidRPr="00B328AD">
        <w:rPr>
          <w:b/>
          <w:bCs/>
          <w:u w:val="single"/>
          <w:lang w:val="fr-BE"/>
        </w:rPr>
        <w:lastRenderedPageBreak/>
        <w:t>Compétence</w:t>
      </w:r>
    </w:p>
    <w:p w14:paraId="03F3D0B0" w14:textId="1123AF03" w:rsidR="002F6349" w:rsidRPr="00B328AD" w:rsidRDefault="002F35C8" w:rsidP="00D34AED">
      <w:pPr>
        <w:rPr>
          <w:b/>
          <w:bCs/>
          <w:lang w:val="fr-BE"/>
        </w:rPr>
      </w:pPr>
      <w:r w:rsidRPr="00B328AD">
        <w:rPr>
          <w:b/>
          <w:bCs/>
          <w:lang w:val="fr-BE"/>
        </w:rPr>
        <w:t>Art</w:t>
      </w:r>
      <w:r w:rsidR="002F6349" w:rsidRPr="00B328AD">
        <w:rPr>
          <w:b/>
          <w:bCs/>
          <w:lang w:val="fr-BE"/>
        </w:rPr>
        <w:t>.</w:t>
      </w:r>
      <w:r w:rsidRPr="00B328AD">
        <w:rPr>
          <w:b/>
          <w:bCs/>
          <w:lang w:val="fr-BE"/>
        </w:rPr>
        <w:t xml:space="preserve"> </w:t>
      </w:r>
      <w:r w:rsidR="00C74DFC">
        <w:rPr>
          <w:b/>
          <w:bCs/>
          <w:lang w:val="fr-BE"/>
        </w:rPr>
        <w:t>10</w:t>
      </w:r>
      <w:r w:rsidRPr="00B328AD">
        <w:rPr>
          <w:b/>
          <w:bCs/>
          <w:lang w:val="fr-BE"/>
        </w:rPr>
        <w:t>.</w:t>
      </w:r>
      <w:r w:rsidR="002F6349" w:rsidRPr="00B328AD">
        <w:rPr>
          <w:b/>
          <w:bCs/>
          <w:lang w:val="fr-BE"/>
        </w:rPr>
        <w:t xml:space="preserve"> </w:t>
      </w:r>
    </w:p>
    <w:p w14:paraId="07F01226" w14:textId="3FFF529F" w:rsidR="00491BA8" w:rsidRPr="00B328AD" w:rsidRDefault="001950F8" w:rsidP="00D34AED">
      <w:pPr>
        <w:rPr>
          <w:lang w:val="fr-BE"/>
        </w:rPr>
      </w:pPr>
      <w:r w:rsidRPr="00BF6801">
        <w:rPr>
          <w:rFonts w:eastAsia="Calibri"/>
          <w:lang w:val="fr-FR"/>
        </w:rPr>
        <w:t>Tout litige entre les parties concernant la présente convention est soumis à la compétence exclusive des tribunaux de Bruxelles.</w:t>
      </w:r>
    </w:p>
    <w:p w14:paraId="7AC6D14B" w14:textId="77777777" w:rsidR="00B466C1" w:rsidRPr="00B328AD" w:rsidRDefault="00B466C1" w:rsidP="00D34AED">
      <w:pPr>
        <w:rPr>
          <w:lang w:val="fr-BE"/>
        </w:rPr>
      </w:pPr>
    </w:p>
    <w:p w14:paraId="4CB0C897" w14:textId="7D78E774" w:rsidR="002F35C8" w:rsidRPr="00B328AD" w:rsidRDefault="00B466C1" w:rsidP="00D34AED">
      <w:pPr>
        <w:rPr>
          <w:lang w:val="fr-BE"/>
        </w:rPr>
      </w:pPr>
      <w:r w:rsidRPr="00B328AD">
        <w:rPr>
          <w:lang w:val="fr-BE"/>
        </w:rPr>
        <w:t>Fait en 2 exemplaires originaux à Bruxelles</w:t>
      </w:r>
      <w:r w:rsidR="002F35C8" w:rsidRPr="00B328AD">
        <w:rPr>
          <w:lang w:val="fr-BE"/>
        </w:rPr>
        <w:t xml:space="preserve">, </w:t>
      </w:r>
      <w:r w:rsidRPr="00B328AD">
        <w:rPr>
          <w:lang w:val="fr-BE"/>
        </w:rPr>
        <w:t>en</w:t>
      </w:r>
      <w:r w:rsidR="002F35C8" w:rsidRPr="00B328AD">
        <w:rPr>
          <w:lang w:val="fr-BE"/>
        </w:rPr>
        <w:t xml:space="preserve"> ………….</w:t>
      </w:r>
    </w:p>
    <w:p w14:paraId="338A2990" w14:textId="77777777" w:rsidR="002F35C8" w:rsidRPr="00B328AD" w:rsidRDefault="002F35C8" w:rsidP="00D34AED">
      <w:pPr>
        <w:rPr>
          <w:lang w:val="fr-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F35C8" w:rsidRPr="002C5C43" w14:paraId="3F80403C" w14:textId="77777777" w:rsidTr="002F6349">
        <w:tc>
          <w:tcPr>
            <w:tcW w:w="4675" w:type="dxa"/>
          </w:tcPr>
          <w:p w14:paraId="664EB7D9" w14:textId="0B3AC217" w:rsidR="002F35C8" w:rsidRPr="00B328AD" w:rsidRDefault="00B466C1" w:rsidP="00B466C1">
            <w:pPr>
              <w:ind w:left="-110" w:right="888"/>
              <w:rPr>
                <w:lang w:val="fr-BE"/>
              </w:rPr>
            </w:pPr>
            <w:r w:rsidRPr="00B328AD">
              <w:rPr>
                <w:lang w:val="fr-BE"/>
              </w:rPr>
              <w:t>Pour le Service Soins de Santé de l’INAMI</w:t>
            </w:r>
          </w:p>
          <w:p w14:paraId="340AC44A" w14:textId="77777777" w:rsidR="002F35C8" w:rsidRPr="00B328AD" w:rsidRDefault="002F35C8" w:rsidP="002F35C8">
            <w:pPr>
              <w:ind w:right="888"/>
              <w:rPr>
                <w:lang w:val="fr-BE"/>
              </w:rPr>
            </w:pPr>
          </w:p>
          <w:p w14:paraId="0BE79BC7" w14:textId="77777777" w:rsidR="002F35C8" w:rsidRPr="00B328AD" w:rsidRDefault="002F35C8" w:rsidP="002F35C8">
            <w:pPr>
              <w:ind w:right="888"/>
              <w:rPr>
                <w:lang w:val="fr-BE"/>
              </w:rPr>
            </w:pPr>
          </w:p>
          <w:p w14:paraId="0E7E195A" w14:textId="34DFCBEC" w:rsidR="002F35C8" w:rsidRPr="00B328AD" w:rsidRDefault="002F35C8" w:rsidP="00B466C1">
            <w:pPr>
              <w:ind w:left="-110" w:right="888"/>
              <w:rPr>
                <w:lang w:val="fr-BE"/>
              </w:rPr>
            </w:pPr>
            <w:r w:rsidRPr="00B328AD">
              <w:rPr>
                <w:lang w:val="fr-BE"/>
              </w:rPr>
              <w:t>Mickael Daubie</w:t>
            </w:r>
          </w:p>
          <w:p w14:paraId="5A90A76B" w14:textId="101FF69E" w:rsidR="00B466C1" w:rsidRPr="00B328AD" w:rsidRDefault="00B7010D" w:rsidP="00B466C1">
            <w:pPr>
              <w:ind w:left="-110" w:right="888"/>
              <w:rPr>
                <w:lang w:val="fr-BE"/>
              </w:rPr>
            </w:pPr>
            <w:r w:rsidRPr="00B328AD">
              <w:rPr>
                <w:lang w:val="fr-BE"/>
              </w:rPr>
              <w:t>Directeur général</w:t>
            </w:r>
          </w:p>
        </w:tc>
        <w:tc>
          <w:tcPr>
            <w:tcW w:w="4675" w:type="dxa"/>
          </w:tcPr>
          <w:p w14:paraId="18E7A84D" w14:textId="64C6B420" w:rsidR="002F35C8" w:rsidRPr="00B328AD" w:rsidRDefault="00B466C1" w:rsidP="00D34AED">
            <w:pPr>
              <w:rPr>
                <w:lang w:val="fr-BE"/>
              </w:rPr>
            </w:pPr>
            <w:r w:rsidRPr="00B328AD">
              <w:rPr>
                <w:lang w:val="fr-BE"/>
              </w:rPr>
              <w:t xml:space="preserve">Pour l’hôpital </w:t>
            </w:r>
            <w:r w:rsidR="002F35C8" w:rsidRPr="00B328AD">
              <w:rPr>
                <w:highlight w:val="yellow"/>
                <w:lang w:val="fr-BE"/>
              </w:rPr>
              <w:t>“NAAM”</w:t>
            </w:r>
          </w:p>
          <w:p w14:paraId="7C99B3C5" w14:textId="77777777" w:rsidR="002F35C8" w:rsidRPr="00B328AD" w:rsidRDefault="002F35C8" w:rsidP="00D34AED">
            <w:pPr>
              <w:rPr>
                <w:lang w:val="fr-BE"/>
              </w:rPr>
            </w:pPr>
          </w:p>
          <w:p w14:paraId="2188D1D6" w14:textId="77777777" w:rsidR="002F35C8" w:rsidRPr="00B328AD" w:rsidRDefault="002F35C8" w:rsidP="00D34AED">
            <w:pPr>
              <w:rPr>
                <w:lang w:val="fr-BE"/>
              </w:rPr>
            </w:pPr>
          </w:p>
          <w:p w14:paraId="684F5D7C" w14:textId="77777777" w:rsidR="002F35C8" w:rsidRPr="00B328AD" w:rsidRDefault="002F35C8" w:rsidP="00D34AED">
            <w:pPr>
              <w:rPr>
                <w:lang w:val="fr-BE"/>
              </w:rPr>
            </w:pPr>
          </w:p>
          <w:p w14:paraId="7A73974C" w14:textId="4A141633" w:rsidR="002F35C8" w:rsidRPr="00B328AD" w:rsidRDefault="002F35C8" w:rsidP="00D34AED">
            <w:pPr>
              <w:rPr>
                <w:lang w:val="fr-BE"/>
              </w:rPr>
            </w:pPr>
            <w:r w:rsidRPr="00B328AD">
              <w:rPr>
                <w:highlight w:val="yellow"/>
                <w:lang w:val="fr-BE"/>
              </w:rPr>
              <w:t>N</w:t>
            </w:r>
            <w:r w:rsidR="00B466C1" w:rsidRPr="00B328AD">
              <w:rPr>
                <w:highlight w:val="yellow"/>
                <w:lang w:val="fr-BE"/>
              </w:rPr>
              <w:t xml:space="preserve">om </w:t>
            </w:r>
            <w:proofErr w:type="spellStart"/>
            <w:r w:rsidR="00B466C1" w:rsidRPr="00B328AD">
              <w:rPr>
                <w:highlight w:val="yellow"/>
                <w:lang w:val="fr-BE"/>
              </w:rPr>
              <w:t>résponsable</w:t>
            </w:r>
            <w:proofErr w:type="spellEnd"/>
          </w:p>
        </w:tc>
      </w:tr>
    </w:tbl>
    <w:p w14:paraId="7996D92A" w14:textId="77777777" w:rsidR="00E6088D" w:rsidRDefault="00E6088D" w:rsidP="00D34AED">
      <w:pPr>
        <w:rPr>
          <w:lang w:val="fr-BE"/>
        </w:rPr>
        <w:sectPr w:rsidR="00E6088D" w:rsidSect="00D34AED">
          <w:pgSz w:w="12240" w:h="15840"/>
          <w:pgMar w:top="1440" w:right="1440" w:bottom="1440" w:left="1440" w:header="708" w:footer="708" w:gutter="0"/>
          <w:cols w:space="708"/>
          <w:docGrid w:linePitch="360"/>
        </w:sectPr>
      </w:pPr>
    </w:p>
    <w:p w14:paraId="2103F837" w14:textId="027F5756" w:rsidR="002F35C8" w:rsidRPr="00E6088D" w:rsidRDefault="00E6088D" w:rsidP="00D34AED">
      <w:pPr>
        <w:rPr>
          <w:b/>
          <w:bCs/>
          <w:lang w:val="fr-BE"/>
        </w:rPr>
      </w:pPr>
      <w:r w:rsidRPr="00E6088D">
        <w:rPr>
          <w:b/>
          <w:bCs/>
          <w:lang w:val="fr-BE"/>
        </w:rPr>
        <w:lastRenderedPageBreak/>
        <w:t>ANNEXE 1</w:t>
      </w:r>
    </w:p>
    <w:p w14:paraId="01965EF3" w14:textId="1E1C45A2" w:rsidR="00E6088D" w:rsidRDefault="00080E45" w:rsidP="00D34AED">
      <w:pPr>
        <w:rPr>
          <w:lang w:val="fr-BE"/>
        </w:rPr>
        <w:sectPr w:rsidR="00E6088D" w:rsidSect="00D34AED">
          <w:pgSz w:w="12240" w:h="15840"/>
          <w:pgMar w:top="1440" w:right="1440" w:bottom="1440" w:left="1440" w:header="708" w:footer="708" w:gutter="0"/>
          <w:cols w:space="708"/>
          <w:docGrid w:linePitch="360"/>
        </w:sectPr>
      </w:pPr>
      <w:r>
        <w:rPr>
          <w:noProof/>
        </w:rPr>
        <w:drawing>
          <wp:inline distT="0" distB="0" distL="0" distR="0" wp14:anchorId="3DA82866" wp14:editId="3853AF54">
            <wp:extent cx="5943600" cy="3870325"/>
            <wp:effectExtent l="0" t="0" r="0" b="0"/>
            <wp:docPr id="1613690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9038" name="Picture 1" descr="A screenshot of a computer&#10;&#10;AI-generated content may be incorrect."/>
                    <pic:cNvPicPr/>
                  </pic:nvPicPr>
                  <pic:blipFill>
                    <a:blip r:embed="rId6"/>
                    <a:stretch>
                      <a:fillRect/>
                    </a:stretch>
                  </pic:blipFill>
                  <pic:spPr>
                    <a:xfrm>
                      <a:off x="0" y="0"/>
                      <a:ext cx="5943600" cy="3870325"/>
                    </a:xfrm>
                    <a:prstGeom prst="rect">
                      <a:avLst/>
                    </a:prstGeom>
                  </pic:spPr>
                </pic:pic>
              </a:graphicData>
            </a:graphic>
          </wp:inline>
        </w:drawing>
      </w:r>
    </w:p>
    <w:p w14:paraId="603237DF" w14:textId="08CAAEF6" w:rsidR="00E6088D" w:rsidRDefault="00E6088D" w:rsidP="00D34AED">
      <w:pPr>
        <w:rPr>
          <w:lang w:val="fr-BE"/>
        </w:rPr>
      </w:pPr>
      <w:r>
        <w:rPr>
          <w:lang w:val="fr-BE"/>
        </w:rPr>
        <w:lastRenderedPageBreak/>
        <w:t>ANNEXE 2</w:t>
      </w:r>
    </w:p>
    <w:p w14:paraId="236F29A0" w14:textId="77777777" w:rsidR="00785AF0" w:rsidRPr="00CC6DA8" w:rsidRDefault="00785AF0" w:rsidP="00785AF0">
      <w:pPr>
        <w:pBdr>
          <w:bottom w:val="single" w:sz="8" w:space="4" w:color="156082" w:themeColor="accent1"/>
        </w:pBdr>
        <w:spacing w:after="300" w:line="240" w:lineRule="auto"/>
        <w:contextualSpacing/>
        <w:rPr>
          <w:rFonts w:asciiTheme="majorHAnsi" w:eastAsiaTheme="majorEastAsia" w:hAnsiTheme="majorHAnsi" w:cstheme="majorBidi"/>
          <w:color w:val="0A1D30" w:themeColor="text2" w:themeShade="BF"/>
          <w:spacing w:val="5"/>
          <w:kern w:val="28"/>
          <w:sz w:val="52"/>
          <w:szCs w:val="52"/>
          <w:lang w:val="fr-BE"/>
        </w:rPr>
      </w:pPr>
      <w:r w:rsidRPr="00CC6DA8">
        <w:rPr>
          <w:rFonts w:asciiTheme="majorHAnsi" w:eastAsiaTheme="majorEastAsia" w:hAnsiTheme="majorHAnsi" w:cstheme="majorBidi"/>
          <w:color w:val="0A1D30" w:themeColor="text2" w:themeShade="BF"/>
          <w:kern w:val="28"/>
          <w:sz w:val="52"/>
          <w:szCs w:val="52"/>
          <w:lang w:val="fr-BE"/>
        </w:rPr>
        <w:t xml:space="preserve">Mode d’emploi pour un rapport financier </w:t>
      </w:r>
    </w:p>
    <w:p w14:paraId="65857A89" w14:textId="77777777" w:rsidR="00785AF0" w:rsidRPr="00CC6DA8" w:rsidRDefault="00785AF0" w:rsidP="00785AF0">
      <w:pPr>
        <w:keepNext/>
        <w:keepLines/>
        <w:spacing w:before="480" w:after="0"/>
        <w:outlineLvl w:val="0"/>
        <w:rPr>
          <w:rFonts w:asciiTheme="majorHAnsi" w:eastAsiaTheme="majorEastAsia" w:hAnsiTheme="majorHAnsi" w:cstheme="majorBidi"/>
          <w:b/>
          <w:bCs/>
          <w:color w:val="0F4761" w:themeColor="accent1" w:themeShade="BF"/>
          <w:sz w:val="28"/>
          <w:szCs w:val="28"/>
          <w:lang w:val="fr-BE"/>
        </w:rPr>
      </w:pPr>
      <w:r w:rsidRPr="00CC6DA8">
        <w:rPr>
          <w:rFonts w:asciiTheme="majorHAnsi" w:eastAsiaTheme="majorEastAsia" w:hAnsiTheme="majorHAnsi" w:cstheme="majorBidi"/>
          <w:b/>
          <w:bCs/>
          <w:color w:val="0F4761" w:themeColor="accent1" w:themeShade="BF"/>
          <w:sz w:val="28"/>
          <w:szCs w:val="28"/>
          <w:lang w:val="fr-BE"/>
        </w:rPr>
        <w:t>Introduction</w:t>
      </w:r>
    </w:p>
    <w:p w14:paraId="344C5988" w14:textId="77777777" w:rsidR="00785AF0" w:rsidRPr="00CC6DA8" w:rsidRDefault="00785AF0" w:rsidP="00785AF0">
      <w:pPr>
        <w:rPr>
          <w:lang w:val="fr-BE"/>
        </w:rPr>
      </w:pPr>
      <w:r w:rsidRPr="00CC6DA8">
        <w:rPr>
          <w:lang w:val="fr-BE"/>
        </w:rPr>
        <w:t xml:space="preserve">Au document est annexé un mode d’emploi pour un rapport financier relatif à une convention art. 56, art. 22, et à d’autres conventions. L’objectif de ce mode d’emploi est de pouvoir justifier correctement et de manière transparente les moyens mis à disposition. </w:t>
      </w:r>
    </w:p>
    <w:p w14:paraId="70137F75" w14:textId="77777777" w:rsidR="00785AF0" w:rsidRPr="001A56E9" w:rsidRDefault="00785AF0" w:rsidP="00785AF0">
      <w:pPr>
        <w:keepNext/>
        <w:keepLines/>
        <w:spacing w:before="480" w:after="0"/>
        <w:outlineLvl w:val="0"/>
        <w:rPr>
          <w:rFonts w:asciiTheme="majorHAnsi" w:eastAsiaTheme="majorEastAsia" w:hAnsiTheme="majorHAnsi" w:cstheme="majorBidi"/>
          <w:b/>
          <w:bCs/>
          <w:color w:val="0F4761" w:themeColor="accent1" w:themeShade="BF"/>
          <w:sz w:val="28"/>
          <w:szCs w:val="28"/>
          <w:lang w:val="fr-BE"/>
        </w:rPr>
      </w:pPr>
      <w:r w:rsidRPr="00CC6DA8">
        <w:rPr>
          <w:rFonts w:asciiTheme="majorHAnsi" w:eastAsiaTheme="majorEastAsia" w:hAnsiTheme="majorHAnsi" w:cstheme="majorBidi"/>
          <w:b/>
          <w:bCs/>
          <w:color w:val="0F4761" w:themeColor="accent1" w:themeShade="BF"/>
          <w:sz w:val="28"/>
          <w:szCs w:val="28"/>
          <w:lang w:val="fr-BE"/>
        </w:rPr>
        <w:t xml:space="preserve">En quoi consiste un rapport financier ? </w:t>
      </w:r>
    </w:p>
    <w:p w14:paraId="2313A9FB" w14:textId="77777777" w:rsidR="00785AF0" w:rsidRPr="00CC6DA8" w:rsidRDefault="00785AF0" w:rsidP="00785AF0">
      <w:pPr>
        <w:rPr>
          <w:lang w:val="fr-BE"/>
        </w:rPr>
      </w:pPr>
      <w:r w:rsidRPr="00CC6DA8">
        <w:rPr>
          <w:lang w:val="fr-BE"/>
        </w:rPr>
        <w:t>D’une part, un rapport financier se compose d’un tableau synoptique où doivent être numérotées et présentées dans l’ordre les pièces justificatives par rubrique et avec mention des montants. La ventilation est mentionnée dans la convention signée. D’autre part, un rapport financier se compose des pièces justificatives proprement dites. Ces pièces justificatives doivent être numérotées et transmises dans l’ordre.</w:t>
      </w:r>
    </w:p>
    <w:p w14:paraId="446CD727" w14:textId="77777777" w:rsidR="00785AF0" w:rsidRPr="009F73F3" w:rsidRDefault="00785AF0" w:rsidP="00785AF0">
      <w:pPr>
        <w:rPr>
          <w:lang w:val="fr-BE"/>
        </w:rPr>
      </w:pPr>
      <w:r w:rsidRPr="009F73F3">
        <w:rPr>
          <w:lang w:val="fr-BE"/>
        </w:rPr>
        <w:t xml:space="preserve">Le rapport financier ne pourra être examiné que si ces principes ont été respectés. </w:t>
      </w:r>
    </w:p>
    <w:p w14:paraId="1E86CC43" w14:textId="77777777" w:rsidR="00785AF0" w:rsidRPr="001A56E9" w:rsidRDefault="00785AF0" w:rsidP="00785AF0">
      <w:pPr>
        <w:keepNext/>
        <w:keepLines/>
        <w:spacing w:before="480" w:after="0"/>
        <w:outlineLvl w:val="0"/>
        <w:rPr>
          <w:rFonts w:asciiTheme="majorHAnsi" w:eastAsiaTheme="majorEastAsia" w:hAnsiTheme="majorHAnsi" w:cstheme="majorBidi"/>
          <w:b/>
          <w:bCs/>
          <w:color w:val="0F4761" w:themeColor="accent1" w:themeShade="BF"/>
          <w:sz w:val="28"/>
          <w:szCs w:val="28"/>
          <w:lang w:val="fr-BE"/>
        </w:rPr>
      </w:pPr>
      <w:r w:rsidRPr="00CC6DA8">
        <w:rPr>
          <w:rFonts w:asciiTheme="majorHAnsi" w:eastAsiaTheme="majorEastAsia" w:hAnsiTheme="majorHAnsi" w:cstheme="majorBidi"/>
          <w:b/>
          <w:bCs/>
          <w:color w:val="0F4761" w:themeColor="accent1" w:themeShade="BF"/>
          <w:sz w:val="28"/>
          <w:szCs w:val="28"/>
          <w:lang w:val="fr-BE"/>
        </w:rPr>
        <w:t>Définition d’une pièce justificative</w:t>
      </w:r>
      <w:bookmarkStart w:id="0" w:name="_Hlk200960018"/>
    </w:p>
    <w:p w14:paraId="02C3DA8B" w14:textId="77777777" w:rsidR="00785AF0" w:rsidRPr="00AC2538" w:rsidRDefault="00785AF0" w:rsidP="00785AF0">
      <w:pPr>
        <w:rPr>
          <w:b/>
          <w:u w:val="single"/>
          <w:lang w:val="fr-BE"/>
        </w:rPr>
      </w:pPr>
      <w:r w:rsidRPr="004E0B63">
        <w:rPr>
          <w:bCs/>
          <w:lang w:val="fr-BE"/>
        </w:rPr>
        <w:t>Une p</w:t>
      </w:r>
      <w:r>
        <w:rPr>
          <w:bCs/>
          <w:lang w:val="fr-BE"/>
        </w:rPr>
        <w:t>ièce justificative</w:t>
      </w:r>
      <w:r w:rsidRPr="004E0B63">
        <w:rPr>
          <w:bCs/>
          <w:lang w:val="fr-BE"/>
        </w:rPr>
        <w:t xml:space="preserve"> est un document qui sert à prouver une transaction ou une position financière. Il peut s'agir d'une facture, d'un relevé bancaire, d'un ticket de caisse ou d'une déclaration d'impôts. Ces documents sont essentiels pour prouver les revenus, les dépenses, les actifs et les dettes, et sont souvent utilisés dans divers processus financiers tels que la demande de prêt, la préparation des états financiers ou la comptabilisation des dépenses.</w:t>
      </w:r>
    </w:p>
    <w:p w14:paraId="2EA3AA9D" w14:textId="77777777" w:rsidR="00785AF0" w:rsidRDefault="00785AF0" w:rsidP="00785AF0">
      <w:pPr>
        <w:rPr>
          <w:bCs/>
          <w:lang w:val="fr-BE"/>
        </w:rPr>
      </w:pPr>
      <w:r w:rsidRPr="004E0B63">
        <w:rPr>
          <w:bCs/>
          <w:lang w:val="fr-BE"/>
        </w:rPr>
        <w:t>Voici quelques exemples de pièces justificatives financières :</w:t>
      </w:r>
    </w:p>
    <w:p w14:paraId="57D511A4" w14:textId="77777777" w:rsidR="00785AF0" w:rsidRPr="00AC2538" w:rsidRDefault="00785AF0" w:rsidP="00785AF0">
      <w:pPr>
        <w:pStyle w:val="ListParagraph"/>
        <w:numPr>
          <w:ilvl w:val="0"/>
          <w:numId w:val="20"/>
        </w:numPr>
        <w:spacing w:after="200" w:line="276" w:lineRule="auto"/>
        <w:jc w:val="left"/>
        <w:rPr>
          <w:bCs/>
          <w:lang w:val="fr-BE"/>
        </w:rPr>
      </w:pPr>
      <w:r w:rsidRPr="00AC2538">
        <w:rPr>
          <w:bCs/>
          <w:lang w:val="fr-BE"/>
        </w:rPr>
        <w:t>Les factures : Elles prouvent la livraison de biens ou de services et l'obligation de paiement correspondante.</w:t>
      </w:r>
    </w:p>
    <w:p w14:paraId="2412B1CC" w14:textId="77777777" w:rsidR="00785AF0" w:rsidRPr="00AC2538" w:rsidRDefault="00785AF0" w:rsidP="00785AF0">
      <w:pPr>
        <w:pStyle w:val="ListParagraph"/>
        <w:numPr>
          <w:ilvl w:val="0"/>
          <w:numId w:val="20"/>
        </w:numPr>
        <w:spacing w:after="200" w:line="276" w:lineRule="auto"/>
        <w:jc w:val="left"/>
        <w:rPr>
          <w:bCs/>
          <w:lang w:val="fr-BE"/>
        </w:rPr>
      </w:pPr>
      <w:r w:rsidRPr="00AC2538">
        <w:rPr>
          <w:bCs/>
          <w:lang w:val="fr-BE"/>
        </w:rPr>
        <w:t>Relevés bancaires : Ils documentent tous les flux de trésorerie entrants et sortants d'un compte bancaire.</w:t>
      </w:r>
    </w:p>
    <w:p w14:paraId="7C3BA431" w14:textId="77777777" w:rsidR="00785AF0" w:rsidRPr="00AC2538" w:rsidRDefault="00785AF0" w:rsidP="00785AF0">
      <w:pPr>
        <w:pStyle w:val="ListParagraph"/>
        <w:numPr>
          <w:ilvl w:val="0"/>
          <w:numId w:val="20"/>
        </w:numPr>
        <w:spacing w:after="200" w:line="276" w:lineRule="auto"/>
        <w:jc w:val="left"/>
        <w:rPr>
          <w:bCs/>
          <w:lang w:val="fr-BE"/>
        </w:rPr>
      </w:pPr>
      <w:r w:rsidRPr="00AC2538">
        <w:rPr>
          <w:bCs/>
          <w:lang w:val="fr-BE"/>
        </w:rPr>
        <w:t>Reçus d'achat : prouvent l'achat de biens ou de services.</w:t>
      </w:r>
    </w:p>
    <w:p w14:paraId="1716D7C6" w14:textId="77777777" w:rsidR="00785AF0" w:rsidRPr="00AC2538" w:rsidRDefault="00785AF0" w:rsidP="00785AF0">
      <w:pPr>
        <w:pStyle w:val="ListParagraph"/>
        <w:numPr>
          <w:ilvl w:val="0"/>
          <w:numId w:val="20"/>
        </w:numPr>
        <w:spacing w:after="200" w:line="276" w:lineRule="auto"/>
        <w:jc w:val="left"/>
        <w:rPr>
          <w:bCs/>
          <w:lang w:val="fr-BE"/>
        </w:rPr>
      </w:pPr>
      <w:r w:rsidRPr="00AC2538">
        <w:rPr>
          <w:bCs/>
          <w:lang w:val="fr-BE"/>
        </w:rPr>
        <w:t>Fiches de paie : indiquent le salaire et les déductions d'un employé.</w:t>
      </w:r>
    </w:p>
    <w:p w14:paraId="62609707" w14:textId="77777777" w:rsidR="00785AF0" w:rsidRPr="00AC2538" w:rsidRDefault="00785AF0" w:rsidP="00785AF0">
      <w:pPr>
        <w:pStyle w:val="ListParagraph"/>
        <w:numPr>
          <w:ilvl w:val="0"/>
          <w:numId w:val="20"/>
        </w:numPr>
        <w:spacing w:after="200" w:line="276" w:lineRule="auto"/>
        <w:jc w:val="left"/>
        <w:rPr>
          <w:bCs/>
          <w:lang w:val="fr-BE"/>
        </w:rPr>
      </w:pPr>
      <w:r w:rsidRPr="00AC2538">
        <w:rPr>
          <w:bCs/>
          <w:lang w:val="fr-BE"/>
        </w:rPr>
        <w:t>Déclarations d'impôt sur le revenu : indiquent les revenus et les impôts payés.</w:t>
      </w:r>
    </w:p>
    <w:p w14:paraId="2E8EC80D" w14:textId="77777777" w:rsidR="00785AF0" w:rsidRPr="00AC2538" w:rsidRDefault="00785AF0" w:rsidP="00785AF0">
      <w:pPr>
        <w:pStyle w:val="ListParagraph"/>
        <w:numPr>
          <w:ilvl w:val="0"/>
          <w:numId w:val="20"/>
        </w:numPr>
        <w:spacing w:after="200" w:line="276" w:lineRule="auto"/>
        <w:jc w:val="left"/>
        <w:rPr>
          <w:bCs/>
          <w:lang w:val="fr-BE"/>
        </w:rPr>
      </w:pPr>
      <w:r w:rsidRPr="00AC2538">
        <w:rPr>
          <w:bCs/>
          <w:lang w:val="fr-BE"/>
        </w:rPr>
        <w:t>Chiffres annuels : Ils rendent compte des résultats financiers d'une entreprise pour une année entière.</w:t>
      </w:r>
    </w:p>
    <w:p w14:paraId="369D72C4" w14:textId="77777777" w:rsidR="00785AF0" w:rsidRPr="00AC2538" w:rsidRDefault="00785AF0" w:rsidP="00785AF0">
      <w:pPr>
        <w:pStyle w:val="ListParagraph"/>
        <w:numPr>
          <w:ilvl w:val="0"/>
          <w:numId w:val="20"/>
        </w:numPr>
        <w:spacing w:after="200" w:line="276" w:lineRule="auto"/>
        <w:jc w:val="left"/>
        <w:rPr>
          <w:bCs/>
          <w:lang w:val="fr-BE"/>
        </w:rPr>
      </w:pPr>
      <w:r w:rsidRPr="00AC2538">
        <w:rPr>
          <w:bCs/>
          <w:lang w:val="fr-BE"/>
        </w:rPr>
        <w:t>Polices d'assurance : Elles prouvent la couverture de certains risques.</w:t>
      </w:r>
    </w:p>
    <w:p w14:paraId="51488D16" w14:textId="77777777" w:rsidR="00785AF0" w:rsidRPr="00AC2538" w:rsidRDefault="00785AF0" w:rsidP="00785AF0">
      <w:pPr>
        <w:pStyle w:val="ListParagraph"/>
        <w:numPr>
          <w:ilvl w:val="0"/>
          <w:numId w:val="20"/>
        </w:numPr>
        <w:spacing w:after="200" w:line="276" w:lineRule="auto"/>
        <w:jc w:val="left"/>
        <w:rPr>
          <w:bCs/>
          <w:lang w:val="fr-BE"/>
        </w:rPr>
      </w:pPr>
      <w:r w:rsidRPr="00AC2538">
        <w:rPr>
          <w:bCs/>
          <w:lang w:val="fr-BE"/>
        </w:rPr>
        <w:t>Contrats de location : Indiquer les obligations et les conditions d'un bail.</w:t>
      </w:r>
    </w:p>
    <w:p w14:paraId="6759748F" w14:textId="77777777" w:rsidR="00785AF0" w:rsidRPr="00AC2538" w:rsidRDefault="00785AF0" w:rsidP="00785AF0">
      <w:pPr>
        <w:pStyle w:val="ListParagraph"/>
        <w:numPr>
          <w:ilvl w:val="0"/>
          <w:numId w:val="20"/>
        </w:numPr>
        <w:spacing w:after="200" w:line="276" w:lineRule="auto"/>
        <w:jc w:val="left"/>
        <w:rPr>
          <w:bCs/>
          <w:lang w:val="fr-BE"/>
        </w:rPr>
      </w:pPr>
      <w:r w:rsidRPr="00AC2538">
        <w:rPr>
          <w:bCs/>
          <w:lang w:val="fr-BE"/>
        </w:rPr>
        <w:t>Actes hypothécaires : Ils prouvent la propriété d'un bien immobilier et le prêt associé.</w:t>
      </w:r>
    </w:p>
    <w:p w14:paraId="6DD97D8B" w14:textId="77777777" w:rsidR="00785AF0" w:rsidRDefault="00785AF0" w:rsidP="00785AF0">
      <w:pPr>
        <w:rPr>
          <w:bCs/>
          <w:lang w:val="fr-BE"/>
        </w:rPr>
      </w:pPr>
      <w:r w:rsidRPr="004E0B63">
        <w:rPr>
          <w:bCs/>
          <w:lang w:val="fr-BE"/>
        </w:rPr>
        <w:t>Ces documents sont essentiels pour prouver les transactions et les positions financières et sont souvent nécessaires pour préparer des documents tels qu'un dossier de crédit ou des états financiers.</w:t>
      </w:r>
      <w:bookmarkEnd w:id="0"/>
    </w:p>
    <w:p w14:paraId="4BB23767" w14:textId="77777777" w:rsidR="00785AF0" w:rsidRDefault="00785AF0" w:rsidP="00785AF0">
      <w:pPr>
        <w:keepNext/>
        <w:keepLines/>
        <w:spacing w:before="480" w:after="0"/>
        <w:outlineLvl w:val="0"/>
        <w:rPr>
          <w:bCs/>
          <w:lang w:val="fr-BE"/>
        </w:rPr>
      </w:pPr>
      <w:r w:rsidRPr="00CC6DA8">
        <w:rPr>
          <w:rFonts w:asciiTheme="majorHAnsi" w:eastAsiaTheme="majorEastAsia" w:hAnsiTheme="majorHAnsi" w:cstheme="majorBidi"/>
          <w:b/>
          <w:bCs/>
          <w:color w:val="0F4761" w:themeColor="accent1" w:themeShade="BF"/>
          <w:sz w:val="28"/>
          <w:szCs w:val="28"/>
          <w:lang w:val="fr-BE"/>
        </w:rPr>
        <w:lastRenderedPageBreak/>
        <w:t>Quelles pièces justificatives/quels types de frais sont acceptés ?</w:t>
      </w:r>
    </w:p>
    <w:p w14:paraId="34C94679" w14:textId="77777777" w:rsidR="00785AF0" w:rsidRPr="001A56E9" w:rsidRDefault="00785AF0" w:rsidP="00785AF0">
      <w:pPr>
        <w:rPr>
          <w:bCs/>
          <w:lang w:val="fr-BE"/>
        </w:rPr>
      </w:pPr>
      <w:r w:rsidRPr="00CC6DA8">
        <w:rPr>
          <w:b/>
          <w:u w:val="single"/>
          <w:lang w:val="fr-BE"/>
        </w:rPr>
        <w:t>De manière générale :</w:t>
      </w:r>
      <w:r w:rsidRPr="00CC6DA8">
        <w:rPr>
          <w:lang w:val="fr-BE"/>
        </w:rPr>
        <w:t xml:space="preserve"> </w:t>
      </w:r>
      <w:r>
        <w:rPr>
          <w:lang w:val="fr-BE"/>
        </w:rPr>
        <w:t>L</w:t>
      </w:r>
      <w:r w:rsidRPr="00CC6DA8">
        <w:rPr>
          <w:lang w:val="fr-BE"/>
        </w:rPr>
        <w:t xml:space="preserve">es pièces justificatives complètes </w:t>
      </w:r>
      <w:r>
        <w:rPr>
          <w:lang w:val="fr-BE"/>
        </w:rPr>
        <w:t xml:space="preserve">pour lesquelles sont mentionné les </w:t>
      </w:r>
      <w:r w:rsidRPr="00CC6DA8">
        <w:rPr>
          <w:lang w:val="fr-BE"/>
        </w:rPr>
        <w:t>montant</w:t>
      </w:r>
      <w:r>
        <w:rPr>
          <w:lang w:val="fr-BE"/>
        </w:rPr>
        <w:t xml:space="preserve">s exacts. Ceux-ci </w:t>
      </w:r>
      <w:r w:rsidRPr="00785AF0">
        <w:rPr>
          <w:bCs/>
          <w:lang w:val="fr-BE"/>
        </w:rPr>
        <w:t>doivent</w:t>
      </w:r>
      <w:r>
        <w:rPr>
          <w:lang w:val="fr-BE"/>
        </w:rPr>
        <w:t xml:space="preserve"> être</w:t>
      </w:r>
      <w:r w:rsidRPr="00CC6DA8">
        <w:rPr>
          <w:lang w:val="fr-BE"/>
        </w:rPr>
        <w:t xml:space="preserve"> </w:t>
      </w:r>
      <w:r>
        <w:rPr>
          <w:lang w:val="fr-BE"/>
        </w:rPr>
        <w:t>identiques sur</w:t>
      </w:r>
      <w:r w:rsidRPr="00CC6DA8">
        <w:rPr>
          <w:lang w:val="fr-BE"/>
        </w:rPr>
        <w:t xml:space="preserve"> la facture et le tableau synoptique</w:t>
      </w:r>
      <w:r>
        <w:rPr>
          <w:lang w:val="fr-BE"/>
        </w:rPr>
        <w:t>.</w:t>
      </w:r>
    </w:p>
    <w:p w14:paraId="28A160F5" w14:textId="77777777" w:rsidR="00785AF0" w:rsidRPr="00AC5212" w:rsidRDefault="00785AF0" w:rsidP="00785AF0">
      <w:pPr>
        <w:rPr>
          <w:lang w:val="fr-BE"/>
        </w:rPr>
      </w:pPr>
      <w:r w:rsidRPr="00CC6DA8">
        <w:rPr>
          <w:b/>
          <w:u w:val="single"/>
          <w:lang w:val="fr-BE"/>
        </w:rPr>
        <w:t xml:space="preserve">Liste de pièces justificatives complètes : </w:t>
      </w:r>
    </w:p>
    <w:p w14:paraId="5211580A" w14:textId="77777777" w:rsidR="00785AF0" w:rsidRPr="00CC6DA8" w:rsidRDefault="00785AF0" w:rsidP="00785AF0">
      <w:pPr>
        <w:numPr>
          <w:ilvl w:val="0"/>
          <w:numId w:val="11"/>
        </w:numPr>
        <w:spacing w:after="200" w:line="276" w:lineRule="auto"/>
        <w:contextualSpacing/>
        <w:rPr>
          <w:lang w:val="fr-BE"/>
        </w:rPr>
      </w:pPr>
      <w:r>
        <w:rPr>
          <w:lang w:val="fr-BE"/>
        </w:rPr>
        <w:t>Les f</w:t>
      </w:r>
      <w:r w:rsidRPr="00CC6DA8">
        <w:rPr>
          <w:lang w:val="fr-BE"/>
        </w:rPr>
        <w:t>actures officielles justifiées par les objectifs de la convention.</w:t>
      </w:r>
    </w:p>
    <w:p w14:paraId="7E6B6AF2" w14:textId="77777777" w:rsidR="00785AF0" w:rsidRPr="00CC6DA8" w:rsidRDefault="00785AF0" w:rsidP="00785AF0">
      <w:pPr>
        <w:numPr>
          <w:ilvl w:val="0"/>
          <w:numId w:val="11"/>
        </w:numPr>
        <w:spacing w:after="200" w:line="276" w:lineRule="auto"/>
        <w:contextualSpacing/>
        <w:rPr>
          <w:lang w:val="fr-BE"/>
        </w:rPr>
      </w:pPr>
      <w:r>
        <w:rPr>
          <w:lang w:val="fr-BE"/>
        </w:rPr>
        <w:t>Les c</w:t>
      </w:r>
      <w:r w:rsidRPr="00CC6DA8">
        <w:rPr>
          <w:lang w:val="fr-BE"/>
        </w:rPr>
        <w:t>oûts salariaux :</w:t>
      </w:r>
      <w:r>
        <w:rPr>
          <w:lang w:val="fr-BE"/>
        </w:rPr>
        <w:t xml:space="preserve"> </w:t>
      </w:r>
      <w:r w:rsidRPr="00CC6DA8">
        <w:rPr>
          <w:lang w:val="fr-BE"/>
        </w:rPr>
        <w:t>fiches salariales</w:t>
      </w:r>
      <w:r>
        <w:rPr>
          <w:lang w:val="fr-BE"/>
        </w:rPr>
        <w:t xml:space="preserve"> et/ou</w:t>
      </w:r>
      <w:r w:rsidRPr="00CC6DA8">
        <w:rPr>
          <w:lang w:val="fr-BE"/>
        </w:rPr>
        <w:t xml:space="preserve"> déclaration sur l’honneur mentionnant le nombre d’heures prestées</w:t>
      </w:r>
      <w:r>
        <w:rPr>
          <w:lang w:val="fr-BE"/>
        </w:rPr>
        <w:t xml:space="preserve"> </w:t>
      </w:r>
      <w:r w:rsidRPr="00CC6DA8">
        <w:rPr>
          <w:lang w:val="fr-BE"/>
        </w:rPr>
        <w:t>(p</w:t>
      </w:r>
      <w:r>
        <w:rPr>
          <w:lang w:val="fr-BE"/>
        </w:rPr>
        <w:t>our les</w:t>
      </w:r>
      <w:r w:rsidRPr="00CC6DA8">
        <w:rPr>
          <w:lang w:val="fr-BE"/>
        </w:rPr>
        <w:t xml:space="preserve"> médecins,</w:t>
      </w:r>
      <w:r>
        <w:rPr>
          <w:lang w:val="fr-BE"/>
        </w:rPr>
        <w:t xml:space="preserve"> les</w:t>
      </w:r>
      <w:r w:rsidRPr="00CC6DA8">
        <w:rPr>
          <w:lang w:val="fr-BE"/>
        </w:rPr>
        <w:t xml:space="preserve"> praticiens de l’art infirmier</w:t>
      </w:r>
      <w:r>
        <w:rPr>
          <w:lang w:val="fr-BE"/>
        </w:rPr>
        <w:t>,</w:t>
      </w:r>
      <w:r w:rsidRPr="00CC6DA8">
        <w:rPr>
          <w:lang w:val="fr-BE"/>
        </w:rPr>
        <w:t xml:space="preserve"> ...)</w:t>
      </w:r>
      <w:r>
        <w:rPr>
          <w:lang w:val="fr-BE"/>
        </w:rPr>
        <w:t>, signée par un responsable</w:t>
      </w:r>
      <w:r w:rsidRPr="00CC6DA8">
        <w:rPr>
          <w:lang w:val="fr-BE"/>
        </w:rPr>
        <w:t>.</w:t>
      </w:r>
    </w:p>
    <w:p w14:paraId="79F2B4A8" w14:textId="77777777" w:rsidR="00785AF0" w:rsidRPr="004546B9" w:rsidRDefault="00785AF0" w:rsidP="00785AF0">
      <w:pPr>
        <w:numPr>
          <w:ilvl w:val="0"/>
          <w:numId w:val="11"/>
        </w:numPr>
        <w:spacing w:after="200" w:line="276" w:lineRule="auto"/>
        <w:contextualSpacing/>
        <w:rPr>
          <w:lang w:val="fr-BE"/>
        </w:rPr>
      </w:pPr>
      <w:r>
        <w:rPr>
          <w:lang w:val="fr-BE"/>
        </w:rPr>
        <w:t>Les frais de déplacements effectués dans le cadre des missions relatives à la convention. Les déplacements effectués à l’aide d’un véhicule privé seront calculé sur base de l’indemnité kilométrique appliqué par l’INAMI. Les déplacements effectués à l’aide d’un transport public devront être justifié à l’aide d’un titre de transport (billet de train, ticket de métro/bus/tram, …)</w:t>
      </w:r>
    </w:p>
    <w:p w14:paraId="6F097CDA" w14:textId="77777777" w:rsidR="00785AF0" w:rsidRPr="00CC6DA8" w:rsidRDefault="00785AF0" w:rsidP="00785AF0">
      <w:pPr>
        <w:numPr>
          <w:ilvl w:val="0"/>
          <w:numId w:val="11"/>
        </w:numPr>
        <w:spacing w:after="200" w:line="276" w:lineRule="auto"/>
        <w:contextualSpacing/>
        <w:rPr>
          <w:lang w:val="fr-BE"/>
        </w:rPr>
      </w:pPr>
      <w:r w:rsidRPr="00CC6DA8">
        <w:rPr>
          <w:lang w:val="fr-BE"/>
        </w:rPr>
        <w:t>Les notes de frais et les factures</w:t>
      </w:r>
      <w:r>
        <w:rPr>
          <w:lang w:val="fr-BE"/>
        </w:rPr>
        <w:t xml:space="preserve"> relatives aux couts de fonctionnement, tels que précisés dans la convention</w:t>
      </w:r>
      <w:r w:rsidRPr="00CC6DA8">
        <w:rPr>
          <w:lang w:val="fr-BE"/>
        </w:rPr>
        <w:t xml:space="preserve"> </w:t>
      </w:r>
      <w:r>
        <w:rPr>
          <w:lang w:val="fr-BE"/>
        </w:rPr>
        <w:t>et</w:t>
      </w:r>
      <w:r w:rsidRPr="00CC6DA8">
        <w:rPr>
          <w:lang w:val="fr-BE"/>
        </w:rPr>
        <w:t xml:space="preserve"> effectués dans le cadre des missions du projet, datées et signées. </w:t>
      </w:r>
    </w:p>
    <w:p w14:paraId="5A079FB8" w14:textId="77777777" w:rsidR="00785AF0" w:rsidRDefault="00785AF0" w:rsidP="00785AF0">
      <w:pPr>
        <w:numPr>
          <w:ilvl w:val="0"/>
          <w:numId w:val="11"/>
        </w:numPr>
        <w:spacing w:after="200" w:line="276" w:lineRule="auto"/>
        <w:contextualSpacing/>
        <w:rPr>
          <w:lang w:val="fr-BE"/>
        </w:rPr>
      </w:pPr>
      <w:r w:rsidRPr="00CC6DA8">
        <w:rPr>
          <w:lang w:val="fr-BE"/>
        </w:rPr>
        <w:t>Les achats de matériel de bureau (</w:t>
      </w:r>
      <w:r>
        <w:rPr>
          <w:lang w:val="fr-BE"/>
        </w:rPr>
        <w:t>que ce soit, mais pas limité, aux chaises, tables</w:t>
      </w:r>
      <w:r w:rsidRPr="00CC6DA8">
        <w:rPr>
          <w:lang w:val="fr-BE"/>
        </w:rPr>
        <w:t>, armoires,</w:t>
      </w:r>
      <w:r>
        <w:rPr>
          <w:lang w:val="fr-BE"/>
        </w:rPr>
        <w:t xml:space="preserve"> caissons à tiroirs,</w:t>
      </w:r>
      <w:r w:rsidRPr="00CC6DA8">
        <w:rPr>
          <w:lang w:val="fr-BE"/>
        </w:rPr>
        <w:t xml:space="preserve"> GSM</w:t>
      </w:r>
      <w:r>
        <w:rPr>
          <w:lang w:val="fr-BE"/>
        </w:rPr>
        <w:t xml:space="preserve">, matériel IT, accessoires (dans des limites raisonnables), matériel promotionnel, </w:t>
      </w:r>
      <w:r w:rsidRPr="00CC6DA8">
        <w:rPr>
          <w:lang w:val="fr-BE"/>
        </w:rPr>
        <w:t>...)</w:t>
      </w:r>
      <w:r>
        <w:rPr>
          <w:lang w:val="fr-BE"/>
        </w:rPr>
        <w:t xml:space="preserve"> devront faire l’objet d’une demande préalable et ne pourront être achetés qu’après approbation de l’INAMI.</w:t>
      </w:r>
    </w:p>
    <w:p w14:paraId="3054CEE2" w14:textId="28D4612F" w:rsidR="00D77CAD" w:rsidRPr="00CC6DA8" w:rsidRDefault="00D77CAD" w:rsidP="00785AF0">
      <w:pPr>
        <w:numPr>
          <w:ilvl w:val="0"/>
          <w:numId w:val="11"/>
        </w:numPr>
        <w:spacing w:after="200" w:line="276" w:lineRule="auto"/>
        <w:contextualSpacing/>
        <w:rPr>
          <w:lang w:val="fr-BE"/>
        </w:rPr>
      </w:pPr>
      <w:r w:rsidRPr="00D77CAD">
        <w:rPr>
          <w:lang w:val="fr-BE"/>
        </w:rPr>
        <w:t>Les travaux d'infrastructure importants pour lesquels le budget des infrastructures est utilisé doivent être validés au préalable par l'INAMI, sur avis de l'Institut pour l'égalité des femmes et des hommes.</w:t>
      </w:r>
    </w:p>
    <w:p w14:paraId="71873EAA" w14:textId="77777777" w:rsidR="00785AF0" w:rsidRPr="001732A9" w:rsidRDefault="00785AF0" w:rsidP="00785AF0">
      <w:pPr>
        <w:numPr>
          <w:ilvl w:val="0"/>
          <w:numId w:val="11"/>
        </w:numPr>
        <w:spacing w:after="200" w:line="276" w:lineRule="auto"/>
        <w:contextualSpacing/>
        <w:rPr>
          <w:lang w:val="fr-BE"/>
        </w:rPr>
      </w:pPr>
      <w:r w:rsidRPr="00CC6DA8">
        <w:rPr>
          <w:lang w:val="fr-BE"/>
        </w:rPr>
        <w:t>Par projet</w:t>
      </w:r>
      <w:r>
        <w:rPr>
          <w:lang w:val="fr-BE"/>
        </w:rPr>
        <w:t xml:space="preserve"> les</w:t>
      </w:r>
      <w:r w:rsidRPr="00CC6DA8">
        <w:rPr>
          <w:lang w:val="fr-BE"/>
        </w:rPr>
        <w:t xml:space="preserve"> frais de catering, de formation</w:t>
      </w:r>
      <w:r>
        <w:rPr>
          <w:lang w:val="fr-BE"/>
        </w:rPr>
        <w:t xml:space="preserve">, </w:t>
      </w:r>
      <w:r w:rsidRPr="00CC6DA8">
        <w:rPr>
          <w:lang w:val="fr-BE"/>
        </w:rPr>
        <w:t>de congrès</w:t>
      </w:r>
      <w:r>
        <w:rPr>
          <w:lang w:val="fr-BE"/>
        </w:rPr>
        <w:t>, de séjours (hôtels, B&amp;B, …)</w:t>
      </w:r>
      <w:r w:rsidRPr="00CC6DA8">
        <w:rPr>
          <w:lang w:val="fr-BE"/>
        </w:rPr>
        <w:t xml:space="preserve"> doivent </w:t>
      </w:r>
      <w:r>
        <w:rPr>
          <w:lang w:val="fr-BE"/>
        </w:rPr>
        <w:t xml:space="preserve">faire l’objet d’une demande préalable et être approuvés par l’INAMI. Ceci sera spécifiquement précisé dans la convention. </w:t>
      </w:r>
    </w:p>
    <w:p w14:paraId="6C7C0461" w14:textId="77777777" w:rsidR="00785AF0" w:rsidRPr="001732A9" w:rsidRDefault="00785AF0" w:rsidP="00785AF0">
      <w:pPr>
        <w:ind w:left="720"/>
        <w:contextualSpacing/>
        <w:rPr>
          <w:lang w:val="fr-BE"/>
        </w:rPr>
      </w:pPr>
      <w:r w:rsidRPr="00CC6DA8">
        <w:rPr>
          <w:lang w:val="fr-BE"/>
        </w:rPr>
        <w:t>Tou</w:t>
      </w:r>
      <w:r>
        <w:rPr>
          <w:lang w:val="fr-BE"/>
        </w:rPr>
        <w:t>t</w:t>
      </w:r>
      <w:r w:rsidRPr="00CC6DA8">
        <w:rPr>
          <w:lang w:val="fr-BE"/>
        </w:rPr>
        <w:t xml:space="preserve"> frais supplémentaire devr</w:t>
      </w:r>
      <w:r>
        <w:rPr>
          <w:lang w:val="fr-BE"/>
        </w:rPr>
        <w:t>a</w:t>
      </w:r>
      <w:r w:rsidRPr="00CC6DA8">
        <w:rPr>
          <w:lang w:val="fr-BE"/>
        </w:rPr>
        <w:t xml:space="preserve"> </w:t>
      </w:r>
      <w:r>
        <w:rPr>
          <w:lang w:val="fr-BE"/>
        </w:rPr>
        <w:t>faire</w:t>
      </w:r>
      <w:r w:rsidRPr="00CC6DA8">
        <w:rPr>
          <w:lang w:val="fr-BE"/>
        </w:rPr>
        <w:t xml:space="preserve"> l’objet d’une demande préalable. </w:t>
      </w:r>
      <w:r w:rsidRPr="001732A9">
        <w:rPr>
          <w:lang w:val="fr-BE"/>
        </w:rPr>
        <w:t>Ces frais seront acceptés uniquement après approbation</w:t>
      </w:r>
      <w:r>
        <w:rPr>
          <w:lang w:val="fr-BE"/>
        </w:rPr>
        <w:t xml:space="preserve"> de l’INAMI</w:t>
      </w:r>
      <w:r w:rsidRPr="001732A9">
        <w:rPr>
          <w:lang w:val="fr-BE"/>
        </w:rPr>
        <w:t xml:space="preserve">. </w:t>
      </w:r>
    </w:p>
    <w:p w14:paraId="6CC0EA8E" w14:textId="77777777" w:rsidR="00785AF0" w:rsidRDefault="00785AF0" w:rsidP="00785AF0">
      <w:pPr>
        <w:numPr>
          <w:ilvl w:val="0"/>
          <w:numId w:val="11"/>
        </w:numPr>
        <w:spacing w:after="200" w:line="276" w:lineRule="auto"/>
        <w:contextualSpacing/>
        <w:rPr>
          <w:lang w:val="fr-BE"/>
        </w:rPr>
      </w:pPr>
      <w:r w:rsidRPr="00CC6DA8">
        <w:rPr>
          <w:lang w:val="fr-BE"/>
        </w:rPr>
        <w:t>L’INAMI met des salles de réunion à disposition, sur réservation. Les</w:t>
      </w:r>
      <w:r>
        <w:rPr>
          <w:lang w:val="fr-BE"/>
        </w:rPr>
        <w:t xml:space="preserve"> partenaires</w:t>
      </w:r>
      <w:r w:rsidRPr="00CC6DA8">
        <w:rPr>
          <w:lang w:val="fr-BE"/>
        </w:rPr>
        <w:t xml:space="preserve"> devront d’abord vérifier si des salles de réunion sont libres avant de réserver des salles de réunion externes. </w:t>
      </w:r>
    </w:p>
    <w:p w14:paraId="3FF34A63" w14:textId="77777777" w:rsidR="00785AF0" w:rsidRPr="00CC6DA8" w:rsidRDefault="00785AF0" w:rsidP="00785AF0">
      <w:pPr>
        <w:numPr>
          <w:ilvl w:val="0"/>
          <w:numId w:val="11"/>
        </w:numPr>
        <w:spacing w:after="200" w:line="276" w:lineRule="auto"/>
        <w:contextualSpacing/>
        <w:rPr>
          <w:lang w:val="fr-BE"/>
        </w:rPr>
      </w:pPr>
      <w:r>
        <w:rPr>
          <w:lang w:val="fr-BE"/>
        </w:rPr>
        <w:t xml:space="preserve">L’INAMI dispose d’un service de traduction, disponible sur réservation. Ils sont disponibles pour des traductions en Néerlandais, Français, Allemand et Anglais. Pour une traduction vers ou d’une autre langue, un devis devra préalablement être transmis à l’INAMI. Ce n’est qu’après approbation de l’INAMI que le partenaire pourra conclure une convention avec un bureau de traduction externe. </w:t>
      </w:r>
    </w:p>
    <w:p w14:paraId="73799B18" w14:textId="77777777" w:rsidR="00785AF0" w:rsidRPr="00CC6DA8" w:rsidRDefault="00785AF0" w:rsidP="00785AF0">
      <w:pPr>
        <w:keepNext/>
        <w:keepLines/>
        <w:spacing w:before="480" w:after="0"/>
        <w:outlineLvl w:val="0"/>
        <w:rPr>
          <w:rFonts w:asciiTheme="majorHAnsi" w:eastAsiaTheme="majorEastAsia" w:hAnsiTheme="majorHAnsi" w:cstheme="majorBidi"/>
          <w:b/>
          <w:bCs/>
          <w:color w:val="0F4761" w:themeColor="accent1" w:themeShade="BF"/>
          <w:sz w:val="28"/>
          <w:szCs w:val="28"/>
          <w:lang w:val="fr-BE"/>
        </w:rPr>
      </w:pPr>
      <w:r w:rsidRPr="00CC6DA8">
        <w:rPr>
          <w:rFonts w:asciiTheme="majorHAnsi" w:eastAsiaTheme="majorEastAsia" w:hAnsiTheme="majorHAnsi" w:cstheme="majorBidi"/>
          <w:b/>
          <w:bCs/>
          <w:color w:val="0F4761" w:themeColor="accent1" w:themeShade="BF"/>
          <w:sz w:val="28"/>
          <w:szCs w:val="28"/>
          <w:lang w:val="fr-BE"/>
        </w:rPr>
        <w:t xml:space="preserve">Quelles pièces justificatives/quels types de frais ne sont pas acceptés ? </w:t>
      </w:r>
    </w:p>
    <w:p w14:paraId="79BA6834" w14:textId="77777777" w:rsidR="00785AF0" w:rsidRPr="00CC6DA8" w:rsidRDefault="00785AF0" w:rsidP="00785AF0">
      <w:pPr>
        <w:rPr>
          <w:lang w:val="fr-BE"/>
        </w:rPr>
      </w:pPr>
      <w:r w:rsidRPr="00CC6DA8">
        <w:rPr>
          <w:b/>
          <w:u w:val="single"/>
          <w:lang w:val="fr-BE"/>
        </w:rPr>
        <w:t>De manière générale :</w:t>
      </w:r>
      <w:r w:rsidRPr="00CC6DA8">
        <w:rPr>
          <w:lang w:val="fr-BE"/>
        </w:rPr>
        <w:t xml:space="preserve"> </w:t>
      </w:r>
      <w:r>
        <w:rPr>
          <w:lang w:val="fr-BE"/>
        </w:rPr>
        <w:t>L</w:t>
      </w:r>
      <w:r w:rsidRPr="00CC6DA8">
        <w:rPr>
          <w:lang w:val="fr-BE"/>
        </w:rPr>
        <w:t>es pièces justificatives incomplètes</w:t>
      </w:r>
      <w:r>
        <w:rPr>
          <w:lang w:val="fr-BE"/>
        </w:rPr>
        <w:t xml:space="preserve">, ou dont les </w:t>
      </w:r>
      <w:r w:rsidRPr="00CC6DA8">
        <w:rPr>
          <w:lang w:val="fr-BE"/>
        </w:rPr>
        <w:t>montant</w:t>
      </w:r>
      <w:r>
        <w:rPr>
          <w:lang w:val="fr-BE"/>
        </w:rPr>
        <w:t>s ne sont pas identiques sur l</w:t>
      </w:r>
      <w:r w:rsidRPr="00CC6DA8">
        <w:rPr>
          <w:lang w:val="fr-BE"/>
        </w:rPr>
        <w:t>a facture et</w:t>
      </w:r>
      <w:r>
        <w:rPr>
          <w:lang w:val="fr-BE"/>
        </w:rPr>
        <w:t xml:space="preserve"> dans</w:t>
      </w:r>
      <w:r w:rsidRPr="00CC6DA8">
        <w:rPr>
          <w:lang w:val="fr-BE"/>
        </w:rPr>
        <w:t xml:space="preserve"> le tableau synoptique</w:t>
      </w:r>
      <w:r>
        <w:rPr>
          <w:lang w:val="fr-BE"/>
        </w:rPr>
        <w:t>.</w:t>
      </w:r>
    </w:p>
    <w:p w14:paraId="7F3C9D81" w14:textId="77777777" w:rsidR="00785AF0" w:rsidRPr="00CC6DA8" w:rsidRDefault="00785AF0" w:rsidP="00785AF0">
      <w:pPr>
        <w:rPr>
          <w:b/>
          <w:u w:val="single"/>
          <w:lang w:val="fr-BE"/>
        </w:rPr>
      </w:pPr>
      <w:r w:rsidRPr="00CC6DA8">
        <w:rPr>
          <w:b/>
          <w:u w:val="single"/>
          <w:lang w:val="fr-BE"/>
        </w:rPr>
        <w:t>Liste de</w:t>
      </w:r>
      <w:r>
        <w:rPr>
          <w:b/>
          <w:u w:val="single"/>
          <w:lang w:val="fr-BE"/>
        </w:rPr>
        <w:t>s</w:t>
      </w:r>
      <w:r w:rsidRPr="00CC6DA8">
        <w:rPr>
          <w:b/>
          <w:u w:val="single"/>
          <w:lang w:val="fr-BE"/>
        </w:rPr>
        <w:t xml:space="preserve"> pièces justificatives </w:t>
      </w:r>
      <w:r>
        <w:rPr>
          <w:b/>
          <w:u w:val="single"/>
          <w:lang w:val="fr-BE"/>
        </w:rPr>
        <w:t>non acceptées</w:t>
      </w:r>
      <w:r w:rsidRPr="00CC6DA8">
        <w:rPr>
          <w:b/>
          <w:u w:val="single"/>
          <w:lang w:val="fr-BE"/>
        </w:rPr>
        <w:t xml:space="preserve"> : </w:t>
      </w:r>
    </w:p>
    <w:p w14:paraId="53735F90" w14:textId="77777777" w:rsidR="00785AF0" w:rsidRPr="00CC6DA8" w:rsidRDefault="00785AF0" w:rsidP="00785AF0">
      <w:pPr>
        <w:numPr>
          <w:ilvl w:val="0"/>
          <w:numId w:val="12"/>
        </w:numPr>
        <w:spacing w:after="200" w:line="276" w:lineRule="auto"/>
        <w:contextualSpacing/>
        <w:rPr>
          <w:lang w:val="fr-BE"/>
        </w:rPr>
      </w:pPr>
      <w:r>
        <w:rPr>
          <w:lang w:val="fr-BE"/>
        </w:rPr>
        <w:t>Les c</w:t>
      </w:r>
      <w:r w:rsidRPr="00CC6DA8">
        <w:rPr>
          <w:lang w:val="fr-BE"/>
        </w:rPr>
        <w:t>adeaux à des tiers,</w:t>
      </w:r>
      <w:r>
        <w:rPr>
          <w:lang w:val="fr-BE"/>
        </w:rPr>
        <w:t xml:space="preserve"> le</w:t>
      </w:r>
      <w:r w:rsidRPr="00CC6DA8">
        <w:rPr>
          <w:lang w:val="fr-BE"/>
        </w:rPr>
        <w:t xml:space="preserve"> sponsoring</w:t>
      </w:r>
      <w:r>
        <w:rPr>
          <w:lang w:val="fr-BE"/>
        </w:rPr>
        <w:t>, ..</w:t>
      </w:r>
      <w:r w:rsidRPr="00CC6DA8">
        <w:rPr>
          <w:lang w:val="fr-BE"/>
        </w:rPr>
        <w:t>.</w:t>
      </w:r>
    </w:p>
    <w:p w14:paraId="0C260157" w14:textId="77777777" w:rsidR="00785AF0" w:rsidRPr="00CC6DA8" w:rsidRDefault="00785AF0" w:rsidP="00785AF0">
      <w:pPr>
        <w:numPr>
          <w:ilvl w:val="0"/>
          <w:numId w:val="12"/>
        </w:numPr>
        <w:spacing w:after="200" w:line="276" w:lineRule="auto"/>
        <w:contextualSpacing/>
        <w:rPr>
          <w:lang w:val="fr-BE"/>
        </w:rPr>
      </w:pPr>
      <w:r>
        <w:rPr>
          <w:lang w:val="fr-BE"/>
        </w:rPr>
        <w:t>Les f</w:t>
      </w:r>
      <w:r w:rsidRPr="00CC6DA8">
        <w:rPr>
          <w:lang w:val="fr-BE"/>
        </w:rPr>
        <w:t>actures officielles non justifiées par les objectifs de la convention.</w:t>
      </w:r>
    </w:p>
    <w:p w14:paraId="290E1AE8" w14:textId="77777777" w:rsidR="00785AF0" w:rsidRPr="00CC6DA8" w:rsidRDefault="00785AF0" w:rsidP="00785AF0">
      <w:pPr>
        <w:numPr>
          <w:ilvl w:val="0"/>
          <w:numId w:val="12"/>
        </w:numPr>
        <w:spacing w:after="200" w:line="276" w:lineRule="auto"/>
        <w:contextualSpacing/>
        <w:rPr>
          <w:lang w:val="fr-BE"/>
        </w:rPr>
      </w:pPr>
      <w:r>
        <w:rPr>
          <w:lang w:val="fr-BE"/>
        </w:rPr>
        <w:lastRenderedPageBreak/>
        <w:t>Les n</w:t>
      </w:r>
      <w:r w:rsidRPr="00CC6DA8">
        <w:rPr>
          <w:lang w:val="fr-BE"/>
        </w:rPr>
        <w:t>otes de frais d’</w:t>
      </w:r>
      <w:r>
        <w:rPr>
          <w:lang w:val="fr-BE"/>
        </w:rPr>
        <w:t xml:space="preserve">un véhicule privé </w:t>
      </w:r>
      <w:r w:rsidRPr="00CC6DA8">
        <w:rPr>
          <w:lang w:val="fr-BE"/>
        </w:rPr>
        <w:t>entièrement facturées (</w:t>
      </w:r>
      <w:r>
        <w:rPr>
          <w:lang w:val="fr-BE"/>
        </w:rPr>
        <w:t>le remboursement sera calculé sur base de l’indemnité kilométrique appliquée par l’INAMI)</w:t>
      </w:r>
      <w:r w:rsidRPr="00CC6DA8">
        <w:rPr>
          <w:lang w:val="fr-BE"/>
        </w:rPr>
        <w:t>.</w:t>
      </w:r>
    </w:p>
    <w:p w14:paraId="1D2B07E1" w14:textId="77777777" w:rsidR="00785AF0" w:rsidRPr="00EB0950" w:rsidRDefault="00785AF0" w:rsidP="00785AF0">
      <w:pPr>
        <w:numPr>
          <w:ilvl w:val="0"/>
          <w:numId w:val="12"/>
        </w:numPr>
        <w:spacing w:after="200" w:line="276" w:lineRule="auto"/>
        <w:contextualSpacing/>
        <w:rPr>
          <w:lang w:val="fr-BE"/>
        </w:rPr>
      </w:pPr>
      <w:r w:rsidRPr="00EB0950">
        <w:rPr>
          <w:lang w:val="fr-BE"/>
        </w:rPr>
        <w:t>Les frais de restaurant, etc.…</w:t>
      </w:r>
    </w:p>
    <w:p w14:paraId="16DA152A" w14:textId="77777777" w:rsidR="00785AF0" w:rsidRPr="00CC6DA8" w:rsidRDefault="00785AF0" w:rsidP="00785AF0">
      <w:pPr>
        <w:numPr>
          <w:ilvl w:val="0"/>
          <w:numId w:val="12"/>
        </w:numPr>
        <w:spacing w:after="200" w:line="276" w:lineRule="auto"/>
        <w:contextualSpacing/>
        <w:rPr>
          <w:lang w:val="fr-BE"/>
        </w:rPr>
      </w:pPr>
      <w:r>
        <w:rPr>
          <w:lang w:val="fr-BE"/>
        </w:rPr>
        <w:t>Le m</w:t>
      </w:r>
      <w:r w:rsidRPr="00CC6DA8">
        <w:rPr>
          <w:lang w:val="fr-BE"/>
        </w:rPr>
        <w:t>atériel non pris en compte, à savoir matériel de décoration, tente de réception, table haute, etc</w:t>
      </w:r>
      <w:r>
        <w:rPr>
          <w:lang w:val="fr-BE"/>
        </w:rPr>
        <w:t>…</w:t>
      </w:r>
    </w:p>
    <w:p w14:paraId="476A983E" w14:textId="77777777" w:rsidR="00785AF0" w:rsidRPr="00CC6DA8" w:rsidRDefault="00785AF0" w:rsidP="00785AF0">
      <w:pPr>
        <w:numPr>
          <w:ilvl w:val="0"/>
          <w:numId w:val="12"/>
        </w:numPr>
        <w:spacing w:after="200" w:line="276" w:lineRule="auto"/>
        <w:contextualSpacing/>
        <w:rPr>
          <w:lang w:val="fr-BE"/>
        </w:rPr>
      </w:pPr>
      <w:r>
        <w:rPr>
          <w:lang w:val="fr-BE"/>
        </w:rPr>
        <w:t>Les n</w:t>
      </w:r>
      <w:r w:rsidRPr="00CC6DA8">
        <w:rPr>
          <w:lang w:val="fr-BE"/>
        </w:rPr>
        <w:t>otes de frais de location de salles de réunion</w:t>
      </w:r>
      <w:r>
        <w:rPr>
          <w:lang w:val="fr-BE"/>
        </w:rPr>
        <w:t>, ou autres, qui n’aura pas fait l’objet d’une demande préalable à l’INAMI</w:t>
      </w:r>
      <w:r w:rsidRPr="00CC6DA8">
        <w:rPr>
          <w:lang w:val="fr-BE"/>
        </w:rPr>
        <w:t>.</w:t>
      </w:r>
    </w:p>
    <w:p w14:paraId="5F5F4DE6" w14:textId="77777777" w:rsidR="00785AF0" w:rsidRPr="00CC6DA8" w:rsidRDefault="00785AF0" w:rsidP="00785AF0">
      <w:pPr>
        <w:numPr>
          <w:ilvl w:val="0"/>
          <w:numId w:val="12"/>
        </w:numPr>
        <w:spacing w:after="200" w:line="276" w:lineRule="auto"/>
        <w:contextualSpacing/>
        <w:rPr>
          <w:lang w:val="fr-BE"/>
        </w:rPr>
      </w:pPr>
      <w:r>
        <w:rPr>
          <w:lang w:val="fr-BE"/>
        </w:rPr>
        <w:t>Tout f</w:t>
      </w:r>
      <w:r w:rsidRPr="00CC6DA8">
        <w:rPr>
          <w:lang w:val="fr-BE"/>
        </w:rPr>
        <w:t>rai</w:t>
      </w:r>
      <w:r>
        <w:rPr>
          <w:lang w:val="fr-BE"/>
        </w:rPr>
        <w:t>s</w:t>
      </w:r>
      <w:r w:rsidRPr="00CC6DA8">
        <w:rPr>
          <w:lang w:val="fr-BE"/>
        </w:rPr>
        <w:t xml:space="preserve"> de catering, de formation, de congrès </w:t>
      </w:r>
      <w:r>
        <w:rPr>
          <w:lang w:val="fr-BE"/>
        </w:rPr>
        <w:t xml:space="preserve">ou </w:t>
      </w:r>
      <w:r w:rsidRPr="00CC6DA8">
        <w:rPr>
          <w:lang w:val="fr-BE"/>
        </w:rPr>
        <w:t xml:space="preserve">de séjour </w:t>
      </w:r>
      <w:r>
        <w:rPr>
          <w:lang w:val="fr-BE"/>
        </w:rPr>
        <w:t xml:space="preserve">n’ayant pas fait l’objet d’une demande préalable à l’INAMI. </w:t>
      </w:r>
    </w:p>
    <w:p w14:paraId="663C666A" w14:textId="77777777" w:rsidR="00785AF0" w:rsidRPr="00CC6DA8" w:rsidRDefault="00785AF0" w:rsidP="00785AF0">
      <w:pPr>
        <w:numPr>
          <w:ilvl w:val="0"/>
          <w:numId w:val="12"/>
        </w:numPr>
        <w:spacing w:after="200" w:line="276" w:lineRule="auto"/>
        <w:contextualSpacing/>
        <w:rPr>
          <w:lang w:val="fr-BE"/>
        </w:rPr>
      </w:pPr>
      <w:r>
        <w:rPr>
          <w:lang w:val="fr-BE"/>
        </w:rPr>
        <w:t>Les a</w:t>
      </w:r>
      <w:r w:rsidRPr="00CC6DA8">
        <w:rPr>
          <w:lang w:val="fr-BE"/>
        </w:rPr>
        <w:t>mendes, intérêts de retard, frais supplémentaires</w:t>
      </w:r>
      <w:r>
        <w:rPr>
          <w:lang w:val="fr-BE"/>
        </w:rPr>
        <w:t>,</w:t>
      </w:r>
      <w:r w:rsidRPr="00CC6DA8">
        <w:rPr>
          <w:lang w:val="fr-BE"/>
        </w:rPr>
        <w:t xml:space="preserve"> ...</w:t>
      </w:r>
    </w:p>
    <w:p w14:paraId="3631E5FF" w14:textId="77777777" w:rsidR="00785AF0" w:rsidRPr="00CC6DA8" w:rsidRDefault="00785AF0" w:rsidP="00785AF0">
      <w:pPr>
        <w:numPr>
          <w:ilvl w:val="0"/>
          <w:numId w:val="12"/>
        </w:numPr>
        <w:spacing w:after="200" w:line="276" w:lineRule="auto"/>
        <w:contextualSpacing/>
        <w:rPr>
          <w:lang w:val="fr-BE"/>
        </w:rPr>
      </w:pPr>
      <w:r>
        <w:rPr>
          <w:lang w:val="fr-BE"/>
        </w:rPr>
        <w:t>Les p</w:t>
      </w:r>
      <w:r w:rsidRPr="00CC6DA8">
        <w:rPr>
          <w:lang w:val="fr-BE"/>
        </w:rPr>
        <w:t xml:space="preserve">ièces justificatives dont la date </w:t>
      </w:r>
      <w:r>
        <w:rPr>
          <w:lang w:val="fr-BE"/>
        </w:rPr>
        <w:t xml:space="preserve">ou </w:t>
      </w:r>
      <w:r w:rsidRPr="00CC6DA8">
        <w:rPr>
          <w:lang w:val="fr-BE"/>
        </w:rPr>
        <w:t>le montant ne sont pas parfaitement lisibl</w:t>
      </w:r>
      <w:r>
        <w:rPr>
          <w:lang w:val="fr-BE"/>
        </w:rPr>
        <w:t>es</w:t>
      </w:r>
      <w:r w:rsidRPr="00CC6DA8">
        <w:rPr>
          <w:lang w:val="fr-BE"/>
        </w:rPr>
        <w:t>.</w:t>
      </w:r>
    </w:p>
    <w:p w14:paraId="33513A49" w14:textId="77777777" w:rsidR="00785AF0" w:rsidRPr="00CC6DA8" w:rsidRDefault="00785AF0" w:rsidP="00785AF0">
      <w:pPr>
        <w:numPr>
          <w:ilvl w:val="0"/>
          <w:numId w:val="12"/>
        </w:numPr>
        <w:spacing w:after="200" w:line="276" w:lineRule="auto"/>
        <w:contextualSpacing/>
        <w:rPr>
          <w:lang w:val="fr-BE"/>
        </w:rPr>
      </w:pPr>
      <w:r>
        <w:rPr>
          <w:lang w:val="fr-BE"/>
        </w:rPr>
        <w:t>Les p</w:t>
      </w:r>
      <w:r w:rsidRPr="00CC6DA8">
        <w:rPr>
          <w:lang w:val="fr-BE"/>
        </w:rPr>
        <w:t>ièces justificatives qui ne sont ni datées ni signées</w:t>
      </w:r>
      <w:r>
        <w:rPr>
          <w:lang w:val="fr-BE"/>
        </w:rPr>
        <w:t>, dans le c</w:t>
      </w:r>
      <w:r w:rsidRPr="00CC6DA8">
        <w:rPr>
          <w:lang w:val="fr-BE"/>
        </w:rPr>
        <w:t>as de</w:t>
      </w:r>
      <w:r>
        <w:rPr>
          <w:lang w:val="fr-BE"/>
        </w:rPr>
        <w:t>s</w:t>
      </w:r>
      <w:r w:rsidRPr="00CC6DA8">
        <w:rPr>
          <w:lang w:val="fr-BE"/>
        </w:rPr>
        <w:t xml:space="preserve"> factures non officielles.</w:t>
      </w:r>
    </w:p>
    <w:p w14:paraId="4E35C368" w14:textId="77777777" w:rsidR="00785AF0" w:rsidRDefault="00785AF0" w:rsidP="00785AF0">
      <w:pPr>
        <w:numPr>
          <w:ilvl w:val="0"/>
          <w:numId w:val="12"/>
        </w:numPr>
        <w:spacing w:after="200" w:line="276" w:lineRule="auto"/>
        <w:contextualSpacing/>
        <w:rPr>
          <w:lang w:val="fr-BE"/>
        </w:rPr>
      </w:pPr>
      <w:r w:rsidRPr="00CC6DA8">
        <w:rPr>
          <w:lang w:val="fr-BE"/>
        </w:rPr>
        <w:t>Les factures d’événements (</w:t>
      </w:r>
      <w:proofErr w:type="spellStart"/>
      <w:r w:rsidRPr="00CC6DA8">
        <w:rPr>
          <w:lang w:val="fr-BE"/>
        </w:rPr>
        <w:t>teamb</w:t>
      </w:r>
      <w:r>
        <w:rPr>
          <w:lang w:val="fr-BE"/>
        </w:rPr>
        <w:t>uilding</w:t>
      </w:r>
      <w:proofErr w:type="spellEnd"/>
      <w:r w:rsidRPr="00CC6DA8">
        <w:rPr>
          <w:lang w:val="fr-BE"/>
        </w:rPr>
        <w:t>, fêtes de fin d’année, excursions...)</w:t>
      </w:r>
      <w:r>
        <w:rPr>
          <w:lang w:val="fr-BE"/>
        </w:rPr>
        <w:t>.</w:t>
      </w:r>
    </w:p>
    <w:p w14:paraId="7F965228" w14:textId="77777777" w:rsidR="00785AF0" w:rsidRDefault="00785AF0" w:rsidP="00785AF0">
      <w:pPr>
        <w:contextualSpacing/>
        <w:rPr>
          <w:lang w:val="fr-BE"/>
        </w:rPr>
      </w:pPr>
    </w:p>
    <w:p w14:paraId="44DABF84" w14:textId="77777777" w:rsidR="00785AF0" w:rsidRPr="00CC6DA8" w:rsidRDefault="00785AF0" w:rsidP="00785AF0">
      <w:pPr>
        <w:contextualSpacing/>
        <w:rPr>
          <w:lang w:val="fr-BE"/>
        </w:rPr>
      </w:pPr>
      <w:r>
        <w:rPr>
          <w:lang w:val="fr-BE"/>
        </w:rPr>
        <w:t xml:space="preserve">Cette liste n’est pas exhaustive. En cas de doutes, le partenaire est tenu de contacter le service qualifié. De plus, le service se réserve le droit de demander de plus amples informations concernant une facture ou toute autre pièce justificative qui ne serait pas assez claire. </w:t>
      </w:r>
    </w:p>
    <w:p w14:paraId="16F215E1" w14:textId="77777777" w:rsidR="00785AF0" w:rsidRPr="00CC6DA8" w:rsidRDefault="00785AF0" w:rsidP="00785AF0">
      <w:pPr>
        <w:keepNext/>
        <w:keepLines/>
        <w:spacing w:before="480" w:after="0"/>
        <w:outlineLvl w:val="0"/>
        <w:rPr>
          <w:rFonts w:asciiTheme="majorHAnsi" w:eastAsiaTheme="majorEastAsia" w:hAnsiTheme="majorHAnsi" w:cstheme="majorBidi"/>
          <w:b/>
          <w:bCs/>
          <w:color w:val="0F4761" w:themeColor="accent1" w:themeShade="BF"/>
          <w:sz w:val="28"/>
          <w:szCs w:val="28"/>
          <w:lang w:val="fr-BE"/>
        </w:rPr>
      </w:pPr>
      <w:r w:rsidRPr="00CC6DA8">
        <w:rPr>
          <w:rFonts w:asciiTheme="majorHAnsi" w:eastAsiaTheme="majorEastAsia" w:hAnsiTheme="majorHAnsi" w:cstheme="majorBidi"/>
          <w:b/>
          <w:bCs/>
          <w:color w:val="0F4761" w:themeColor="accent1" w:themeShade="BF"/>
          <w:sz w:val="28"/>
          <w:szCs w:val="28"/>
          <w:lang w:val="fr-BE"/>
        </w:rPr>
        <w:t>Points d’attention concernant...</w:t>
      </w:r>
    </w:p>
    <w:p w14:paraId="603E13EE" w14:textId="77777777" w:rsidR="00785AF0" w:rsidRPr="00CC6DA8" w:rsidRDefault="00785AF0" w:rsidP="00785AF0">
      <w:pPr>
        <w:keepNext/>
        <w:keepLines/>
        <w:spacing w:before="40" w:after="0"/>
        <w:outlineLvl w:val="1"/>
        <w:rPr>
          <w:rFonts w:asciiTheme="majorHAnsi" w:eastAsiaTheme="majorEastAsia" w:hAnsiTheme="majorHAnsi" w:cstheme="majorBidi"/>
          <w:color w:val="0F4761" w:themeColor="accent1" w:themeShade="BF"/>
          <w:sz w:val="26"/>
          <w:szCs w:val="26"/>
          <w:lang w:val="fr-BE"/>
        </w:rPr>
      </w:pPr>
      <w:r w:rsidRPr="00CC6DA8">
        <w:rPr>
          <w:rFonts w:asciiTheme="majorHAnsi" w:eastAsiaTheme="majorEastAsia" w:hAnsiTheme="majorHAnsi" w:cstheme="majorBidi"/>
          <w:color w:val="0F4761" w:themeColor="accent1" w:themeShade="BF"/>
          <w:sz w:val="26"/>
          <w:szCs w:val="26"/>
          <w:lang w:val="fr-BE"/>
        </w:rPr>
        <w:t>… l’élaboration d’un rapport financier</w:t>
      </w:r>
    </w:p>
    <w:p w14:paraId="488F7E55" w14:textId="77777777" w:rsidR="00785AF0" w:rsidRPr="00CC6DA8" w:rsidRDefault="00785AF0" w:rsidP="00785AF0">
      <w:pPr>
        <w:ind w:left="720"/>
        <w:contextualSpacing/>
        <w:rPr>
          <w:lang w:val="fr-BE"/>
        </w:rPr>
      </w:pPr>
    </w:p>
    <w:p w14:paraId="43EE59CC" w14:textId="77777777" w:rsidR="00785AF0" w:rsidRPr="00CC6DA8" w:rsidRDefault="00785AF0" w:rsidP="00785AF0">
      <w:pPr>
        <w:numPr>
          <w:ilvl w:val="0"/>
          <w:numId w:val="14"/>
        </w:numPr>
        <w:spacing w:after="200" w:line="276" w:lineRule="auto"/>
        <w:contextualSpacing/>
        <w:rPr>
          <w:b/>
          <w:i/>
          <w:lang w:val="fr-BE"/>
        </w:rPr>
      </w:pPr>
      <w:r w:rsidRPr="00CC6DA8">
        <w:rPr>
          <w:b/>
          <w:i/>
          <w:lang w:val="fr-BE"/>
        </w:rPr>
        <w:t xml:space="preserve">Vous devez obligatoirement utiliser le </w:t>
      </w:r>
      <w:proofErr w:type="spellStart"/>
      <w:r w:rsidRPr="00CC6DA8">
        <w:rPr>
          <w:b/>
          <w:i/>
          <w:lang w:val="fr-BE"/>
        </w:rPr>
        <w:t>template</w:t>
      </w:r>
      <w:proofErr w:type="spellEnd"/>
      <w:r w:rsidRPr="00CC6DA8">
        <w:rPr>
          <w:b/>
          <w:i/>
          <w:lang w:val="fr-BE"/>
        </w:rPr>
        <w:t xml:space="preserve"> joint en annexe à chaque convention ou avenant à la convention. </w:t>
      </w:r>
    </w:p>
    <w:p w14:paraId="29F7B590" w14:textId="77777777" w:rsidR="00785AF0" w:rsidRPr="00CC6DA8" w:rsidRDefault="00785AF0" w:rsidP="00785AF0">
      <w:pPr>
        <w:ind w:left="720"/>
        <w:contextualSpacing/>
        <w:rPr>
          <w:lang w:val="fr-BE"/>
        </w:rPr>
      </w:pPr>
      <w:r w:rsidRPr="00CC6DA8">
        <w:rPr>
          <w:lang w:val="fr-BE"/>
        </w:rPr>
        <w:t xml:space="preserve">L’INAMI n’acceptera aucun rapport financier qui n’aura pas été établi conformément au </w:t>
      </w:r>
      <w:proofErr w:type="spellStart"/>
      <w:r w:rsidRPr="00CC6DA8">
        <w:rPr>
          <w:lang w:val="fr-BE"/>
        </w:rPr>
        <w:t>template</w:t>
      </w:r>
      <w:proofErr w:type="spellEnd"/>
      <w:r w:rsidRPr="00CC6DA8">
        <w:rPr>
          <w:lang w:val="fr-BE"/>
        </w:rPr>
        <w:t xml:space="preserve">. </w:t>
      </w:r>
    </w:p>
    <w:p w14:paraId="1EFD0F9C" w14:textId="77777777" w:rsidR="00785AF0" w:rsidRPr="00CC6DA8" w:rsidRDefault="00785AF0" w:rsidP="00785AF0">
      <w:pPr>
        <w:ind w:left="720"/>
        <w:contextualSpacing/>
        <w:rPr>
          <w:lang w:val="fr-BE"/>
        </w:rPr>
      </w:pPr>
    </w:p>
    <w:p w14:paraId="6D4C9349" w14:textId="77777777" w:rsidR="00785AF0" w:rsidRPr="00CC6DA8" w:rsidRDefault="00785AF0" w:rsidP="00785AF0">
      <w:pPr>
        <w:numPr>
          <w:ilvl w:val="0"/>
          <w:numId w:val="14"/>
        </w:numPr>
        <w:spacing w:after="200" w:line="276" w:lineRule="auto"/>
        <w:contextualSpacing/>
        <w:rPr>
          <w:lang w:val="fr-BE"/>
        </w:rPr>
      </w:pPr>
      <w:r w:rsidRPr="00CC6DA8">
        <w:rPr>
          <w:b/>
          <w:i/>
          <w:lang w:val="fr-BE"/>
        </w:rPr>
        <w:t>Toutes les dépenses relatives à l’activité du projet doivent être mentionnées pour l’année concernée.</w:t>
      </w:r>
      <w:r w:rsidRPr="00CC6DA8">
        <w:rPr>
          <w:lang w:val="fr-BE"/>
        </w:rPr>
        <w:t xml:space="preserve"> </w:t>
      </w:r>
    </w:p>
    <w:p w14:paraId="2DBB3987" w14:textId="77777777" w:rsidR="00785AF0" w:rsidRPr="00CC6DA8" w:rsidRDefault="00785AF0" w:rsidP="00785AF0">
      <w:pPr>
        <w:ind w:left="720"/>
        <w:contextualSpacing/>
        <w:rPr>
          <w:lang w:val="fr-BE"/>
        </w:rPr>
      </w:pPr>
      <w:r w:rsidRPr="00CC6DA8">
        <w:rPr>
          <w:lang w:val="fr-BE"/>
        </w:rPr>
        <w:t xml:space="preserve">Pour toutes les données que vous transmettrez, vous devrez dorénavant appliquer et respecter les principes comptables suivants : </w:t>
      </w:r>
    </w:p>
    <w:p w14:paraId="029ABA00" w14:textId="77777777" w:rsidR="00785AF0" w:rsidRPr="00CC6DA8" w:rsidRDefault="00785AF0" w:rsidP="00785AF0">
      <w:pPr>
        <w:ind w:left="720"/>
        <w:contextualSpacing/>
        <w:rPr>
          <w:lang w:val="fr-BE"/>
        </w:rPr>
      </w:pPr>
    </w:p>
    <w:p w14:paraId="04DE5032" w14:textId="77777777" w:rsidR="00785AF0" w:rsidRPr="00CC6DA8" w:rsidRDefault="00785AF0" w:rsidP="00785AF0">
      <w:pPr>
        <w:numPr>
          <w:ilvl w:val="0"/>
          <w:numId w:val="15"/>
        </w:numPr>
        <w:spacing w:after="200" w:line="276" w:lineRule="auto"/>
        <w:contextualSpacing/>
        <w:rPr>
          <w:b/>
          <w:u w:val="single"/>
          <w:lang w:val="fr-BE"/>
        </w:rPr>
      </w:pPr>
      <w:r w:rsidRPr="00CC6DA8">
        <w:rPr>
          <w:b/>
          <w:u w:val="single"/>
          <w:lang w:val="fr-BE"/>
        </w:rPr>
        <w:t xml:space="preserve">Le principe de la continuité de l’exécution du projet : </w:t>
      </w:r>
    </w:p>
    <w:p w14:paraId="5FB73880" w14:textId="77777777" w:rsidR="00785AF0" w:rsidRPr="00CC6DA8" w:rsidRDefault="00785AF0" w:rsidP="00785AF0">
      <w:pPr>
        <w:ind w:left="708"/>
        <w:rPr>
          <w:lang w:val="fr-BE"/>
        </w:rPr>
      </w:pPr>
      <w:r w:rsidRPr="00CC6DA8">
        <w:rPr>
          <w:lang w:val="fr-BE"/>
        </w:rPr>
        <w:t xml:space="preserve">Selon ce principe, le projet doit établir ses rapports financiers en vue d’une poursuite normale de ses activités. Les dépenses et recettes mentionnées doivent absolument concerner l’activité du projet pendant la durée du projet et dans le cadre des objectifs fixés, tels qu’ils sont mentionnés dans la convention ou l’avenant à la convention. </w:t>
      </w:r>
    </w:p>
    <w:p w14:paraId="12FF6906" w14:textId="77777777" w:rsidR="00785AF0" w:rsidRPr="00CC6DA8" w:rsidRDefault="00785AF0" w:rsidP="00785AF0">
      <w:pPr>
        <w:numPr>
          <w:ilvl w:val="0"/>
          <w:numId w:val="15"/>
        </w:numPr>
        <w:spacing w:after="200" w:line="276" w:lineRule="auto"/>
        <w:contextualSpacing/>
        <w:rPr>
          <w:b/>
          <w:u w:val="single"/>
          <w:lang w:val="fr-BE"/>
        </w:rPr>
      </w:pPr>
      <w:r w:rsidRPr="00CC6DA8">
        <w:rPr>
          <w:b/>
          <w:u w:val="single"/>
          <w:lang w:val="fr-BE"/>
        </w:rPr>
        <w:t xml:space="preserve">Le principe du caractère permanent des méthodes : </w:t>
      </w:r>
    </w:p>
    <w:p w14:paraId="6B6CD043" w14:textId="77777777" w:rsidR="00785AF0" w:rsidRPr="00CC6DA8" w:rsidRDefault="00785AF0" w:rsidP="00785AF0">
      <w:pPr>
        <w:ind w:left="708"/>
        <w:rPr>
          <w:lang w:val="fr-BE"/>
        </w:rPr>
      </w:pPr>
      <w:r w:rsidRPr="00CC6DA8">
        <w:rPr>
          <w:lang w:val="fr-BE"/>
        </w:rPr>
        <w:t>Selon ce principe, le projet doit établir ses rapports financiers en respectant les règles</w:t>
      </w:r>
      <w:r>
        <w:rPr>
          <w:lang w:val="fr-BE"/>
        </w:rPr>
        <w:t>,</w:t>
      </w:r>
      <w:r w:rsidRPr="00CC6DA8">
        <w:rPr>
          <w:lang w:val="fr-BE"/>
        </w:rPr>
        <w:t xml:space="preserve"> méthodes d’évaluation et de présentation que l’INAMI impose chaque année. </w:t>
      </w:r>
    </w:p>
    <w:p w14:paraId="487E8650" w14:textId="77777777" w:rsidR="00785AF0" w:rsidRPr="00CC6DA8" w:rsidRDefault="00785AF0" w:rsidP="00785AF0">
      <w:pPr>
        <w:numPr>
          <w:ilvl w:val="0"/>
          <w:numId w:val="15"/>
        </w:numPr>
        <w:spacing w:after="200" w:line="276" w:lineRule="auto"/>
        <w:contextualSpacing/>
        <w:rPr>
          <w:b/>
          <w:u w:val="single"/>
          <w:lang w:val="fr-BE"/>
        </w:rPr>
      </w:pPr>
      <w:r w:rsidRPr="00CC6DA8">
        <w:rPr>
          <w:b/>
          <w:u w:val="single"/>
          <w:lang w:val="fr-BE"/>
        </w:rPr>
        <w:t xml:space="preserve">Le principe de la spécialisation des exercices : </w:t>
      </w:r>
    </w:p>
    <w:p w14:paraId="38F37B29" w14:textId="77777777" w:rsidR="00785AF0" w:rsidRPr="00CC6DA8" w:rsidRDefault="00785AF0" w:rsidP="00785AF0">
      <w:pPr>
        <w:ind w:left="708"/>
        <w:rPr>
          <w:lang w:val="fr-BE"/>
        </w:rPr>
      </w:pPr>
      <w:r w:rsidRPr="00CC6DA8">
        <w:rPr>
          <w:lang w:val="fr-BE"/>
        </w:rPr>
        <w:t xml:space="preserve">Selon ce principe, les dépenses sont liées à l’année à laquelle elles se rapportent. Les pièces justificatives doivent donc être jointes au rapport financier de l’année à laquelle </w:t>
      </w:r>
      <w:r w:rsidRPr="00CC6DA8">
        <w:rPr>
          <w:lang w:val="fr-BE"/>
        </w:rPr>
        <w:lastRenderedPageBreak/>
        <w:t>l’activité mentionnée se rapport</w:t>
      </w:r>
      <w:r>
        <w:rPr>
          <w:lang w:val="fr-BE"/>
        </w:rPr>
        <w:t>e</w:t>
      </w:r>
      <w:r w:rsidRPr="00CC6DA8">
        <w:rPr>
          <w:lang w:val="fr-BE"/>
        </w:rPr>
        <w:t xml:space="preserve">, sans tenir compte de la date de réception ou de paiement. </w:t>
      </w:r>
    </w:p>
    <w:p w14:paraId="6FC8B466" w14:textId="77777777" w:rsidR="00785AF0" w:rsidRDefault="00785AF0" w:rsidP="00785AF0">
      <w:pPr>
        <w:ind w:left="708" w:firstLine="12"/>
        <w:rPr>
          <w:lang w:val="fr-BE"/>
        </w:rPr>
      </w:pPr>
      <w:r w:rsidRPr="00CC6DA8">
        <w:rPr>
          <w:lang w:val="fr-BE"/>
        </w:rPr>
        <w:t>Exemple : une facture d’un opérateur de télécommunications pour la période du 1.1.2019 au 31.1.2019 doit être payée dans le rapport financier du trimestre 1</w:t>
      </w:r>
      <w:r>
        <w:rPr>
          <w:lang w:val="fr-BE"/>
        </w:rPr>
        <w:t xml:space="preserve"> /</w:t>
      </w:r>
      <w:r w:rsidRPr="00CC6DA8">
        <w:rPr>
          <w:lang w:val="fr-BE"/>
        </w:rPr>
        <w:t xml:space="preserve"> 2019. </w:t>
      </w:r>
    </w:p>
    <w:p w14:paraId="01BDAB76" w14:textId="77777777" w:rsidR="00785AF0" w:rsidRPr="00CC6DA8" w:rsidRDefault="00785AF0" w:rsidP="00785AF0">
      <w:pPr>
        <w:ind w:left="720"/>
        <w:rPr>
          <w:lang w:val="fr-BE"/>
        </w:rPr>
      </w:pPr>
      <w:r w:rsidRPr="00CC6DA8">
        <w:rPr>
          <w:lang w:val="fr-BE"/>
        </w:rPr>
        <w:t xml:space="preserve">Les pièces justificatives concernant plusieurs années doivent être ventilées. </w:t>
      </w:r>
    </w:p>
    <w:p w14:paraId="646791D3" w14:textId="77777777" w:rsidR="00785AF0" w:rsidRPr="00CC6DA8" w:rsidRDefault="00785AF0" w:rsidP="00785AF0">
      <w:pPr>
        <w:ind w:left="708"/>
        <w:rPr>
          <w:lang w:val="fr-BE"/>
        </w:rPr>
      </w:pPr>
      <w:r w:rsidRPr="00CC6DA8">
        <w:rPr>
          <w:lang w:val="fr-BE"/>
        </w:rPr>
        <w:t xml:space="preserve">Exemple : une facture d’assurance établie au milieu de l’année 2020 et couvrant la période du 1.5.2020 au 30.4.2021. </w:t>
      </w:r>
      <w:r>
        <w:rPr>
          <w:lang w:val="fr-BE"/>
        </w:rPr>
        <w:t>Dans le cas présent</w:t>
      </w:r>
      <w:r w:rsidRPr="00CC6DA8">
        <w:rPr>
          <w:lang w:val="fr-BE"/>
        </w:rPr>
        <w:t xml:space="preserve"> 8 mois doivent être comptabilisés pour l’année 2020 et 4 mois pour l’année 2021. </w:t>
      </w:r>
    </w:p>
    <w:p w14:paraId="74524230" w14:textId="77777777" w:rsidR="00785AF0" w:rsidRPr="006314D3" w:rsidRDefault="00785AF0" w:rsidP="00785AF0">
      <w:pPr>
        <w:numPr>
          <w:ilvl w:val="0"/>
          <w:numId w:val="15"/>
        </w:numPr>
        <w:spacing w:after="200" w:line="276" w:lineRule="auto"/>
        <w:contextualSpacing/>
        <w:rPr>
          <w:b/>
          <w:u w:val="single"/>
        </w:rPr>
      </w:pPr>
      <w:r w:rsidRPr="006314D3">
        <w:rPr>
          <w:b/>
          <w:u w:val="single"/>
        </w:rPr>
        <w:t xml:space="preserve">Le principe de </w:t>
      </w:r>
      <w:proofErr w:type="spellStart"/>
      <w:r w:rsidRPr="006314D3">
        <w:rPr>
          <w:b/>
          <w:u w:val="single"/>
        </w:rPr>
        <w:t>précaution</w:t>
      </w:r>
      <w:proofErr w:type="spellEnd"/>
      <w:r w:rsidRPr="006314D3">
        <w:rPr>
          <w:b/>
          <w:u w:val="single"/>
        </w:rPr>
        <w:t xml:space="preserve">: </w:t>
      </w:r>
    </w:p>
    <w:p w14:paraId="12C229EB" w14:textId="77777777" w:rsidR="00785AF0" w:rsidRPr="00CC6DA8" w:rsidRDefault="00785AF0" w:rsidP="00785AF0">
      <w:pPr>
        <w:ind w:left="720"/>
        <w:rPr>
          <w:lang w:val="fr-BE"/>
        </w:rPr>
      </w:pPr>
      <w:r w:rsidRPr="00CC6DA8">
        <w:rPr>
          <w:lang w:val="fr-BE"/>
        </w:rPr>
        <w:t xml:space="preserve">Selon ce principe, les dépenses sont comptabilisées et déclarées dès qu’elles sont avérées et réalisées. </w:t>
      </w:r>
    </w:p>
    <w:p w14:paraId="3DCEE73A" w14:textId="77777777" w:rsidR="00785AF0" w:rsidRPr="00CC6DA8" w:rsidRDefault="00785AF0" w:rsidP="00785AF0">
      <w:pPr>
        <w:ind w:left="720"/>
        <w:rPr>
          <w:lang w:val="fr-BE"/>
        </w:rPr>
      </w:pPr>
      <w:r w:rsidRPr="00CC6DA8">
        <w:rPr>
          <w:lang w:val="fr-BE"/>
        </w:rPr>
        <w:t>Tout montant mentionné qui ne peut être prouvé par une pièce justificative précise (facture, note de frais, fiche salariale...) sera refusé</w:t>
      </w:r>
      <w:r>
        <w:rPr>
          <w:lang w:val="fr-BE"/>
        </w:rPr>
        <w:t>e</w:t>
      </w:r>
      <w:r w:rsidRPr="00CC6DA8">
        <w:rPr>
          <w:lang w:val="fr-BE"/>
        </w:rPr>
        <w:t>. Les offres et propositions de contrats ne seront pas considérées comme pièces justificatives suffisantes.</w:t>
      </w:r>
    </w:p>
    <w:p w14:paraId="45896127" w14:textId="77777777" w:rsidR="00785AF0" w:rsidRPr="00CC6DA8" w:rsidRDefault="00785AF0" w:rsidP="00785AF0">
      <w:pPr>
        <w:ind w:left="720"/>
        <w:rPr>
          <w:lang w:val="fr-BE"/>
        </w:rPr>
      </w:pPr>
      <w:r w:rsidRPr="00CC6DA8">
        <w:rPr>
          <w:lang w:val="fr-BE"/>
        </w:rPr>
        <w:t xml:space="preserve">Une facture doit comporter différentes mentions obligatoires pour pouvoir être acceptée : </w:t>
      </w:r>
    </w:p>
    <w:p w14:paraId="42610124" w14:textId="77777777" w:rsidR="00785AF0" w:rsidRPr="006314D3" w:rsidRDefault="00785AF0" w:rsidP="00785AF0">
      <w:pPr>
        <w:numPr>
          <w:ilvl w:val="0"/>
          <w:numId w:val="16"/>
        </w:numPr>
        <w:spacing w:after="200" w:line="276" w:lineRule="auto"/>
        <w:contextualSpacing/>
      </w:pPr>
      <w:r w:rsidRPr="006314D3">
        <w:t xml:space="preserve">Date de la </w:t>
      </w:r>
      <w:proofErr w:type="spellStart"/>
      <w:r w:rsidRPr="006314D3">
        <w:t>facture</w:t>
      </w:r>
      <w:proofErr w:type="spellEnd"/>
    </w:p>
    <w:p w14:paraId="1E75921B" w14:textId="77777777" w:rsidR="00785AF0" w:rsidRPr="006314D3" w:rsidRDefault="00785AF0" w:rsidP="00785AF0">
      <w:pPr>
        <w:numPr>
          <w:ilvl w:val="0"/>
          <w:numId w:val="16"/>
        </w:numPr>
        <w:spacing w:after="200" w:line="276" w:lineRule="auto"/>
        <w:contextualSpacing/>
      </w:pPr>
      <w:r w:rsidRPr="006314D3">
        <w:t xml:space="preserve">Numéro de la </w:t>
      </w:r>
      <w:proofErr w:type="spellStart"/>
      <w:r w:rsidRPr="006314D3">
        <w:t>facture</w:t>
      </w:r>
      <w:proofErr w:type="spellEnd"/>
    </w:p>
    <w:p w14:paraId="1F72C8FD" w14:textId="77777777" w:rsidR="00785AF0" w:rsidRPr="00CC6DA8" w:rsidRDefault="00785AF0" w:rsidP="00785AF0">
      <w:pPr>
        <w:numPr>
          <w:ilvl w:val="0"/>
          <w:numId w:val="16"/>
        </w:numPr>
        <w:spacing w:after="200" w:line="276" w:lineRule="auto"/>
        <w:contextualSpacing/>
        <w:rPr>
          <w:lang w:val="fr-BE"/>
        </w:rPr>
      </w:pPr>
      <w:r w:rsidRPr="00CC6DA8">
        <w:rPr>
          <w:lang w:val="fr-BE"/>
        </w:rPr>
        <w:t xml:space="preserve">Nom ou raison sociale, adresse, numéro BCE du fournisseur </w:t>
      </w:r>
    </w:p>
    <w:p w14:paraId="119547B6" w14:textId="77777777" w:rsidR="00785AF0" w:rsidRPr="00CC6DA8" w:rsidRDefault="00785AF0" w:rsidP="00785AF0">
      <w:pPr>
        <w:numPr>
          <w:ilvl w:val="0"/>
          <w:numId w:val="16"/>
        </w:numPr>
        <w:spacing w:after="200" w:line="276" w:lineRule="auto"/>
        <w:contextualSpacing/>
        <w:rPr>
          <w:lang w:val="fr-BE"/>
        </w:rPr>
      </w:pPr>
      <w:r w:rsidRPr="00CC6DA8">
        <w:rPr>
          <w:lang w:val="fr-BE"/>
        </w:rPr>
        <w:t>Nom ou raison sociale, adresse, numéro BCE de l’organisation concernée (responsable de projet)</w:t>
      </w:r>
    </w:p>
    <w:p w14:paraId="26ECD4A1" w14:textId="77777777" w:rsidR="00785AF0" w:rsidRPr="00CC6DA8" w:rsidRDefault="00785AF0" w:rsidP="00785AF0">
      <w:pPr>
        <w:numPr>
          <w:ilvl w:val="0"/>
          <w:numId w:val="16"/>
        </w:numPr>
        <w:spacing w:after="200" w:line="276" w:lineRule="auto"/>
        <w:contextualSpacing/>
        <w:rPr>
          <w:lang w:val="fr-BE"/>
        </w:rPr>
      </w:pPr>
      <w:r w:rsidRPr="00CC6DA8">
        <w:rPr>
          <w:lang w:val="fr-BE"/>
        </w:rPr>
        <w:t xml:space="preserve">Prix hors TVA et prix TVA incluse + taux de TVA (si d’application et exprimé en EUR) </w:t>
      </w:r>
    </w:p>
    <w:p w14:paraId="66A5F136" w14:textId="77777777" w:rsidR="00785AF0" w:rsidRPr="00CC6DA8" w:rsidRDefault="00785AF0" w:rsidP="00785AF0">
      <w:pPr>
        <w:numPr>
          <w:ilvl w:val="0"/>
          <w:numId w:val="16"/>
        </w:numPr>
        <w:spacing w:after="200" w:line="276" w:lineRule="auto"/>
        <w:contextualSpacing/>
        <w:rPr>
          <w:lang w:val="fr-BE"/>
        </w:rPr>
      </w:pPr>
      <w:r w:rsidRPr="00CC6DA8">
        <w:rPr>
          <w:lang w:val="fr-BE"/>
        </w:rPr>
        <w:t>Période d’application (mention précise de l’activité dans le délai</w:t>
      </w:r>
      <w:r>
        <w:rPr>
          <w:lang w:val="fr-BE"/>
        </w:rPr>
        <w:t xml:space="preserve"> </w:t>
      </w:r>
      <w:r w:rsidRPr="00CC6DA8">
        <w:rPr>
          <w:lang w:val="fr-BE"/>
        </w:rPr>
        <w:t>/</w:t>
      </w:r>
      <w:r>
        <w:rPr>
          <w:lang w:val="fr-BE"/>
        </w:rPr>
        <w:t xml:space="preserve"> </w:t>
      </w:r>
      <w:r w:rsidRPr="00CC6DA8">
        <w:rPr>
          <w:lang w:val="fr-BE"/>
        </w:rPr>
        <w:t>la période de la convention)</w:t>
      </w:r>
    </w:p>
    <w:p w14:paraId="0723A4D3" w14:textId="77777777" w:rsidR="00785AF0" w:rsidRPr="00CC6DA8" w:rsidRDefault="00785AF0" w:rsidP="00785AF0">
      <w:pPr>
        <w:numPr>
          <w:ilvl w:val="0"/>
          <w:numId w:val="16"/>
        </w:numPr>
        <w:spacing w:after="200" w:line="276" w:lineRule="auto"/>
        <w:contextualSpacing/>
        <w:rPr>
          <w:lang w:val="fr-BE"/>
        </w:rPr>
      </w:pPr>
      <w:r w:rsidRPr="00CC6DA8">
        <w:rPr>
          <w:lang w:val="fr-BE"/>
        </w:rPr>
        <w:t xml:space="preserve">Description précise du bien ou des services fournis faisant l’objet de la facture (la mention « fourniture suivant offre/demande » ne sera plus acceptée). </w:t>
      </w:r>
    </w:p>
    <w:p w14:paraId="7D76DDF5" w14:textId="77777777" w:rsidR="00785AF0" w:rsidRDefault="00785AF0" w:rsidP="00785AF0">
      <w:pPr>
        <w:ind w:left="720"/>
        <w:contextualSpacing/>
        <w:rPr>
          <w:lang w:val="fr-BE"/>
        </w:rPr>
      </w:pPr>
      <w:r w:rsidRPr="00CC6DA8">
        <w:rPr>
          <w:lang w:val="fr-BE"/>
        </w:rPr>
        <w:t xml:space="preserve">À défaut d’un de ces éléments, la facture ne sera désormais plus acceptée. </w:t>
      </w:r>
    </w:p>
    <w:p w14:paraId="542DFFC1" w14:textId="77777777" w:rsidR="00785AF0" w:rsidRDefault="00785AF0" w:rsidP="00785AF0">
      <w:pPr>
        <w:ind w:firstLine="708"/>
        <w:rPr>
          <w:lang w:val="fr-BE"/>
        </w:rPr>
      </w:pPr>
    </w:p>
    <w:p w14:paraId="03B983C8" w14:textId="77777777" w:rsidR="00785AF0" w:rsidRPr="00F8547F" w:rsidRDefault="00785AF0" w:rsidP="00785AF0">
      <w:pPr>
        <w:ind w:firstLine="708"/>
        <w:rPr>
          <w:lang w:val="fr-BE"/>
        </w:rPr>
      </w:pPr>
      <w:r w:rsidRPr="00F8547F">
        <w:rPr>
          <w:lang w:val="fr-BE"/>
        </w:rPr>
        <w:t xml:space="preserve">Remarque : </w:t>
      </w:r>
    </w:p>
    <w:p w14:paraId="7F013C03" w14:textId="77777777" w:rsidR="00785AF0" w:rsidRPr="00CC6DA8" w:rsidRDefault="00785AF0" w:rsidP="00785AF0">
      <w:pPr>
        <w:ind w:left="708"/>
        <w:rPr>
          <w:lang w:val="fr-BE"/>
        </w:rPr>
      </w:pPr>
      <w:r w:rsidRPr="00CC6DA8">
        <w:rPr>
          <w:lang w:val="fr-BE"/>
        </w:rPr>
        <w:t>Pour les achats en ligne sans fourniture de facture, il faut faire une capture d’écran (</w:t>
      </w:r>
      <w:proofErr w:type="spellStart"/>
      <w:r w:rsidRPr="00CC6DA8">
        <w:rPr>
          <w:lang w:val="fr-BE"/>
        </w:rPr>
        <w:t>printscreen</w:t>
      </w:r>
      <w:proofErr w:type="spellEnd"/>
      <w:r w:rsidRPr="00CC6DA8">
        <w:rPr>
          <w:lang w:val="fr-BE"/>
        </w:rPr>
        <w:t xml:space="preserve">) au moment de l’achat et joindre l’accusé de réception reçu à la livraison.  </w:t>
      </w:r>
    </w:p>
    <w:p w14:paraId="6D682D4F" w14:textId="77777777" w:rsidR="00785AF0" w:rsidRPr="006314D3" w:rsidRDefault="00785AF0" w:rsidP="00785AF0">
      <w:pPr>
        <w:numPr>
          <w:ilvl w:val="0"/>
          <w:numId w:val="15"/>
        </w:numPr>
        <w:spacing w:after="200" w:line="276" w:lineRule="auto"/>
        <w:contextualSpacing/>
        <w:rPr>
          <w:b/>
          <w:u w:val="single"/>
        </w:rPr>
      </w:pPr>
      <w:r w:rsidRPr="006314D3">
        <w:rPr>
          <w:b/>
          <w:u w:val="single"/>
        </w:rPr>
        <w:t xml:space="preserve">Le principe de </w:t>
      </w:r>
      <w:proofErr w:type="spellStart"/>
      <w:r w:rsidRPr="006314D3">
        <w:rPr>
          <w:b/>
          <w:u w:val="single"/>
        </w:rPr>
        <w:t>clarté</w:t>
      </w:r>
      <w:proofErr w:type="spellEnd"/>
      <w:r w:rsidRPr="006314D3">
        <w:rPr>
          <w:b/>
          <w:u w:val="single"/>
        </w:rPr>
        <w:t xml:space="preserve">: </w:t>
      </w:r>
    </w:p>
    <w:p w14:paraId="509F1108" w14:textId="77777777" w:rsidR="00785AF0" w:rsidRPr="00CC6DA8" w:rsidRDefault="00785AF0" w:rsidP="00785AF0">
      <w:pPr>
        <w:ind w:left="708"/>
        <w:rPr>
          <w:lang w:val="fr-BE"/>
        </w:rPr>
      </w:pPr>
      <w:r w:rsidRPr="00CC6DA8">
        <w:rPr>
          <w:lang w:val="fr-BE"/>
        </w:rPr>
        <w:t xml:space="preserve">Selon ce principe, les pièces justificatives officielles doivent figurer dans les rubriques adéquates, comme indiqué dans la convention ou l’avenant à la convention. </w:t>
      </w:r>
    </w:p>
    <w:p w14:paraId="015D37F3" w14:textId="77777777" w:rsidR="00785AF0" w:rsidRPr="00CC6DA8" w:rsidRDefault="00785AF0" w:rsidP="00785AF0">
      <w:pPr>
        <w:ind w:left="708"/>
        <w:rPr>
          <w:lang w:val="fr-BE"/>
        </w:rPr>
      </w:pPr>
      <w:r w:rsidRPr="00CC6DA8">
        <w:rPr>
          <w:lang w:val="fr-BE"/>
        </w:rPr>
        <w:t xml:space="preserve">Chaque rubrique doit être motivée au moyen de pièces justificatives officielles. </w:t>
      </w:r>
    </w:p>
    <w:p w14:paraId="70382929" w14:textId="77777777" w:rsidR="00785AF0" w:rsidRPr="004E45A4" w:rsidRDefault="00785AF0" w:rsidP="00785AF0">
      <w:pPr>
        <w:numPr>
          <w:ilvl w:val="0"/>
          <w:numId w:val="15"/>
        </w:numPr>
        <w:spacing w:after="200" w:line="276" w:lineRule="auto"/>
        <w:contextualSpacing/>
        <w:rPr>
          <w:b/>
          <w:u w:val="single"/>
          <w:lang w:val="fr-BE"/>
        </w:rPr>
      </w:pPr>
      <w:r w:rsidRPr="00CC6DA8">
        <w:rPr>
          <w:b/>
          <w:u w:val="single"/>
          <w:lang w:val="fr-BE"/>
        </w:rPr>
        <w:t>Le principe du montant significatif :</w:t>
      </w:r>
    </w:p>
    <w:p w14:paraId="6F621B13" w14:textId="7D88EBA6" w:rsidR="00785AF0" w:rsidRDefault="00785AF0" w:rsidP="00B81843">
      <w:pPr>
        <w:ind w:left="720"/>
        <w:contextualSpacing/>
        <w:rPr>
          <w:lang w:val="fr-BE"/>
        </w:rPr>
      </w:pPr>
      <w:r w:rsidRPr="00CC6DA8">
        <w:rPr>
          <w:lang w:val="fr-BE"/>
        </w:rPr>
        <w:t xml:space="preserve">Selon ce principe, les rapports financiers doivent mentionner tous les éléments qui peuvent avoir une incidence sur les évaluations et les décisions. Ces rapports financiers doivent mentionner toutes les informations </w:t>
      </w:r>
      <w:r>
        <w:rPr>
          <w:lang w:val="fr-BE"/>
        </w:rPr>
        <w:t>significatives</w:t>
      </w:r>
      <w:r w:rsidRPr="00CC6DA8">
        <w:rPr>
          <w:lang w:val="fr-BE"/>
        </w:rPr>
        <w:t>, qui p</w:t>
      </w:r>
      <w:r>
        <w:rPr>
          <w:lang w:val="fr-BE"/>
        </w:rPr>
        <w:t>ourraient</w:t>
      </w:r>
      <w:r w:rsidRPr="00CC6DA8">
        <w:rPr>
          <w:lang w:val="fr-BE"/>
        </w:rPr>
        <w:t xml:space="preserve"> influencer l’avis </w:t>
      </w:r>
      <w:r w:rsidRPr="00CC6DA8">
        <w:rPr>
          <w:lang w:val="fr-BE"/>
        </w:rPr>
        <w:lastRenderedPageBreak/>
        <w:t xml:space="preserve">de l’INAMI quant au projet. Cela signifie que toutes les dépenses concernant le projet doivent obligatoirement être mentionnées dans le rapport financier. </w:t>
      </w:r>
    </w:p>
    <w:p w14:paraId="21B5A7BB" w14:textId="77777777" w:rsidR="00785AF0" w:rsidRPr="00CC6DA8" w:rsidRDefault="00785AF0" w:rsidP="00785AF0">
      <w:pPr>
        <w:contextualSpacing/>
        <w:rPr>
          <w:lang w:val="fr-BE"/>
        </w:rPr>
      </w:pPr>
    </w:p>
    <w:p w14:paraId="50F08647" w14:textId="77777777" w:rsidR="00785AF0" w:rsidRPr="00CC6DA8" w:rsidRDefault="00785AF0" w:rsidP="00785AF0">
      <w:pPr>
        <w:numPr>
          <w:ilvl w:val="0"/>
          <w:numId w:val="14"/>
        </w:numPr>
        <w:spacing w:after="200" w:line="276" w:lineRule="auto"/>
        <w:contextualSpacing/>
        <w:rPr>
          <w:b/>
          <w:i/>
          <w:lang w:val="fr-BE"/>
        </w:rPr>
      </w:pPr>
      <w:r w:rsidRPr="00CC6DA8">
        <w:rPr>
          <w:b/>
          <w:i/>
          <w:lang w:val="fr-BE"/>
        </w:rPr>
        <w:t xml:space="preserve">Vous avez mentionné toutes les dépenses dans les rubriques adéquates. </w:t>
      </w:r>
    </w:p>
    <w:p w14:paraId="365C275D" w14:textId="77777777" w:rsidR="00785AF0" w:rsidRPr="00CC6DA8" w:rsidRDefault="00785AF0" w:rsidP="00785AF0">
      <w:pPr>
        <w:ind w:left="720"/>
        <w:contextualSpacing/>
        <w:rPr>
          <w:lang w:val="fr-BE"/>
        </w:rPr>
      </w:pPr>
    </w:p>
    <w:p w14:paraId="085EDEE6" w14:textId="77777777" w:rsidR="00785AF0" w:rsidRPr="00CC6DA8" w:rsidRDefault="00785AF0" w:rsidP="00785AF0">
      <w:pPr>
        <w:ind w:left="720"/>
        <w:contextualSpacing/>
        <w:rPr>
          <w:lang w:val="fr-BE"/>
        </w:rPr>
      </w:pPr>
      <w:r w:rsidRPr="00CC6DA8">
        <w:rPr>
          <w:lang w:val="fr-BE"/>
        </w:rPr>
        <w:t>Comme précisé précédemment, il est davantage transparent et efficace de trier les dépenses par rubrique et de les numéroter</w:t>
      </w:r>
      <w:r>
        <w:rPr>
          <w:lang w:val="fr-BE"/>
        </w:rPr>
        <w:t>, c</w:t>
      </w:r>
      <w:r w:rsidRPr="00CC6DA8">
        <w:rPr>
          <w:lang w:val="fr-BE"/>
        </w:rPr>
        <w:t xml:space="preserve">ela facilite nettement le contrôle. </w:t>
      </w:r>
      <w:r>
        <w:rPr>
          <w:lang w:val="fr-BE"/>
        </w:rPr>
        <w:t xml:space="preserve">Si les dépenses ne sont pas incluses dans les bonnes rubriques, le service ne poursuivra pas le contrôle tant que les rubriques correctes n’auront pas été utilisées. </w:t>
      </w:r>
    </w:p>
    <w:p w14:paraId="3A99D54D" w14:textId="77777777" w:rsidR="00785AF0" w:rsidRPr="00CC6DA8" w:rsidRDefault="00785AF0" w:rsidP="00785AF0">
      <w:pPr>
        <w:ind w:left="720"/>
        <w:contextualSpacing/>
        <w:rPr>
          <w:lang w:val="fr-BE"/>
        </w:rPr>
      </w:pPr>
    </w:p>
    <w:p w14:paraId="3A98CA35" w14:textId="77777777" w:rsidR="00785AF0" w:rsidRPr="00CC6DA8" w:rsidRDefault="00785AF0" w:rsidP="00785AF0">
      <w:pPr>
        <w:numPr>
          <w:ilvl w:val="0"/>
          <w:numId w:val="14"/>
        </w:numPr>
        <w:spacing w:after="200" w:line="276" w:lineRule="auto"/>
        <w:contextualSpacing/>
        <w:rPr>
          <w:b/>
          <w:i/>
          <w:lang w:val="fr-BE"/>
        </w:rPr>
      </w:pPr>
      <w:r w:rsidRPr="00CC6DA8">
        <w:rPr>
          <w:b/>
          <w:i/>
          <w:lang w:val="fr-BE"/>
        </w:rPr>
        <w:t xml:space="preserve">Vous n’avez pas modifié la présentation du </w:t>
      </w:r>
      <w:proofErr w:type="spellStart"/>
      <w:r w:rsidRPr="00CC6DA8">
        <w:rPr>
          <w:b/>
          <w:i/>
          <w:lang w:val="fr-BE"/>
        </w:rPr>
        <w:t>template</w:t>
      </w:r>
      <w:proofErr w:type="spellEnd"/>
      <w:r w:rsidRPr="00CC6DA8">
        <w:rPr>
          <w:b/>
          <w:i/>
          <w:lang w:val="fr-BE"/>
        </w:rPr>
        <w:t xml:space="preserve"> du rapport financier joint en annexe à la convention ou à l’avenant à la convention. </w:t>
      </w:r>
    </w:p>
    <w:p w14:paraId="129227ED" w14:textId="77777777" w:rsidR="00785AF0" w:rsidRPr="00CC6DA8" w:rsidRDefault="00785AF0" w:rsidP="00785AF0">
      <w:pPr>
        <w:ind w:left="720"/>
        <w:contextualSpacing/>
        <w:rPr>
          <w:b/>
          <w:i/>
          <w:lang w:val="fr-BE"/>
        </w:rPr>
      </w:pPr>
    </w:p>
    <w:p w14:paraId="0C126C51" w14:textId="77777777" w:rsidR="00785AF0" w:rsidRPr="00CC6DA8" w:rsidRDefault="00785AF0" w:rsidP="00785AF0">
      <w:pPr>
        <w:ind w:left="720"/>
        <w:contextualSpacing/>
        <w:rPr>
          <w:lang w:val="fr-BE"/>
        </w:rPr>
      </w:pPr>
      <w:r w:rsidRPr="00CC6DA8">
        <w:rPr>
          <w:lang w:val="fr-BE"/>
        </w:rPr>
        <w:t xml:space="preserve">Les rubriques sont mentionnées par convention ou avenant à la convention. Ces rubriques ne pourront plus être modifiées après approbation par le Comité de l’assurance. Les rubriques telles que décrites dans la convention ou dans l’avenant à la convention doivent figurer dans le rapport financier. </w:t>
      </w:r>
    </w:p>
    <w:p w14:paraId="39D22243" w14:textId="77777777" w:rsidR="00785AF0" w:rsidRDefault="00785AF0" w:rsidP="00785AF0">
      <w:pPr>
        <w:ind w:left="720"/>
        <w:contextualSpacing/>
        <w:rPr>
          <w:lang w:val="fr-BE"/>
        </w:rPr>
      </w:pPr>
      <w:r w:rsidRPr="00CC6DA8">
        <w:rPr>
          <w:lang w:val="fr-BE"/>
        </w:rPr>
        <w:t>Si, pendant la durée de validité du projet, il est constaté qu’une rubrique en particulier n’est pas requise ou fait défaut, cela doit être communiqué par mail adressé à la cellule conventions (</w:t>
      </w:r>
      <w:hyperlink r:id="rId7" w:history="1">
        <w:r w:rsidRPr="00CC6DA8">
          <w:rPr>
            <w:color w:val="0000FF"/>
            <w:u w:val="single"/>
            <w:lang w:val="fr-BE"/>
          </w:rPr>
          <w:t>ovco@riziv-inami.fgov.be</w:t>
        </w:r>
      </w:hyperlink>
      <w:r w:rsidRPr="00CC6DA8">
        <w:rPr>
          <w:lang w:val="fr-BE"/>
        </w:rPr>
        <w:t xml:space="preserve">). La modification des rubriques doit être justifiée au moyen d’une nouvelle proposition financière. </w:t>
      </w:r>
      <w:r>
        <w:rPr>
          <w:lang w:val="fr-BE"/>
        </w:rPr>
        <w:t xml:space="preserve">Toute modification devra être soumise à l’approbation du comité d’accompagnement, ou de l’organe équivalent. </w:t>
      </w:r>
    </w:p>
    <w:p w14:paraId="4D793F14" w14:textId="77777777" w:rsidR="00785AF0" w:rsidRPr="00CC6DA8" w:rsidRDefault="00785AF0" w:rsidP="00785AF0">
      <w:pPr>
        <w:ind w:left="720"/>
        <w:contextualSpacing/>
        <w:rPr>
          <w:lang w:val="fr-BE"/>
        </w:rPr>
      </w:pPr>
    </w:p>
    <w:p w14:paraId="3F75BAD5" w14:textId="77777777" w:rsidR="00785AF0" w:rsidRPr="00CC6DA8" w:rsidRDefault="00785AF0" w:rsidP="00785AF0">
      <w:pPr>
        <w:keepNext/>
        <w:keepLines/>
        <w:spacing w:before="40" w:after="0"/>
        <w:outlineLvl w:val="1"/>
        <w:rPr>
          <w:rFonts w:asciiTheme="majorHAnsi" w:eastAsiaTheme="majorEastAsia" w:hAnsiTheme="majorHAnsi" w:cstheme="majorBidi"/>
          <w:color w:val="0F4761" w:themeColor="accent1" w:themeShade="BF"/>
          <w:sz w:val="26"/>
          <w:szCs w:val="26"/>
          <w:lang w:val="fr-BE"/>
        </w:rPr>
      </w:pPr>
      <w:r w:rsidRPr="00CC6DA8">
        <w:rPr>
          <w:rFonts w:asciiTheme="majorHAnsi" w:eastAsiaTheme="majorEastAsia" w:hAnsiTheme="majorHAnsi" w:cstheme="majorBidi"/>
          <w:color w:val="0F4761" w:themeColor="accent1" w:themeShade="BF"/>
          <w:sz w:val="26"/>
          <w:szCs w:val="26"/>
          <w:lang w:val="fr-BE"/>
        </w:rPr>
        <w:t>… au moment de la remise d’un rapport financier</w:t>
      </w:r>
    </w:p>
    <w:p w14:paraId="228D4BAE" w14:textId="77777777" w:rsidR="00785AF0" w:rsidRPr="00CC6DA8" w:rsidRDefault="00785AF0" w:rsidP="00785AF0">
      <w:pPr>
        <w:rPr>
          <w:lang w:val="fr-BE"/>
        </w:rPr>
      </w:pPr>
      <w:r w:rsidRPr="00CC6DA8">
        <w:rPr>
          <w:lang w:val="fr-BE"/>
        </w:rPr>
        <w:t>Vous devez avoir rempli toutes les conditions suivantes :</w:t>
      </w:r>
    </w:p>
    <w:p w14:paraId="219D24EF" w14:textId="77777777" w:rsidR="00785AF0" w:rsidRPr="00CC6DA8" w:rsidRDefault="00785AF0" w:rsidP="00785AF0">
      <w:pPr>
        <w:numPr>
          <w:ilvl w:val="0"/>
          <w:numId w:val="17"/>
        </w:numPr>
        <w:spacing w:after="200" w:line="276" w:lineRule="auto"/>
        <w:contextualSpacing/>
        <w:rPr>
          <w:lang w:val="fr-BE"/>
        </w:rPr>
      </w:pPr>
      <w:r w:rsidRPr="00CC6DA8">
        <w:rPr>
          <w:lang w:val="fr-BE"/>
        </w:rPr>
        <w:t xml:space="preserve">Vous transmettez votre rapport financier, à savoir le tableau synoptique et les pièces justificatives officielles numérotées, au plus tard à la date fixée dans la convention ou l’avenant à la convention. Toute remise de rapport financier au-delà de cette date devra être motivée en justifiant le retard par un motif valable. À défaut de motifs valables, l’INAMI pourra proposer des mesures aux organes de gestion compétents de l’INAMI. </w:t>
      </w:r>
    </w:p>
    <w:p w14:paraId="249EACAF" w14:textId="77777777" w:rsidR="00785AF0" w:rsidRPr="00CC6DA8" w:rsidRDefault="00785AF0" w:rsidP="00785AF0">
      <w:pPr>
        <w:ind w:left="720"/>
        <w:contextualSpacing/>
        <w:rPr>
          <w:lang w:val="fr-BE"/>
        </w:rPr>
      </w:pPr>
    </w:p>
    <w:p w14:paraId="76537077" w14:textId="77777777" w:rsidR="00785AF0" w:rsidRPr="00CC6DA8" w:rsidRDefault="00785AF0" w:rsidP="00785AF0">
      <w:pPr>
        <w:numPr>
          <w:ilvl w:val="0"/>
          <w:numId w:val="17"/>
        </w:numPr>
        <w:spacing w:after="200" w:line="276" w:lineRule="auto"/>
        <w:contextualSpacing/>
        <w:rPr>
          <w:lang w:val="fr-BE"/>
        </w:rPr>
      </w:pPr>
      <w:r w:rsidRPr="00CC6DA8">
        <w:rPr>
          <w:lang w:val="fr-BE"/>
        </w:rPr>
        <w:t xml:space="preserve">Vous devez envoyer le rapport financier à </w:t>
      </w:r>
      <w:hyperlink r:id="rId8" w:history="1">
        <w:r w:rsidRPr="00CC6DA8">
          <w:rPr>
            <w:color w:val="0000FF"/>
            <w:u w:val="single"/>
            <w:lang w:val="fr-BE"/>
          </w:rPr>
          <w:t>ovco@riziv-inami.fgov.be</w:t>
        </w:r>
      </w:hyperlink>
      <w:r w:rsidRPr="00CC6DA8">
        <w:rPr>
          <w:lang w:val="fr-BE"/>
        </w:rPr>
        <w:t xml:space="preserve"> </w:t>
      </w:r>
    </w:p>
    <w:p w14:paraId="7A0E7C97" w14:textId="77777777" w:rsidR="00785AF0" w:rsidRPr="00CC6DA8" w:rsidRDefault="00785AF0" w:rsidP="00785AF0">
      <w:pPr>
        <w:ind w:left="720"/>
        <w:contextualSpacing/>
        <w:rPr>
          <w:lang w:val="fr-BE"/>
        </w:rPr>
      </w:pPr>
      <w:r w:rsidRPr="00CC6DA8">
        <w:rPr>
          <w:lang w:val="fr-BE"/>
        </w:rPr>
        <w:t>Mentionnez comme objet : Rapport financier [exercice</w:t>
      </w:r>
      <w:r>
        <w:rPr>
          <w:lang w:val="fr-BE"/>
        </w:rPr>
        <w:t xml:space="preserve"> </w:t>
      </w:r>
      <w:r w:rsidRPr="00CC6DA8">
        <w:rPr>
          <w:lang w:val="fr-BE"/>
        </w:rPr>
        <w:t>+</w:t>
      </w:r>
      <w:r>
        <w:rPr>
          <w:lang w:val="fr-BE"/>
        </w:rPr>
        <w:t xml:space="preserve"> </w:t>
      </w:r>
      <w:r w:rsidRPr="00CC6DA8">
        <w:rPr>
          <w:lang w:val="fr-BE"/>
        </w:rPr>
        <w:t>trimestre] – [nom du projet</w:t>
      </w:r>
      <w:r>
        <w:rPr>
          <w:lang w:val="fr-BE"/>
        </w:rPr>
        <w:t>/du partenaire</w:t>
      </w:r>
      <w:r w:rsidRPr="00CC6DA8">
        <w:rPr>
          <w:lang w:val="fr-BE"/>
        </w:rPr>
        <w:t xml:space="preserve">] </w:t>
      </w:r>
      <w:r>
        <w:rPr>
          <w:lang w:val="fr-BE"/>
        </w:rPr>
        <w:t>(</w:t>
      </w:r>
      <w:r w:rsidRPr="00CC6DA8">
        <w:rPr>
          <w:lang w:val="fr-BE"/>
        </w:rPr>
        <w:t>Mentionnez entre crochets l’exercice concerné et le nom du projet</w:t>
      </w:r>
      <w:r>
        <w:rPr>
          <w:lang w:val="fr-BE"/>
        </w:rPr>
        <w:t>).</w:t>
      </w:r>
    </w:p>
    <w:p w14:paraId="18CE9456" w14:textId="77777777" w:rsidR="00785AF0" w:rsidRPr="00CC6DA8" w:rsidRDefault="00785AF0" w:rsidP="00785AF0">
      <w:pPr>
        <w:ind w:left="720"/>
        <w:contextualSpacing/>
        <w:rPr>
          <w:lang w:val="fr-BE"/>
        </w:rPr>
      </w:pPr>
      <w:r w:rsidRPr="00CC6DA8">
        <w:rPr>
          <w:lang w:val="fr-BE"/>
        </w:rPr>
        <w:t xml:space="preserve">Ce principe permet un traitement plus aisé des rapports réceptionnés. </w:t>
      </w:r>
    </w:p>
    <w:p w14:paraId="481D54E0" w14:textId="77777777" w:rsidR="00785AF0" w:rsidRDefault="00785AF0" w:rsidP="00785AF0">
      <w:pPr>
        <w:ind w:left="720"/>
        <w:contextualSpacing/>
        <w:rPr>
          <w:lang w:val="fr-BE"/>
        </w:rPr>
      </w:pPr>
    </w:p>
    <w:p w14:paraId="284DE09B" w14:textId="77777777" w:rsidR="00785AF0" w:rsidRPr="00CC6DA8" w:rsidRDefault="00785AF0" w:rsidP="00785AF0">
      <w:pPr>
        <w:numPr>
          <w:ilvl w:val="0"/>
          <w:numId w:val="17"/>
        </w:numPr>
        <w:spacing w:after="200" w:line="276" w:lineRule="auto"/>
        <w:contextualSpacing/>
        <w:rPr>
          <w:lang w:val="fr-BE"/>
        </w:rPr>
      </w:pPr>
      <w:r w:rsidRPr="00CC6DA8">
        <w:rPr>
          <w:lang w:val="fr-BE"/>
        </w:rPr>
        <w:t xml:space="preserve">Envoyez le rapport financier comme suit : </w:t>
      </w:r>
    </w:p>
    <w:p w14:paraId="4EAE5BDF" w14:textId="77777777" w:rsidR="00785AF0" w:rsidRPr="00CC6DA8" w:rsidRDefault="00785AF0" w:rsidP="00785AF0">
      <w:pPr>
        <w:numPr>
          <w:ilvl w:val="0"/>
          <w:numId w:val="18"/>
        </w:numPr>
        <w:spacing w:after="200" w:line="276" w:lineRule="auto"/>
        <w:contextualSpacing/>
        <w:rPr>
          <w:lang w:val="fr-BE"/>
        </w:rPr>
      </w:pPr>
      <w:r w:rsidRPr="00CC6DA8">
        <w:rPr>
          <w:lang w:val="fr-BE"/>
        </w:rPr>
        <w:t>Le tableau synoptique : sous forme de fichier Excel</w:t>
      </w:r>
    </w:p>
    <w:p w14:paraId="12075162" w14:textId="77777777" w:rsidR="00785AF0" w:rsidRPr="00CC6DA8" w:rsidRDefault="00785AF0" w:rsidP="00785AF0">
      <w:pPr>
        <w:numPr>
          <w:ilvl w:val="0"/>
          <w:numId w:val="18"/>
        </w:numPr>
        <w:spacing w:after="200" w:line="276" w:lineRule="auto"/>
        <w:contextualSpacing/>
        <w:rPr>
          <w:lang w:val="fr-BE"/>
        </w:rPr>
      </w:pPr>
      <w:r w:rsidRPr="00CC6DA8">
        <w:rPr>
          <w:lang w:val="fr-BE"/>
        </w:rPr>
        <w:t>Les pièces justificatives officielles numérotées : sous forme de fichier PDF (ou de plusieurs fichiers PDF)</w:t>
      </w:r>
    </w:p>
    <w:p w14:paraId="3DC9C823" w14:textId="77777777" w:rsidR="00785AF0" w:rsidRDefault="00785AF0" w:rsidP="00785AF0">
      <w:pPr>
        <w:numPr>
          <w:ilvl w:val="0"/>
          <w:numId w:val="19"/>
        </w:numPr>
        <w:spacing w:after="200" w:line="276" w:lineRule="auto"/>
        <w:contextualSpacing/>
        <w:rPr>
          <w:lang w:val="fr-BE"/>
        </w:rPr>
      </w:pPr>
      <w:r w:rsidRPr="00CC6DA8">
        <w:rPr>
          <w:lang w:val="fr-BE"/>
        </w:rPr>
        <w:t xml:space="preserve">Si le volume des pièces justificatives officielles est trop grand, vous pouvez transmettre ces pièces justificatives via </w:t>
      </w:r>
      <w:hyperlink r:id="rId9" w:history="1">
        <w:proofErr w:type="spellStart"/>
        <w:r>
          <w:rPr>
            <w:rStyle w:val="Hyperlink"/>
            <w:lang w:val="fr-BE"/>
          </w:rPr>
          <w:t>Wetransfer</w:t>
        </w:r>
        <w:proofErr w:type="spellEnd"/>
      </w:hyperlink>
      <w:r>
        <w:rPr>
          <w:lang w:val="fr-BE"/>
        </w:rPr>
        <w:t xml:space="preserve"> , </w:t>
      </w:r>
      <w:hyperlink r:id="rId10" w:history="1">
        <w:proofErr w:type="spellStart"/>
        <w:r>
          <w:rPr>
            <w:rStyle w:val="Hyperlink"/>
            <w:lang w:val="fr-BE"/>
          </w:rPr>
          <w:t>BelNetSender</w:t>
        </w:r>
        <w:proofErr w:type="spellEnd"/>
      </w:hyperlink>
      <w:r>
        <w:rPr>
          <w:lang w:val="fr-BE"/>
        </w:rPr>
        <w:t xml:space="preserve"> ou </w:t>
      </w:r>
      <w:hyperlink r:id="rId11" w:history="1">
        <w:r>
          <w:rPr>
            <w:rStyle w:val="Hyperlink"/>
            <w:lang w:val="fr-BE"/>
          </w:rPr>
          <w:t>Dropbox</w:t>
        </w:r>
      </w:hyperlink>
      <w:r>
        <w:rPr>
          <w:lang w:val="fr-BE"/>
        </w:rPr>
        <w:t>.</w:t>
      </w:r>
    </w:p>
    <w:p w14:paraId="010FAEA6" w14:textId="77777777" w:rsidR="00785AF0" w:rsidRPr="00CC6DA8" w:rsidRDefault="00785AF0" w:rsidP="00785AF0">
      <w:pPr>
        <w:ind w:left="1440"/>
        <w:contextualSpacing/>
        <w:rPr>
          <w:lang w:val="fr-BE"/>
        </w:rPr>
      </w:pPr>
    </w:p>
    <w:p w14:paraId="51ABD82A" w14:textId="77777777" w:rsidR="00785AF0" w:rsidRPr="001063AA" w:rsidRDefault="00785AF0" w:rsidP="00785AF0">
      <w:pPr>
        <w:tabs>
          <w:tab w:val="left" w:pos="1843"/>
        </w:tabs>
        <w:ind w:left="1080" w:hanging="654"/>
        <w:jc w:val="center"/>
        <w:rPr>
          <w:b/>
          <w:sz w:val="24"/>
          <w:szCs w:val="24"/>
          <w:lang w:val="fr-BE"/>
        </w:rPr>
      </w:pPr>
      <w:r w:rsidRPr="001063AA">
        <w:rPr>
          <w:b/>
          <w:sz w:val="24"/>
          <w:szCs w:val="24"/>
          <w:lang w:val="fr-BE"/>
        </w:rPr>
        <w:t>!!! Attention : les rapports financiers sur papier ne seront plus acceptés en raison de la digitalisation de notre fonctionnement !!!</w:t>
      </w:r>
    </w:p>
    <w:sectPr w:rsidR="00785AF0" w:rsidRPr="001063AA" w:rsidSect="00D34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6B7"/>
    <w:multiLevelType w:val="hybridMultilevel"/>
    <w:tmpl w:val="8306FE6C"/>
    <w:lvl w:ilvl="0" w:tplc="78606F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C440B4"/>
    <w:multiLevelType w:val="hybridMultilevel"/>
    <w:tmpl w:val="3ECC6BD8"/>
    <w:lvl w:ilvl="0" w:tplc="2BE8D7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01E29"/>
    <w:multiLevelType w:val="hybridMultilevel"/>
    <w:tmpl w:val="BA527136"/>
    <w:lvl w:ilvl="0" w:tplc="78606F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9064C1"/>
    <w:multiLevelType w:val="hybridMultilevel"/>
    <w:tmpl w:val="FA342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301A6"/>
    <w:multiLevelType w:val="hybridMultilevel"/>
    <w:tmpl w:val="8520C02E"/>
    <w:lvl w:ilvl="0" w:tplc="E12036EC">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A369F0"/>
    <w:multiLevelType w:val="hybridMultilevel"/>
    <w:tmpl w:val="57A845FC"/>
    <w:lvl w:ilvl="0" w:tplc="69E03194">
      <w:start w:val="3"/>
      <w:numFmt w:val="bullet"/>
      <w:lvlText w:val=""/>
      <w:lvlJc w:val="left"/>
      <w:pPr>
        <w:ind w:left="1440" w:hanging="360"/>
      </w:pPr>
      <w:rPr>
        <w:rFonts w:ascii="Wingdings" w:eastAsiaTheme="minorHAnsi" w:hAnsi="Wingding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7C1C2B"/>
    <w:multiLevelType w:val="hybridMultilevel"/>
    <w:tmpl w:val="0484A6B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3B809F9"/>
    <w:multiLevelType w:val="hybridMultilevel"/>
    <w:tmpl w:val="67E8AD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9A60B8B"/>
    <w:multiLevelType w:val="hybridMultilevel"/>
    <w:tmpl w:val="118214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1B0EFF"/>
    <w:multiLevelType w:val="hybridMultilevel"/>
    <w:tmpl w:val="1CD45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CC3B42"/>
    <w:multiLevelType w:val="hybridMultilevel"/>
    <w:tmpl w:val="151AFAF2"/>
    <w:lvl w:ilvl="0" w:tplc="78606F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B13C3E"/>
    <w:multiLevelType w:val="hybridMultilevel"/>
    <w:tmpl w:val="AA46B8A0"/>
    <w:lvl w:ilvl="0" w:tplc="78606F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BD73F2"/>
    <w:multiLevelType w:val="hybridMultilevel"/>
    <w:tmpl w:val="CFE04BF4"/>
    <w:lvl w:ilvl="0" w:tplc="0809000D">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827C9"/>
    <w:multiLevelType w:val="hybridMultilevel"/>
    <w:tmpl w:val="E4D0A8F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045333F"/>
    <w:multiLevelType w:val="hybridMultilevel"/>
    <w:tmpl w:val="7A9AD4B8"/>
    <w:lvl w:ilvl="0" w:tplc="78606F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091797"/>
    <w:multiLevelType w:val="hybridMultilevel"/>
    <w:tmpl w:val="57F82186"/>
    <w:lvl w:ilvl="0" w:tplc="5A42231C">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919557E"/>
    <w:multiLevelType w:val="hybridMultilevel"/>
    <w:tmpl w:val="FC341D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D066FE1"/>
    <w:multiLevelType w:val="hybridMultilevel"/>
    <w:tmpl w:val="9D2AFE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A07C19"/>
    <w:multiLevelType w:val="hybridMultilevel"/>
    <w:tmpl w:val="32184A8E"/>
    <w:lvl w:ilvl="0" w:tplc="78606F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DD1336"/>
    <w:multiLevelType w:val="hybridMultilevel"/>
    <w:tmpl w:val="BD8A05D8"/>
    <w:lvl w:ilvl="0" w:tplc="F52E75E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4203723">
    <w:abstractNumId w:val="15"/>
  </w:num>
  <w:num w:numId="2" w16cid:durableId="2041322070">
    <w:abstractNumId w:val="19"/>
  </w:num>
  <w:num w:numId="3" w16cid:durableId="172573372">
    <w:abstractNumId w:val="18"/>
  </w:num>
  <w:num w:numId="4" w16cid:durableId="62141591">
    <w:abstractNumId w:val="14"/>
  </w:num>
  <w:num w:numId="5" w16cid:durableId="458651779">
    <w:abstractNumId w:val="0"/>
  </w:num>
  <w:num w:numId="6" w16cid:durableId="871266323">
    <w:abstractNumId w:val="11"/>
  </w:num>
  <w:num w:numId="7" w16cid:durableId="1144079138">
    <w:abstractNumId w:val="8"/>
  </w:num>
  <w:num w:numId="8" w16cid:durableId="735710875">
    <w:abstractNumId w:val="2"/>
  </w:num>
  <w:num w:numId="9" w16cid:durableId="2030059465">
    <w:abstractNumId w:val="10"/>
  </w:num>
  <w:num w:numId="10" w16cid:durableId="1527325997">
    <w:abstractNumId w:val="16"/>
  </w:num>
  <w:num w:numId="11" w16cid:durableId="1389646713">
    <w:abstractNumId w:val="7"/>
  </w:num>
  <w:num w:numId="12" w16cid:durableId="1074354488">
    <w:abstractNumId w:val="13"/>
  </w:num>
  <w:num w:numId="13" w16cid:durableId="2017535801">
    <w:abstractNumId w:val="9"/>
  </w:num>
  <w:num w:numId="14" w16cid:durableId="834346159">
    <w:abstractNumId w:val="3"/>
  </w:num>
  <w:num w:numId="15" w16cid:durableId="639723344">
    <w:abstractNumId w:val="17"/>
  </w:num>
  <w:num w:numId="16" w16cid:durableId="1486975037">
    <w:abstractNumId w:val="12"/>
  </w:num>
  <w:num w:numId="17" w16cid:durableId="1277448651">
    <w:abstractNumId w:val="1"/>
  </w:num>
  <w:num w:numId="18" w16cid:durableId="2077165876">
    <w:abstractNumId w:val="4"/>
  </w:num>
  <w:num w:numId="19" w16cid:durableId="1755517249">
    <w:abstractNumId w:val="5"/>
  </w:num>
  <w:num w:numId="20" w16cid:durableId="1771926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METADATA_KEY" w:val="0f99c570-d90d-474c-b76d-082b2849fad4"/>
  </w:docVars>
  <w:rsids>
    <w:rsidRoot w:val="00D34AED"/>
    <w:rsid w:val="00010FD6"/>
    <w:rsid w:val="00040F77"/>
    <w:rsid w:val="00065B0F"/>
    <w:rsid w:val="000709DB"/>
    <w:rsid w:val="00077FB6"/>
    <w:rsid w:val="00080E45"/>
    <w:rsid w:val="000A1558"/>
    <w:rsid w:val="000B040E"/>
    <w:rsid w:val="000D34D2"/>
    <w:rsid w:val="000D5EF9"/>
    <w:rsid w:val="000E3270"/>
    <w:rsid w:val="000E48C4"/>
    <w:rsid w:val="00121CAD"/>
    <w:rsid w:val="0014211B"/>
    <w:rsid w:val="00157C5E"/>
    <w:rsid w:val="001950F8"/>
    <w:rsid w:val="001A716E"/>
    <w:rsid w:val="001C1E50"/>
    <w:rsid w:val="001C79F1"/>
    <w:rsid w:val="001C7C84"/>
    <w:rsid w:val="001D17A7"/>
    <w:rsid w:val="001D4D5C"/>
    <w:rsid w:val="0025658C"/>
    <w:rsid w:val="00290F7D"/>
    <w:rsid w:val="00295D5F"/>
    <w:rsid w:val="002B3ED0"/>
    <w:rsid w:val="002C5C43"/>
    <w:rsid w:val="002E253B"/>
    <w:rsid w:val="002F35C8"/>
    <w:rsid w:val="002F6349"/>
    <w:rsid w:val="00327F84"/>
    <w:rsid w:val="0035120B"/>
    <w:rsid w:val="00356E95"/>
    <w:rsid w:val="00393D96"/>
    <w:rsid w:val="004160ED"/>
    <w:rsid w:val="00491BA8"/>
    <w:rsid w:val="00493F50"/>
    <w:rsid w:val="004A787F"/>
    <w:rsid w:val="004C7D61"/>
    <w:rsid w:val="0053257F"/>
    <w:rsid w:val="00533524"/>
    <w:rsid w:val="00557D48"/>
    <w:rsid w:val="00591478"/>
    <w:rsid w:val="00592B18"/>
    <w:rsid w:val="005C13D1"/>
    <w:rsid w:val="005D6A48"/>
    <w:rsid w:val="006441A0"/>
    <w:rsid w:val="00646A34"/>
    <w:rsid w:val="00673948"/>
    <w:rsid w:val="006A3F62"/>
    <w:rsid w:val="006B2B00"/>
    <w:rsid w:val="006D38A0"/>
    <w:rsid w:val="006E1B80"/>
    <w:rsid w:val="007321AE"/>
    <w:rsid w:val="00747D5F"/>
    <w:rsid w:val="00760C31"/>
    <w:rsid w:val="00785AF0"/>
    <w:rsid w:val="00796A41"/>
    <w:rsid w:val="007A4504"/>
    <w:rsid w:val="007C3C03"/>
    <w:rsid w:val="007C7961"/>
    <w:rsid w:val="007D0944"/>
    <w:rsid w:val="007D5BEF"/>
    <w:rsid w:val="007F5083"/>
    <w:rsid w:val="00803181"/>
    <w:rsid w:val="0080366C"/>
    <w:rsid w:val="00810E1E"/>
    <w:rsid w:val="0082180D"/>
    <w:rsid w:val="00845DAA"/>
    <w:rsid w:val="00855B72"/>
    <w:rsid w:val="00873BDA"/>
    <w:rsid w:val="0087676C"/>
    <w:rsid w:val="00883A98"/>
    <w:rsid w:val="008D6D83"/>
    <w:rsid w:val="008E65E3"/>
    <w:rsid w:val="008F0140"/>
    <w:rsid w:val="0090595E"/>
    <w:rsid w:val="00931182"/>
    <w:rsid w:val="00937051"/>
    <w:rsid w:val="00953009"/>
    <w:rsid w:val="009B3E75"/>
    <w:rsid w:val="00A7373E"/>
    <w:rsid w:val="00AA6257"/>
    <w:rsid w:val="00AC7EF5"/>
    <w:rsid w:val="00AE3CE5"/>
    <w:rsid w:val="00AE7166"/>
    <w:rsid w:val="00B13DD1"/>
    <w:rsid w:val="00B17739"/>
    <w:rsid w:val="00B328AD"/>
    <w:rsid w:val="00B466C1"/>
    <w:rsid w:val="00B7010D"/>
    <w:rsid w:val="00B81843"/>
    <w:rsid w:val="00B8403B"/>
    <w:rsid w:val="00B90C36"/>
    <w:rsid w:val="00B91499"/>
    <w:rsid w:val="00BB7CE9"/>
    <w:rsid w:val="00BC0145"/>
    <w:rsid w:val="00BF6801"/>
    <w:rsid w:val="00C03A87"/>
    <w:rsid w:val="00C044CE"/>
    <w:rsid w:val="00C23D82"/>
    <w:rsid w:val="00C30C0E"/>
    <w:rsid w:val="00C30CF9"/>
    <w:rsid w:val="00C331A1"/>
    <w:rsid w:val="00C37C85"/>
    <w:rsid w:val="00C63DB5"/>
    <w:rsid w:val="00C66DB8"/>
    <w:rsid w:val="00C74DFC"/>
    <w:rsid w:val="00CB3156"/>
    <w:rsid w:val="00CB69F4"/>
    <w:rsid w:val="00CC3385"/>
    <w:rsid w:val="00CF2985"/>
    <w:rsid w:val="00D104E6"/>
    <w:rsid w:val="00D111DE"/>
    <w:rsid w:val="00D16B1D"/>
    <w:rsid w:val="00D34AED"/>
    <w:rsid w:val="00D40E82"/>
    <w:rsid w:val="00D612A3"/>
    <w:rsid w:val="00D63B1D"/>
    <w:rsid w:val="00D77CAD"/>
    <w:rsid w:val="00DB1259"/>
    <w:rsid w:val="00DC4DCC"/>
    <w:rsid w:val="00DD2E9A"/>
    <w:rsid w:val="00DD5258"/>
    <w:rsid w:val="00E15032"/>
    <w:rsid w:val="00E4492B"/>
    <w:rsid w:val="00E6088D"/>
    <w:rsid w:val="00E772BF"/>
    <w:rsid w:val="00E8456C"/>
    <w:rsid w:val="00EE33C6"/>
    <w:rsid w:val="00EF08EA"/>
    <w:rsid w:val="00F30E7F"/>
    <w:rsid w:val="00F64F6A"/>
    <w:rsid w:val="00F927CA"/>
    <w:rsid w:val="00FA2C28"/>
    <w:rsid w:val="00FA3829"/>
    <w:rsid w:val="00FE450F"/>
    <w:rsid w:val="00FE60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E5616"/>
  <w15:chartTrackingRefBased/>
  <w15:docId w15:val="{28FCD817-7B13-4DC1-9054-576CB296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AED"/>
    <w:pPr>
      <w:jc w:val="both"/>
    </w:pPr>
    <w:rPr>
      <w:rFonts w:ascii="Arial" w:hAnsi="Arial"/>
    </w:rPr>
  </w:style>
  <w:style w:type="paragraph" w:styleId="Heading1">
    <w:name w:val="heading 1"/>
    <w:basedOn w:val="Normal"/>
    <w:next w:val="Normal"/>
    <w:link w:val="Heading1Char"/>
    <w:qFormat/>
    <w:rsid w:val="00D34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D34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D34A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D34A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D34A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D34A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D34A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D34A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D34A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34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34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D34AED"/>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semiHidden/>
    <w:rsid w:val="00D34AED"/>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semiHidden/>
    <w:rsid w:val="00D34AED"/>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semiHidden/>
    <w:rsid w:val="00D34AE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semiHidden/>
    <w:rsid w:val="00D34AE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semiHidden/>
    <w:rsid w:val="00D34AED"/>
    <w:rPr>
      <w:rFonts w:eastAsiaTheme="majorEastAsia" w:cstheme="majorBidi"/>
      <w:color w:val="272727" w:themeColor="text1" w:themeTint="D8"/>
      <w:sz w:val="24"/>
      <w:szCs w:val="24"/>
    </w:rPr>
  </w:style>
  <w:style w:type="paragraph" w:styleId="Title">
    <w:name w:val="Title"/>
    <w:basedOn w:val="Normal"/>
    <w:next w:val="Normal"/>
    <w:link w:val="TitleChar"/>
    <w:qFormat/>
    <w:rsid w:val="00D34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4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34A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34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AED"/>
    <w:pPr>
      <w:spacing w:before="160"/>
      <w:jc w:val="center"/>
    </w:pPr>
    <w:rPr>
      <w:i/>
      <w:iCs/>
      <w:color w:val="404040" w:themeColor="text1" w:themeTint="BF"/>
    </w:rPr>
  </w:style>
  <w:style w:type="character" w:customStyle="1" w:styleId="QuoteChar">
    <w:name w:val="Quote Char"/>
    <w:basedOn w:val="DefaultParagraphFont"/>
    <w:link w:val="Quote"/>
    <w:uiPriority w:val="29"/>
    <w:rsid w:val="00D34AED"/>
    <w:rPr>
      <w:rFonts w:ascii="Arial" w:hAnsi="Arial"/>
      <w:i/>
      <w:iCs/>
      <w:color w:val="404040" w:themeColor="text1" w:themeTint="BF"/>
      <w:sz w:val="24"/>
      <w:szCs w:val="24"/>
    </w:rPr>
  </w:style>
  <w:style w:type="paragraph" w:styleId="ListParagraph">
    <w:name w:val="List Paragraph"/>
    <w:basedOn w:val="Normal"/>
    <w:uiPriority w:val="34"/>
    <w:qFormat/>
    <w:rsid w:val="00D34AED"/>
    <w:pPr>
      <w:ind w:left="720"/>
      <w:contextualSpacing/>
    </w:pPr>
  </w:style>
  <w:style w:type="character" w:styleId="IntenseEmphasis">
    <w:name w:val="Intense Emphasis"/>
    <w:basedOn w:val="DefaultParagraphFont"/>
    <w:uiPriority w:val="21"/>
    <w:qFormat/>
    <w:rsid w:val="00D34AED"/>
    <w:rPr>
      <w:i/>
      <w:iCs/>
      <w:color w:val="0F4761" w:themeColor="accent1" w:themeShade="BF"/>
    </w:rPr>
  </w:style>
  <w:style w:type="paragraph" w:styleId="IntenseQuote">
    <w:name w:val="Intense Quote"/>
    <w:basedOn w:val="Normal"/>
    <w:next w:val="Normal"/>
    <w:link w:val="IntenseQuoteChar"/>
    <w:uiPriority w:val="30"/>
    <w:qFormat/>
    <w:rsid w:val="00D34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AED"/>
    <w:rPr>
      <w:rFonts w:ascii="Arial" w:hAnsi="Arial"/>
      <w:i/>
      <w:iCs/>
      <w:color w:val="0F4761" w:themeColor="accent1" w:themeShade="BF"/>
      <w:sz w:val="24"/>
      <w:szCs w:val="24"/>
    </w:rPr>
  </w:style>
  <w:style w:type="character" w:styleId="IntenseReference">
    <w:name w:val="Intense Reference"/>
    <w:basedOn w:val="DefaultParagraphFont"/>
    <w:uiPriority w:val="32"/>
    <w:qFormat/>
    <w:rsid w:val="00D34AED"/>
    <w:rPr>
      <w:b/>
      <w:bCs/>
      <w:smallCaps/>
      <w:color w:val="0F4761" w:themeColor="accent1" w:themeShade="BF"/>
      <w:spacing w:val="5"/>
    </w:rPr>
  </w:style>
  <w:style w:type="character" w:styleId="CommentReference">
    <w:name w:val="annotation reference"/>
    <w:basedOn w:val="DefaultParagraphFont"/>
    <w:uiPriority w:val="99"/>
    <w:rsid w:val="002F35C8"/>
    <w:rPr>
      <w:sz w:val="16"/>
      <w:szCs w:val="16"/>
    </w:rPr>
  </w:style>
  <w:style w:type="paragraph" w:styleId="CommentText">
    <w:name w:val="annotation text"/>
    <w:basedOn w:val="Normal"/>
    <w:link w:val="CommentTextChar"/>
    <w:uiPriority w:val="99"/>
    <w:rsid w:val="002F35C8"/>
    <w:pPr>
      <w:spacing w:line="240" w:lineRule="auto"/>
    </w:pPr>
    <w:rPr>
      <w:sz w:val="20"/>
      <w:szCs w:val="20"/>
    </w:rPr>
  </w:style>
  <w:style w:type="character" w:customStyle="1" w:styleId="CommentTextChar">
    <w:name w:val="Comment Text Char"/>
    <w:basedOn w:val="DefaultParagraphFont"/>
    <w:link w:val="CommentText"/>
    <w:uiPriority w:val="99"/>
    <w:rsid w:val="002F35C8"/>
    <w:rPr>
      <w:rFonts w:ascii="Arial" w:hAnsi="Arial"/>
      <w:sz w:val="20"/>
      <w:szCs w:val="20"/>
    </w:rPr>
  </w:style>
  <w:style w:type="paragraph" w:styleId="CommentSubject">
    <w:name w:val="annotation subject"/>
    <w:basedOn w:val="CommentText"/>
    <w:next w:val="CommentText"/>
    <w:link w:val="CommentSubjectChar"/>
    <w:rsid w:val="002F35C8"/>
    <w:rPr>
      <w:b/>
      <w:bCs/>
    </w:rPr>
  </w:style>
  <w:style w:type="character" w:customStyle="1" w:styleId="CommentSubjectChar">
    <w:name w:val="Comment Subject Char"/>
    <w:basedOn w:val="CommentTextChar"/>
    <w:link w:val="CommentSubject"/>
    <w:rsid w:val="002F35C8"/>
    <w:rPr>
      <w:rFonts w:ascii="Arial" w:hAnsi="Arial"/>
      <w:b/>
      <w:bCs/>
      <w:sz w:val="20"/>
      <w:szCs w:val="20"/>
    </w:rPr>
  </w:style>
  <w:style w:type="table" w:styleId="TableGrid">
    <w:name w:val="Table Grid"/>
    <w:basedOn w:val="TableNormal"/>
    <w:rsid w:val="002F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088D"/>
    <w:rPr>
      <w:color w:val="467886" w:themeColor="hyperlink"/>
      <w:u w:val="single"/>
    </w:rPr>
  </w:style>
  <w:style w:type="paragraph" w:styleId="Revision">
    <w:name w:val="Revision"/>
    <w:hidden/>
    <w:uiPriority w:val="99"/>
    <w:semiHidden/>
    <w:rsid w:val="00040F7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82950">
      <w:bodyDiv w:val="1"/>
      <w:marLeft w:val="0"/>
      <w:marRight w:val="0"/>
      <w:marTop w:val="0"/>
      <w:marBottom w:val="0"/>
      <w:divBdr>
        <w:top w:val="none" w:sz="0" w:space="0" w:color="auto"/>
        <w:left w:val="none" w:sz="0" w:space="0" w:color="auto"/>
        <w:bottom w:val="none" w:sz="0" w:space="0" w:color="auto"/>
        <w:right w:val="none" w:sz="0" w:space="0" w:color="auto"/>
      </w:divBdr>
    </w:div>
    <w:div w:id="291712825">
      <w:bodyDiv w:val="1"/>
      <w:marLeft w:val="0"/>
      <w:marRight w:val="0"/>
      <w:marTop w:val="0"/>
      <w:marBottom w:val="0"/>
      <w:divBdr>
        <w:top w:val="none" w:sz="0" w:space="0" w:color="auto"/>
        <w:left w:val="none" w:sz="0" w:space="0" w:color="auto"/>
        <w:bottom w:val="none" w:sz="0" w:space="0" w:color="auto"/>
        <w:right w:val="none" w:sz="0" w:space="0" w:color="auto"/>
      </w:divBdr>
    </w:div>
    <w:div w:id="827136765">
      <w:bodyDiv w:val="1"/>
      <w:marLeft w:val="0"/>
      <w:marRight w:val="0"/>
      <w:marTop w:val="0"/>
      <w:marBottom w:val="0"/>
      <w:divBdr>
        <w:top w:val="none" w:sz="0" w:space="0" w:color="auto"/>
        <w:left w:val="none" w:sz="0" w:space="0" w:color="auto"/>
        <w:bottom w:val="none" w:sz="0" w:space="0" w:color="auto"/>
        <w:right w:val="none" w:sz="0" w:space="0" w:color="auto"/>
      </w:divBdr>
    </w:div>
    <w:div w:id="839389854">
      <w:bodyDiv w:val="1"/>
      <w:marLeft w:val="0"/>
      <w:marRight w:val="0"/>
      <w:marTop w:val="0"/>
      <w:marBottom w:val="0"/>
      <w:divBdr>
        <w:top w:val="none" w:sz="0" w:space="0" w:color="auto"/>
        <w:left w:val="none" w:sz="0" w:space="0" w:color="auto"/>
        <w:bottom w:val="none" w:sz="0" w:space="0" w:color="auto"/>
        <w:right w:val="none" w:sz="0" w:space="0" w:color="auto"/>
      </w:divBdr>
    </w:div>
    <w:div w:id="1010908033">
      <w:bodyDiv w:val="1"/>
      <w:marLeft w:val="0"/>
      <w:marRight w:val="0"/>
      <w:marTop w:val="0"/>
      <w:marBottom w:val="0"/>
      <w:divBdr>
        <w:top w:val="none" w:sz="0" w:space="0" w:color="auto"/>
        <w:left w:val="none" w:sz="0" w:space="0" w:color="auto"/>
        <w:bottom w:val="none" w:sz="0" w:space="0" w:color="auto"/>
        <w:right w:val="none" w:sz="0" w:space="0" w:color="auto"/>
      </w:divBdr>
    </w:div>
    <w:div w:id="1306623962">
      <w:bodyDiv w:val="1"/>
      <w:marLeft w:val="0"/>
      <w:marRight w:val="0"/>
      <w:marTop w:val="0"/>
      <w:marBottom w:val="0"/>
      <w:divBdr>
        <w:top w:val="none" w:sz="0" w:space="0" w:color="auto"/>
        <w:left w:val="none" w:sz="0" w:space="0" w:color="auto"/>
        <w:bottom w:val="none" w:sz="0" w:space="0" w:color="auto"/>
        <w:right w:val="none" w:sz="0" w:space="0" w:color="auto"/>
      </w:divBdr>
    </w:div>
    <w:div w:id="1400326232">
      <w:bodyDiv w:val="1"/>
      <w:marLeft w:val="0"/>
      <w:marRight w:val="0"/>
      <w:marTop w:val="0"/>
      <w:marBottom w:val="0"/>
      <w:divBdr>
        <w:top w:val="none" w:sz="0" w:space="0" w:color="auto"/>
        <w:left w:val="none" w:sz="0" w:space="0" w:color="auto"/>
        <w:bottom w:val="none" w:sz="0" w:space="0" w:color="auto"/>
        <w:right w:val="none" w:sz="0" w:space="0" w:color="auto"/>
      </w:divBdr>
    </w:div>
    <w:div w:id="1616909014">
      <w:bodyDiv w:val="1"/>
      <w:marLeft w:val="0"/>
      <w:marRight w:val="0"/>
      <w:marTop w:val="0"/>
      <w:marBottom w:val="0"/>
      <w:divBdr>
        <w:top w:val="none" w:sz="0" w:space="0" w:color="auto"/>
        <w:left w:val="none" w:sz="0" w:space="0" w:color="auto"/>
        <w:bottom w:val="none" w:sz="0" w:space="0" w:color="auto"/>
        <w:right w:val="none" w:sz="0" w:space="0" w:color="auto"/>
      </w:divBdr>
    </w:div>
    <w:div w:id="1859541928">
      <w:bodyDiv w:val="1"/>
      <w:marLeft w:val="0"/>
      <w:marRight w:val="0"/>
      <w:marTop w:val="0"/>
      <w:marBottom w:val="0"/>
      <w:divBdr>
        <w:top w:val="none" w:sz="0" w:space="0" w:color="auto"/>
        <w:left w:val="none" w:sz="0" w:space="0" w:color="auto"/>
        <w:bottom w:val="none" w:sz="0" w:space="0" w:color="auto"/>
        <w:right w:val="none" w:sz="0" w:space="0" w:color="auto"/>
      </w:divBdr>
    </w:div>
    <w:div w:id="1871258509">
      <w:bodyDiv w:val="1"/>
      <w:marLeft w:val="0"/>
      <w:marRight w:val="0"/>
      <w:marTop w:val="0"/>
      <w:marBottom w:val="0"/>
      <w:divBdr>
        <w:top w:val="none" w:sz="0" w:space="0" w:color="auto"/>
        <w:left w:val="none" w:sz="0" w:space="0" w:color="auto"/>
        <w:bottom w:val="none" w:sz="0" w:space="0" w:color="auto"/>
        <w:right w:val="none" w:sz="0" w:space="0" w:color="auto"/>
      </w:divBdr>
    </w:div>
    <w:div w:id="1888296873">
      <w:bodyDiv w:val="1"/>
      <w:marLeft w:val="0"/>
      <w:marRight w:val="0"/>
      <w:marTop w:val="0"/>
      <w:marBottom w:val="0"/>
      <w:divBdr>
        <w:top w:val="none" w:sz="0" w:space="0" w:color="auto"/>
        <w:left w:val="none" w:sz="0" w:space="0" w:color="auto"/>
        <w:bottom w:val="none" w:sz="0" w:space="0" w:color="auto"/>
        <w:right w:val="none" w:sz="0" w:space="0" w:color="auto"/>
      </w:divBdr>
    </w:div>
    <w:div w:id="21360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co@riziv-inami.fgov.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vco@riziv-inami.fgov.b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dropbox.com/" TargetMode="External"/><Relationship Id="rId5" Type="http://schemas.openxmlformats.org/officeDocument/2006/relationships/webSettings" Target="webSettings.xml"/><Relationship Id="rId10" Type="http://schemas.openxmlformats.org/officeDocument/2006/relationships/hyperlink" Target="https://filesender.belnet.be/" TargetMode="External"/><Relationship Id="rId4" Type="http://schemas.openxmlformats.org/officeDocument/2006/relationships/settings" Target="settings.xml"/><Relationship Id="rId9" Type="http://schemas.openxmlformats.org/officeDocument/2006/relationships/hyperlink" Target="https://wetransf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2B9BE-1632-4C2D-A6A7-DD5174DC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3429</Words>
  <Characters>18968</Characters>
  <Application>Microsoft Office Word</Application>
  <DocSecurity>0</DocSecurity>
  <Lines>474</Lines>
  <Paragraphs>257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Lammens (RIZIV-INAMI)</dc:creator>
  <cp:keywords/>
  <dc:description/>
  <cp:lastModifiedBy>Michiel Lammens (RIZIV-INAMI)</cp:lastModifiedBy>
  <cp:revision>31</cp:revision>
  <dcterms:created xsi:type="dcterms:W3CDTF">2025-06-05T10:22:00Z</dcterms:created>
  <dcterms:modified xsi:type="dcterms:W3CDTF">2025-12-08T07:21:00Z</dcterms:modified>
</cp:coreProperties>
</file>