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0BB2" w14:textId="382CE348" w:rsidR="002B667A" w:rsidRPr="003C2478" w:rsidRDefault="002E0EA2" w:rsidP="006953A0">
      <w:pPr>
        <w:jc w:val="both"/>
        <w:rPr>
          <w:rFonts w:ascii="Arial" w:eastAsia="Times New Roman" w:hAnsi="Arial" w:cs="Arial"/>
          <w:b/>
          <w:caps/>
          <w:color w:val="000000" w:themeColor="text1"/>
        </w:rPr>
      </w:pPr>
      <w:r w:rsidRPr="003C2478">
        <w:rPr>
          <w:rFonts w:ascii="Arial" w:eastAsia="Times New Roman" w:hAnsi="Arial" w:cs="Arial"/>
          <w:b/>
          <w:caps/>
          <w:color w:val="000000" w:themeColor="text1"/>
        </w:rPr>
        <w:t xml:space="preserve">Convention en application de l'art22 6°bis </w:t>
      </w:r>
      <w:r w:rsidR="003C2478" w:rsidRPr="003C2478">
        <w:rPr>
          <w:rFonts w:ascii="Arial" w:eastAsia="Times New Roman" w:hAnsi="Arial" w:cs="Arial"/>
          <w:b/>
          <w:caps/>
          <w:color w:val="000000" w:themeColor="text1"/>
        </w:rPr>
        <w:t>en</w:t>
      </w:r>
      <w:r w:rsidR="003C2478">
        <w:rPr>
          <w:rFonts w:ascii="Arial" w:eastAsia="Times New Roman" w:hAnsi="Arial" w:cs="Arial"/>
          <w:b/>
          <w:caps/>
          <w:color w:val="000000" w:themeColor="text1"/>
        </w:rPr>
        <w:t xml:space="preserve"> vue de</w:t>
      </w:r>
      <w:r w:rsidRPr="003C2478">
        <w:rPr>
          <w:rFonts w:ascii="Arial" w:eastAsia="Times New Roman" w:hAnsi="Arial" w:cs="Arial"/>
          <w:b/>
          <w:caps/>
          <w:color w:val="000000" w:themeColor="text1"/>
        </w:rPr>
        <w:t xml:space="preserve"> financement du </w:t>
      </w:r>
      <w:r w:rsidR="003C2478" w:rsidRPr="006C28F2">
        <w:rPr>
          <w:rFonts w:ascii="Arial" w:eastAsia="Times New Roman" w:hAnsi="Arial" w:cs="Arial"/>
          <w:b/>
          <w:caps/>
          <w:color w:val="000000" w:themeColor="text1"/>
          <w:lang w:val="fr-BE"/>
        </w:rPr>
        <w:t>Next Generation Sequencing</w:t>
      </w:r>
      <w:r w:rsidR="003C2478" w:rsidRPr="003C2478">
        <w:rPr>
          <w:rFonts w:ascii="Arial" w:eastAsia="Times New Roman" w:hAnsi="Arial" w:cs="Arial"/>
          <w:b/>
          <w:caps/>
          <w:color w:val="000000" w:themeColor="text1"/>
        </w:rPr>
        <w:t xml:space="preserve"> </w:t>
      </w:r>
      <w:r w:rsidRPr="003C2478">
        <w:rPr>
          <w:rFonts w:ascii="Arial" w:eastAsia="Times New Roman" w:hAnsi="Arial" w:cs="Arial"/>
          <w:b/>
          <w:caps/>
          <w:color w:val="000000" w:themeColor="text1"/>
        </w:rPr>
        <w:t>en oncologie et hémato-oncologie.</w:t>
      </w:r>
    </w:p>
    <w:p w14:paraId="395D6C07" w14:textId="667847AB" w:rsidR="002B667A" w:rsidRPr="003C2478" w:rsidRDefault="002E0EA2" w:rsidP="00C359C5">
      <w:pPr>
        <w:jc w:val="both"/>
        <w:rPr>
          <w:rFonts w:ascii="Calibri" w:eastAsia="Calibri" w:hAnsi="Calibri" w:cs="Times New Roman"/>
        </w:rPr>
      </w:pPr>
      <w:r w:rsidRPr="003C2478">
        <w:rPr>
          <w:rFonts w:ascii="Calibri" w:eastAsia="Calibri" w:hAnsi="Calibri" w:cs="Times New Roman"/>
        </w:rPr>
        <w:t xml:space="preserve">Vu la loi relative à l'assurance obligatoire soins de santé et indemnités, coordonnée le 14 juillet 1994, </w:t>
      </w:r>
      <w:r w:rsidR="005E43DC">
        <w:rPr>
          <w:rFonts w:ascii="Calibri" w:eastAsia="Calibri" w:hAnsi="Calibri" w:cs="Times New Roman"/>
        </w:rPr>
        <w:t>notamment</w:t>
      </w:r>
      <w:r w:rsidRPr="003C2478">
        <w:rPr>
          <w:rFonts w:ascii="Calibri" w:eastAsia="Calibri" w:hAnsi="Calibri" w:cs="Times New Roman"/>
        </w:rPr>
        <w:t xml:space="preserve"> l'article 22 </w:t>
      </w:r>
      <w:r w:rsidR="00FB1B5D" w:rsidRPr="003C2478">
        <w:rPr>
          <w:rFonts w:ascii="Calibri" w:eastAsia="Calibri" w:hAnsi="Calibri" w:cs="Times New Roman"/>
        </w:rPr>
        <w:t>6°bis</w:t>
      </w:r>
      <w:r w:rsidRPr="003C2478">
        <w:rPr>
          <w:rFonts w:ascii="Calibri" w:eastAsia="Calibri" w:hAnsi="Calibri" w:cs="Times New Roman"/>
        </w:rPr>
        <w:t>, et vu la décision du Comité de</w:t>
      </w:r>
      <w:r w:rsidR="005E43DC">
        <w:rPr>
          <w:rFonts w:ascii="Calibri" w:eastAsia="Calibri" w:hAnsi="Calibri" w:cs="Times New Roman"/>
        </w:rPr>
        <w:t xml:space="preserve"> l’a</w:t>
      </w:r>
      <w:r w:rsidRPr="003C2478">
        <w:rPr>
          <w:rFonts w:ascii="Calibri" w:eastAsia="Calibri" w:hAnsi="Calibri" w:cs="Times New Roman"/>
        </w:rPr>
        <w:t xml:space="preserve">ssurance lors de </w:t>
      </w:r>
      <w:r w:rsidR="00DF0907">
        <w:rPr>
          <w:rFonts w:ascii="Calibri" w:eastAsia="Calibri" w:hAnsi="Calibri" w:cs="Times New Roman"/>
        </w:rPr>
        <w:t xml:space="preserve">ses </w:t>
      </w:r>
      <w:r w:rsidRPr="003C2478">
        <w:rPr>
          <w:rFonts w:ascii="Calibri" w:eastAsia="Calibri" w:hAnsi="Calibri" w:cs="Times New Roman"/>
        </w:rPr>
        <w:t>session</w:t>
      </w:r>
      <w:r w:rsidR="006C3A38">
        <w:rPr>
          <w:rFonts w:ascii="Calibri" w:eastAsia="Calibri" w:hAnsi="Calibri" w:cs="Times New Roman"/>
        </w:rPr>
        <w:t>s</w:t>
      </w:r>
      <w:r w:rsidRPr="003C2478">
        <w:rPr>
          <w:rFonts w:ascii="Calibri" w:eastAsia="Calibri" w:hAnsi="Calibri" w:cs="Times New Roman"/>
        </w:rPr>
        <w:t xml:space="preserve"> de </w:t>
      </w:r>
      <w:r w:rsidR="0036044C">
        <w:rPr>
          <w:rFonts w:ascii="Calibri" w:eastAsia="Calibri" w:hAnsi="Calibri" w:cs="Times New Roman"/>
        </w:rPr>
        <w:t>27 mai 2024</w:t>
      </w:r>
      <w:r w:rsidR="006C3A38">
        <w:rPr>
          <w:rFonts w:ascii="Calibri" w:eastAsia="Calibri" w:hAnsi="Calibri" w:cs="Times New Roman"/>
        </w:rPr>
        <w:t xml:space="preserve"> et </w:t>
      </w:r>
      <w:r w:rsidR="00BA1E80">
        <w:rPr>
          <w:rFonts w:ascii="Calibri" w:eastAsia="Calibri" w:hAnsi="Calibri" w:cs="Times New Roman"/>
        </w:rPr>
        <w:t>9 février</w:t>
      </w:r>
      <w:r w:rsidR="006C3A38">
        <w:rPr>
          <w:rFonts w:ascii="Calibri" w:eastAsia="Calibri" w:hAnsi="Calibri" w:cs="Times New Roman"/>
        </w:rPr>
        <w:t xml:space="preserve"> </w:t>
      </w:r>
      <w:r w:rsidR="00BA1E80">
        <w:rPr>
          <w:rFonts w:ascii="Calibri" w:eastAsia="Calibri" w:hAnsi="Calibri" w:cs="Times New Roman"/>
        </w:rPr>
        <w:t>2026</w:t>
      </w:r>
      <w:r w:rsidRPr="003C2478">
        <w:rPr>
          <w:rFonts w:ascii="Calibri" w:eastAsia="Calibri" w:hAnsi="Calibri" w:cs="Times New Roman"/>
        </w:rPr>
        <w:t>, il est convenu ce qui suit :</w:t>
      </w:r>
    </w:p>
    <w:p w14:paraId="50062381" w14:textId="55F2890C" w:rsidR="002B667A" w:rsidRPr="003C2478" w:rsidRDefault="002E0EA2" w:rsidP="00C359C5">
      <w:pPr>
        <w:jc w:val="both"/>
        <w:rPr>
          <w:color w:val="000000" w:themeColor="text1"/>
        </w:rPr>
      </w:pPr>
      <w:r w:rsidRPr="003C2478">
        <w:rPr>
          <w:color w:val="000000" w:themeColor="text1"/>
        </w:rPr>
        <w:t>La convention est conclue entre, d'</w:t>
      </w:r>
      <w:r w:rsidR="00287B9D" w:rsidRPr="003C2478">
        <w:rPr>
          <w:color w:val="000000" w:themeColor="text1"/>
        </w:rPr>
        <w:t>une part</w:t>
      </w:r>
      <w:r w:rsidR="0059708A">
        <w:rPr>
          <w:color w:val="000000" w:themeColor="text1"/>
        </w:rPr>
        <w:t xml:space="preserve"> </w:t>
      </w:r>
      <w:r w:rsidRPr="003C2478">
        <w:rPr>
          <w:color w:val="000000" w:themeColor="text1"/>
        </w:rPr>
        <w:t>:</w:t>
      </w:r>
    </w:p>
    <w:p w14:paraId="168CF956" w14:textId="77777777" w:rsidR="002B667A" w:rsidRDefault="002E0EA2" w:rsidP="00C359C5">
      <w:pPr>
        <w:spacing w:after="0"/>
        <w:jc w:val="both"/>
        <w:rPr>
          <w:b/>
          <w:color w:val="000000" w:themeColor="text1"/>
        </w:rPr>
      </w:pPr>
      <w:r w:rsidRPr="00654423">
        <w:rPr>
          <w:b/>
          <w:color w:val="000000" w:themeColor="text1"/>
        </w:rPr>
        <w:t xml:space="preserve">L'institution </w:t>
      </w:r>
    </w:p>
    <w:p w14:paraId="73C236C2" w14:textId="7AEF3491" w:rsidR="003C2478" w:rsidRPr="003C2478" w:rsidRDefault="005E43DC" w:rsidP="00C359C5">
      <w:pPr>
        <w:pStyle w:val="ListParagraph"/>
        <w:numPr>
          <w:ilvl w:val="0"/>
          <w:numId w:val="1"/>
        </w:numPr>
        <w:tabs>
          <w:tab w:val="left" w:pos="3119"/>
        </w:tabs>
        <w:jc w:val="both"/>
        <w:rPr>
          <w:color w:val="000000" w:themeColor="text1"/>
          <w:sz w:val="24"/>
          <w:szCs w:val="24"/>
          <w:lang w:val="fr-FR"/>
        </w:rPr>
      </w:pPr>
      <w:r>
        <w:rPr>
          <w:color w:val="000000" w:themeColor="text1"/>
          <w:sz w:val="24"/>
          <w:szCs w:val="24"/>
          <w:lang w:val="fr-FR"/>
        </w:rPr>
        <w:t>L’i</w:t>
      </w:r>
      <w:r w:rsidR="003C2478" w:rsidRPr="003C2478">
        <w:rPr>
          <w:color w:val="000000" w:themeColor="text1"/>
          <w:sz w:val="24"/>
          <w:szCs w:val="24"/>
          <w:lang w:val="fr-FR"/>
        </w:rPr>
        <w:t>nstitut</w:t>
      </w:r>
      <w:r>
        <w:rPr>
          <w:color w:val="000000" w:themeColor="text1"/>
          <w:sz w:val="24"/>
          <w:szCs w:val="24"/>
          <w:lang w:val="fr-FR"/>
        </w:rPr>
        <w:t>ion</w:t>
      </w:r>
      <w:r w:rsidR="003C2478" w:rsidRPr="003C2478">
        <w:rPr>
          <w:color w:val="000000" w:themeColor="text1"/>
          <w:sz w:val="24"/>
          <w:szCs w:val="24"/>
          <w:lang w:val="fr-FR"/>
        </w:rPr>
        <w:t xml:space="preserve">: </w:t>
      </w:r>
      <w:r w:rsidR="003C2478" w:rsidRPr="003C2478">
        <w:rPr>
          <w:color w:val="000000" w:themeColor="text1"/>
          <w:sz w:val="24"/>
          <w:szCs w:val="24"/>
          <w:lang w:val="fr-FR"/>
        </w:rPr>
        <w:tab/>
      </w:r>
      <w:sdt>
        <w:sdtPr>
          <w:rPr>
            <w:color w:val="000000" w:themeColor="text1"/>
            <w:sz w:val="24"/>
            <w:szCs w:val="24"/>
          </w:rPr>
          <w:id w:val="-2117509506"/>
          <w:placeholder>
            <w:docPart w:val="D507A1CAFDAD4410BF2629046BE3D344"/>
          </w:placeholder>
        </w:sdtPr>
        <w:sdtEndPr/>
        <w:sdtContent>
          <w:sdt>
            <w:sdtPr>
              <w:rPr>
                <w:color w:val="000000" w:themeColor="text1"/>
              </w:rPr>
              <w:id w:val="1494061924"/>
              <w:placeholder>
                <w:docPart w:val="1121A51A4D984CC7A2F4A9D63DE6EB09"/>
              </w:placeholder>
              <w:showingPlcHdr/>
            </w:sdtPr>
            <w:sdtEndPr/>
            <w:sdtContent>
              <w:r w:rsidR="003C2478" w:rsidRPr="003C2478">
                <w:rPr>
                  <w:rStyle w:val="PlaceholderText"/>
                  <w:color w:val="0070C0"/>
                  <w:sz w:val="20"/>
                  <w:szCs w:val="20"/>
                  <w:lang w:val="fr-FR"/>
                </w:rPr>
                <w:t>Cliquez ou tapez ici pour saisir le texte.</w:t>
              </w:r>
            </w:sdtContent>
          </w:sdt>
        </w:sdtContent>
      </w:sdt>
    </w:p>
    <w:p w14:paraId="7CBBAC1B" w14:textId="2D438673" w:rsidR="003C2478" w:rsidRPr="003C2478" w:rsidRDefault="003C2478" w:rsidP="00C359C5">
      <w:pPr>
        <w:pStyle w:val="ListParagraph"/>
        <w:numPr>
          <w:ilvl w:val="0"/>
          <w:numId w:val="1"/>
        </w:numPr>
        <w:tabs>
          <w:tab w:val="left" w:pos="3119"/>
        </w:tabs>
        <w:jc w:val="both"/>
        <w:rPr>
          <w:color w:val="000000" w:themeColor="text1"/>
          <w:sz w:val="24"/>
          <w:szCs w:val="24"/>
          <w:lang w:val="fr-FR"/>
        </w:rPr>
      </w:pPr>
      <w:r w:rsidRPr="003C2478">
        <w:rPr>
          <w:color w:val="000000" w:themeColor="text1"/>
          <w:sz w:val="24"/>
          <w:szCs w:val="24"/>
          <w:lang w:val="fr-FR"/>
        </w:rPr>
        <w:t>Rue et numéro :</w:t>
      </w:r>
      <w:r w:rsidRPr="003C2478">
        <w:rPr>
          <w:color w:val="000000" w:themeColor="text1"/>
          <w:sz w:val="24"/>
          <w:szCs w:val="24"/>
          <w:lang w:val="fr-FR"/>
        </w:rPr>
        <w:tab/>
      </w:r>
      <w:sdt>
        <w:sdtPr>
          <w:rPr>
            <w:color w:val="000000" w:themeColor="text1"/>
            <w:sz w:val="24"/>
            <w:szCs w:val="24"/>
          </w:rPr>
          <w:id w:val="202457568"/>
          <w:placeholder>
            <w:docPart w:val="CA94F58FF2A9496590905C2D90942A30"/>
          </w:placeholder>
        </w:sdtPr>
        <w:sdtEndPr/>
        <w:sdtContent>
          <w:sdt>
            <w:sdtPr>
              <w:rPr>
                <w:color w:val="000000" w:themeColor="text1"/>
              </w:rPr>
              <w:id w:val="2090258341"/>
              <w:placeholder>
                <w:docPart w:val="0488FABE02E44AFFB327E685CE0608C4"/>
              </w:placeholder>
              <w:showingPlcHdr/>
            </w:sdtPr>
            <w:sdtEndPr/>
            <w:sdtContent>
              <w:r w:rsidRPr="003C2478">
                <w:rPr>
                  <w:rStyle w:val="PlaceholderText"/>
                  <w:color w:val="0070C0"/>
                  <w:sz w:val="20"/>
                  <w:szCs w:val="20"/>
                  <w:lang w:val="fr-FR"/>
                </w:rPr>
                <w:t>Cliquez ou tapez ici pour saisir le texte.</w:t>
              </w:r>
            </w:sdtContent>
          </w:sdt>
        </w:sdtContent>
      </w:sdt>
    </w:p>
    <w:p w14:paraId="46C67CEC" w14:textId="183ABC34" w:rsidR="003C2478" w:rsidRPr="003C2478" w:rsidRDefault="003C2478" w:rsidP="00C359C5">
      <w:pPr>
        <w:pStyle w:val="ListParagraph"/>
        <w:numPr>
          <w:ilvl w:val="0"/>
          <w:numId w:val="1"/>
        </w:numPr>
        <w:tabs>
          <w:tab w:val="left" w:pos="3119"/>
        </w:tabs>
        <w:spacing w:after="120"/>
        <w:ind w:left="714" w:hanging="357"/>
        <w:jc w:val="both"/>
        <w:rPr>
          <w:color w:val="000000" w:themeColor="text1"/>
          <w:sz w:val="24"/>
          <w:szCs w:val="24"/>
          <w:lang w:val="fr-FR"/>
        </w:rPr>
      </w:pPr>
      <w:r w:rsidRPr="003C2478">
        <w:rPr>
          <w:color w:val="000000" w:themeColor="text1"/>
          <w:sz w:val="24"/>
          <w:szCs w:val="24"/>
          <w:lang w:val="fr-FR"/>
        </w:rPr>
        <w:t xml:space="preserve">Code postal-Commune: </w:t>
      </w:r>
      <w:r w:rsidRPr="003C2478">
        <w:rPr>
          <w:color w:val="000000" w:themeColor="text1"/>
          <w:sz w:val="24"/>
          <w:szCs w:val="24"/>
          <w:lang w:val="fr-FR"/>
        </w:rPr>
        <w:tab/>
      </w:r>
      <w:sdt>
        <w:sdtPr>
          <w:rPr>
            <w:color w:val="000000" w:themeColor="text1"/>
            <w:sz w:val="24"/>
            <w:szCs w:val="24"/>
          </w:rPr>
          <w:id w:val="1867716027"/>
          <w:placeholder>
            <w:docPart w:val="CA94F58FF2A9496590905C2D90942A30"/>
          </w:placeholder>
        </w:sdtPr>
        <w:sdtEndPr/>
        <w:sdtContent>
          <w:sdt>
            <w:sdtPr>
              <w:rPr>
                <w:color w:val="000000" w:themeColor="text1"/>
                <w:sz w:val="24"/>
                <w:szCs w:val="24"/>
              </w:rPr>
              <w:id w:val="-827982935"/>
              <w:placeholder>
                <w:docPart w:val="87CFD9E05FF54B91BD765FCF4963287C"/>
              </w:placeholder>
            </w:sdtPr>
            <w:sdtEndPr/>
            <w:sdtContent>
              <w:sdt>
                <w:sdtPr>
                  <w:rPr>
                    <w:color w:val="000000" w:themeColor="text1"/>
                  </w:rPr>
                  <w:id w:val="707151583"/>
                  <w:placeholder>
                    <w:docPart w:val="DC84977039AC49D19E3F6055434DF597"/>
                  </w:placeholder>
                  <w:showingPlcHdr/>
                </w:sdtPr>
                <w:sdtEndPr/>
                <w:sdtContent>
                  <w:r w:rsidRPr="003C2478">
                    <w:rPr>
                      <w:rStyle w:val="PlaceholderText"/>
                      <w:color w:val="0070C0"/>
                      <w:sz w:val="20"/>
                      <w:szCs w:val="20"/>
                      <w:lang w:val="fr-FR"/>
                    </w:rPr>
                    <w:t>Cliquez ou tapez ici pour saisir le texte.</w:t>
                  </w:r>
                </w:sdtContent>
              </w:sdt>
            </w:sdtContent>
          </w:sdt>
        </w:sdtContent>
      </w:sdt>
    </w:p>
    <w:p w14:paraId="47B33FFA" w14:textId="3B03013A" w:rsidR="003C2478" w:rsidRDefault="003C2478" w:rsidP="00C359C5">
      <w:pPr>
        <w:spacing w:after="0"/>
        <w:ind w:left="357"/>
        <w:jc w:val="both"/>
        <w:rPr>
          <w:color w:val="000000" w:themeColor="text1"/>
          <w:sz w:val="24"/>
          <w:szCs w:val="24"/>
        </w:rPr>
      </w:pPr>
      <w:r w:rsidRPr="009F711F">
        <w:rPr>
          <w:color w:val="000000" w:themeColor="text1"/>
          <w:sz w:val="24"/>
          <w:szCs w:val="24"/>
        </w:rPr>
        <w:t>Représenté</w:t>
      </w:r>
      <w:r w:rsidR="005E43DC">
        <w:rPr>
          <w:color w:val="000000" w:themeColor="text1"/>
          <w:sz w:val="24"/>
          <w:szCs w:val="24"/>
        </w:rPr>
        <w:t>e</w:t>
      </w:r>
      <w:r w:rsidRPr="009F711F">
        <w:rPr>
          <w:color w:val="000000" w:themeColor="text1"/>
          <w:sz w:val="24"/>
          <w:szCs w:val="24"/>
        </w:rPr>
        <w:t xml:space="preserve"> par</w:t>
      </w:r>
      <w:r>
        <w:rPr>
          <w:color w:val="000000" w:themeColor="text1"/>
          <w:sz w:val="24"/>
          <w:szCs w:val="24"/>
        </w:rPr>
        <w:t>:</w:t>
      </w:r>
    </w:p>
    <w:p w14:paraId="42AA3648" w14:textId="77777777" w:rsidR="003C2478" w:rsidRDefault="003C2478" w:rsidP="00C359C5">
      <w:pPr>
        <w:pStyle w:val="ListParagraph"/>
        <w:numPr>
          <w:ilvl w:val="0"/>
          <w:numId w:val="1"/>
        </w:numPr>
        <w:tabs>
          <w:tab w:val="left" w:pos="3119"/>
        </w:tabs>
        <w:jc w:val="both"/>
        <w:rPr>
          <w:color w:val="000000" w:themeColor="text1"/>
          <w:sz w:val="24"/>
          <w:szCs w:val="24"/>
          <w:lang w:val="en-GB"/>
        </w:rPr>
      </w:pPr>
      <w:r>
        <w:rPr>
          <w:color w:val="000000" w:themeColor="text1"/>
          <w:sz w:val="24"/>
          <w:szCs w:val="24"/>
          <w:lang w:val="en-GB"/>
        </w:rPr>
        <w:t>Nom</w:t>
      </w:r>
      <w:r w:rsidRPr="00E60D4B">
        <w:rPr>
          <w:color w:val="000000" w:themeColor="text1"/>
          <w:sz w:val="24"/>
          <w:szCs w:val="24"/>
          <w:lang w:val="en-GB"/>
        </w:rPr>
        <w:t xml:space="preserve">: </w:t>
      </w:r>
      <w:r>
        <w:rPr>
          <w:color w:val="000000" w:themeColor="text1"/>
          <w:sz w:val="24"/>
          <w:szCs w:val="24"/>
          <w:lang w:val="en-GB"/>
        </w:rPr>
        <w:tab/>
      </w:r>
      <w:sdt>
        <w:sdtPr>
          <w:rPr>
            <w:color w:val="000000" w:themeColor="text1"/>
            <w:sz w:val="24"/>
            <w:szCs w:val="24"/>
          </w:rPr>
          <w:id w:val="1249541637"/>
          <w:placeholder>
            <w:docPart w:val="E8CBED885464420CBDCB9F0675DB78F8"/>
          </w:placeholder>
          <w:showingPlcHdr/>
        </w:sdtPr>
        <w:sdtEndPr/>
        <w:sdtContent>
          <w:r w:rsidRPr="008E0745">
            <w:rPr>
              <w:rStyle w:val="PlaceholderText"/>
              <w:color w:val="0070C0"/>
              <w:lang w:val="en-GB"/>
            </w:rPr>
            <w:t>Click or tap here to enter text.</w:t>
          </w:r>
        </w:sdtContent>
      </w:sdt>
      <w:r w:rsidRPr="00E60D4B">
        <w:rPr>
          <w:color w:val="000000" w:themeColor="text1"/>
          <w:sz w:val="24"/>
          <w:szCs w:val="24"/>
          <w:lang w:val="en-GB"/>
        </w:rPr>
        <w:t xml:space="preserve"> </w:t>
      </w:r>
    </w:p>
    <w:p w14:paraId="16F1478B" w14:textId="77777777" w:rsidR="003C2478" w:rsidRPr="00E60D4B" w:rsidRDefault="003C2478" w:rsidP="00C359C5">
      <w:pPr>
        <w:pStyle w:val="ListParagraph"/>
        <w:numPr>
          <w:ilvl w:val="0"/>
          <w:numId w:val="1"/>
        </w:numPr>
        <w:tabs>
          <w:tab w:val="left" w:pos="3119"/>
        </w:tabs>
        <w:spacing w:after="120"/>
        <w:ind w:left="714" w:hanging="357"/>
        <w:jc w:val="both"/>
        <w:rPr>
          <w:color w:val="000000" w:themeColor="text1"/>
          <w:sz w:val="24"/>
          <w:szCs w:val="24"/>
          <w:lang w:val="en-GB"/>
        </w:rPr>
      </w:pPr>
      <w:r>
        <w:rPr>
          <w:color w:val="000000" w:themeColor="text1"/>
          <w:sz w:val="24"/>
          <w:szCs w:val="24"/>
          <w:lang w:val="en-GB"/>
        </w:rPr>
        <w:t>Function</w:t>
      </w:r>
      <w:r w:rsidRPr="00E60D4B">
        <w:rPr>
          <w:color w:val="000000" w:themeColor="text1"/>
          <w:sz w:val="24"/>
          <w:szCs w:val="24"/>
          <w:lang w:val="en-GB"/>
        </w:rPr>
        <w:t xml:space="preserve">: </w:t>
      </w:r>
      <w:r>
        <w:rPr>
          <w:color w:val="000000" w:themeColor="text1"/>
          <w:sz w:val="24"/>
          <w:szCs w:val="24"/>
          <w:lang w:val="en-GB"/>
        </w:rPr>
        <w:tab/>
      </w:r>
      <w:sdt>
        <w:sdtPr>
          <w:rPr>
            <w:color w:val="000000" w:themeColor="text1"/>
            <w:sz w:val="24"/>
            <w:szCs w:val="24"/>
          </w:rPr>
          <w:id w:val="-694699806"/>
          <w:placeholder>
            <w:docPart w:val="F80265D9038C4BE1838A84EC654090A7"/>
          </w:placeholder>
          <w:showingPlcHdr/>
        </w:sdtPr>
        <w:sdtEndPr/>
        <w:sdtContent>
          <w:r w:rsidRPr="008E0745">
            <w:rPr>
              <w:rStyle w:val="PlaceholderText"/>
              <w:color w:val="0070C0"/>
              <w:lang w:val="en-GB"/>
            </w:rPr>
            <w:t>Click or tap here to enter text.</w:t>
          </w:r>
        </w:sdtContent>
      </w:sdt>
    </w:p>
    <w:p w14:paraId="1CB5D4CA" w14:textId="65FF2487" w:rsidR="002B667A" w:rsidRPr="003C2478" w:rsidRDefault="002E0EA2" w:rsidP="00C359C5">
      <w:pPr>
        <w:tabs>
          <w:tab w:val="left" w:pos="2977"/>
          <w:tab w:val="left" w:pos="6379"/>
        </w:tabs>
        <w:spacing w:after="0"/>
        <w:ind w:left="357"/>
        <w:jc w:val="both"/>
        <w:rPr>
          <w:color w:val="000000" w:themeColor="text1"/>
        </w:rPr>
      </w:pPr>
      <w:r w:rsidRPr="003C2478">
        <w:rPr>
          <w:color w:val="000000" w:themeColor="text1"/>
        </w:rPr>
        <w:t>Nom d</w:t>
      </w:r>
      <w:r w:rsidR="005E43DC">
        <w:rPr>
          <w:color w:val="000000" w:themeColor="text1"/>
        </w:rPr>
        <w:t>es personnes de</w:t>
      </w:r>
      <w:r w:rsidRPr="003C2478">
        <w:rPr>
          <w:color w:val="000000" w:themeColor="text1"/>
        </w:rPr>
        <w:t xml:space="preserve"> contact</w:t>
      </w:r>
      <w:r w:rsidR="000E0DAE" w:rsidRPr="003C2478">
        <w:rPr>
          <w:color w:val="000000" w:themeColor="text1"/>
        </w:rPr>
        <w:t>:</w:t>
      </w:r>
      <w:r w:rsidR="0063280A">
        <w:rPr>
          <w:color w:val="000000" w:themeColor="text1"/>
        </w:rPr>
        <w:t xml:space="preserve">         </w:t>
      </w:r>
      <w:r w:rsidR="000E0DAE" w:rsidRPr="003C2478">
        <w:rPr>
          <w:color w:val="000000" w:themeColor="text1"/>
        </w:rPr>
        <w:t>contact 1:</w:t>
      </w:r>
      <w:r w:rsidR="000E0DAE" w:rsidRPr="003C2478">
        <w:rPr>
          <w:color w:val="000000" w:themeColor="text1"/>
        </w:rPr>
        <w:tab/>
        <w:t>contact 2 :</w:t>
      </w:r>
    </w:p>
    <w:p w14:paraId="06B103C1" w14:textId="77777777" w:rsidR="002B667A" w:rsidRPr="0063280A" w:rsidRDefault="002E0EA2" w:rsidP="00C359C5">
      <w:pPr>
        <w:pStyle w:val="ListParagraph"/>
        <w:numPr>
          <w:ilvl w:val="0"/>
          <w:numId w:val="1"/>
        </w:numPr>
        <w:tabs>
          <w:tab w:val="left" w:pos="2977"/>
          <w:tab w:val="left" w:pos="6379"/>
        </w:tabs>
        <w:ind w:right="-279"/>
        <w:jc w:val="both"/>
        <w:rPr>
          <w:color w:val="000000" w:themeColor="text1"/>
          <w:lang w:val="fr-FR"/>
        </w:rPr>
      </w:pPr>
      <w:r w:rsidRPr="003C2478">
        <w:rPr>
          <w:color w:val="000000" w:themeColor="text1"/>
          <w:lang w:val="fr-FR"/>
        </w:rPr>
        <w:t xml:space="preserve">Nom : </w:t>
      </w:r>
      <w:r w:rsidRPr="003C2478">
        <w:rPr>
          <w:color w:val="000000" w:themeColor="text1"/>
          <w:lang w:val="fr-FR"/>
        </w:rPr>
        <w:tab/>
      </w:r>
      <w:sdt>
        <w:sdtPr>
          <w:rPr>
            <w:color w:val="000000" w:themeColor="text1"/>
          </w:rPr>
          <w:id w:val="2060508265"/>
          <w:placeholder>
            <w:docPart w:val="E45B6FB2032C44C18140F232AC558458"/>
          </w:placeholder>
          <w:showingPlcHdr/>
        </w:sdtPr>
        <w:sdtEndPr/>
        <w:sdtContent>
          <w:r w:rsidRPr="003C2478">
            <w:rPr>
              <w:rStyle w:val="PlaceholderText"/>
              <w:color w:val="0070C0"/>
              <w:sz w:val="20"/>
              <w:szCs w:val="20"/>
              <w:lang w:val="fr-FR"/>
            </w:rPr>
            <w:t>Cliquez ou tapez ici pour saisir le texte.</w:t>
          </w:r>
        </w:sdtContent>
      </w:sdt>
      <w:r w:rsidRPr="003C2478">
        <w:rPr>
          <w:color w:val="000000" w:themeColor="text1"/>
          <w:lang w:val="fr-FR"/>
        </w:rPr>
        <w:t xml:space="preserve"> </w:t>
      </w:r>
      <w:r w:rsidR="000E0DAE" w:rsidRPr="003C2478">
        <w:rPr>
          <w:color w:val="000000" w:themeColor="text1"/>
          <w:lang w:val="fr-FR"/>
        </w:rPr>
        <w:tab/>
      </w:r>
      <w:sdt>
        <w:sdtPr>
          <w:rPr>
            <w:color w:val="000000" w:themeColor="text1"/>
          </w:rPr>
          <w:id w:val="-1959869775"/>
          <w:placeholder>
            <w:docPart w:val="3694DBCD0C664A80AB4257C47ECF794B"/>
          </w:placeholder>
          <w:showingPlcHdr/>
        </w:sdtPr>
        <w:sdtEndPr/>
        <w:sdtContent>
          <w:r w:rsidR="000E0DAE" w:rsidRPr="003C2478">
            <w:rPr>
              <w:rStyle w:val="PlaceholderText"/>
              <w:color w:val="0070C0"/>
              <w:sz w:val="20"/>
              <w:szCs w:val="20"/>
              <w:lang w:val="fr-FR"/>
            </w:rPr>
            <w:t>Cliquez ou tapez ici pour saisir le texte.</w:t>
          </w:r>
        </w:sdtContent>
      </w:sdt>
    </w:p>
    <w:p w14:paraId="4FE9C9B2" w14:textId="77777777" w:rsidR="002B667A" w:rsidRPr="003C2478" w:rsidRDefault="002E0EA2" w:rsidP="00C359C5">
      <w:pPr>
        <w:pStyle w:val="ListParagraph"/>
        <w:numPr>
          <w:ilvl w:val="0"/>
          <w:numId w:val="1"/>
        </w:numPr>
        <w:tabs>
          <w:tab w:val="left" w:pos="2977"/>
          <w:tab w:val="left" w:pos="6379"/>
        </w:tabs>
        <w:ind w:right="-279"/>
        <w:jc w:val="both"/>
        <w:rPr>
          <w:color w:val="000000" w:themeColor="text1"/>
          <w:lang w:val="fr-FR"/>
        </w:rPr>
      </w:pPr>
      <w:r w:rsidRPr="003C2478">
        <w:rPr>
          <w:color w:val="000000" w:themeColor="text1"/>
          <w:lang w:val="fr-FR"/>
        </w:rPr>
        <w:t xml:space="preserve">Fonction : </w:t>
      </w:r>
      <w:r w:rsidRPr="003C2478">
        <w:rPr>
          <w:color w:val="000000" w:themeColor="text1"/>
          <w:lang w:val="fr-FR"/>
        </w:rPr>
        <w:tab/>
      </w:r>
      <w:sdt>
        <w:sdtPr>
          <w:rPr>
            <w:color w:val="000000" w:themeColor="text1"/>
          </w:rPr>
          <w:id w:val="-1552230810"/>
          <w:placeholder>
            <w:docPart w:val="93EB0EF467D84633A2E5492220FEF585"/>
          </w:placeholder>
          <w:showingPlcHdr/>
        </w:sdtPr>
        <w:sdtEndPr/>
        <w:sdtContent>
          <w:r w:rsidR="00D852D3" w:rsidRPr="003C2478">
            <w:rPr>
              <w:rStyle w:val="PlaceholderText"/>
              <w:color w:val="0070C0"/>
              <w:sz w:val="20"/>
              <w:szCs w:val="20"/>
              <w:lang w:val="fr-FR"/>
            </w:rPr>
            <w:t>Cliquez ou tapez ici pour saisir du texte.</w:t>
          </w:r>
        </w:sdtContent>
      </w:sdt>
      <w:r w:rsidR="00D852D3" w:rsidRPr="003C2478">
        <w:rPr>
          <w:color w:val="000000" w:themeColor="text1"/>
          <w:lang w:val="fr-FR"/>
        </w:rPr>
        <w:t xml:space="preserve"> </w:t>
      </w:r>
      <w:r w:rsidR="000E0DAE" w:rsidRPr="003C2478">
        <w:rPr>
          <w:color w:val="000000" w:themeColor="text1"/>
          <w:lang w:val="fr-FR"/>
        </w:rPr>
        <w:tab/>
      </w:r>
      <w:sdt>
        <w:sdtPr>
          <w:rPr>
            <w:color w:val="000000" w:themeColor="text1"/>
          </w:rPr>
          <w:id w:val="-1098402504"/>
          <w:placeholder>
            <w:docPart w:val="A15994A5340B4DF5BB0AF42981EBFEA5"/>
          </w:placeholder>
          <w:showingPlcHdr/>
        </w:sdtPr>
        <w:sdtEndPr/>
        <w:sdtContent>
          <w:r w:rsidR="000E0DAE" w:rsidRPr="003C2478">
            <w:rPr>
              <w:rStyle w:val="PlaceholderText"/>
              <w:color w:val="0070C0"/>
              <w:sz w:val="20"/>
              <w:szCs w:val="20"/>
              <w:lang w:val="fr-FR"/>
            </w:rPr>
            <w:t>Cliquez ou tapez ici pour saisir du texte.</w:t>
          </w:r>
        </w:sdtContent>
      </w:sdt>
    </w:p>
    <w:p w14:paraId="56EB8F8C" w14:textId="77777777" w:rsidR="002B667A" w:rsidRDefault="002E0EA2" w:rsidP="00C359C5">
      <w:pPr>
        <w:pStyle w:val="ListParagraph"/>
        <w:numPr>
          <w:ilvl w:val="0"/>
          <w:numId w:val="1"/>
        </w:numPr>
        <w:tabs>
          <w:tab w:val="left" w:pos="2977"/>
          <w:tab w:val="left" w:pos="6379"/>
        </w:tabs>
        <w:ind w:right="-279"/>
        <w:jc w:val="both"/>
        <w:rPr>
          <w:color w:val="000000" w:themeColor="text1"/>
          <w:lang w:val="en-GB"/>
        </w:rPr>
      </w:pPr>
      <w:r w:rsidRPr="003C2478">
        <w:rPr>
          <w:color w:val="000000" w:themeColor="text1"/>
          <w:lang w:val="fr-FR"/>
        </w:rPr>
        <w:t xml:space="preserve">Numéro de téléphone : </w:t>
      </w:r>
      <w:r w:rsidRPr="003C2478">
        <w:rPr>
          <w:color w:val="000000" w:themeColor="text1"/>
          <w:lang w:val="fr-FR"/>
        </w:rPr>
        <w:tab/>
      </w:r>
      <w:sdt>
        <w:sdtPr>
          <w:rPr>
            <w:color w:val="000000" w:themeColor="text1"/>
          </w:rPr>
          <w:id w:val="483358151"/>
          <w:placeholder>
            <w:docPart w:val="01BC2955287F4D43BD8D3AB9328CEF38"/>
          </w:placeholder>
          <w:showingPlcHdr/>
        </w:sdtPr>
        <w:sdtEndPr/>
        <w:sdtContent>
          <w:r w:rsidRPr="0063280A">
            <w:rPr>
              <w:rStyle w:val="PlaceholderText"/>
              <w:color w:val="0070C0"/>
              <w:sz w:val="20"/>
              <w:szCs w:val="20"/>
              <w:lang w:val="fr-FR"/>
            </w:rPr>
            <w:t>Cliquez ou tapez ici pour saisir le texte.</w:t>
          </w:r>
        </w:sdtContent>
      </w:sdt>
      <w:r w:rsidR="000E0DAE" w:rsidRPr="003C2478">
        <w:rPr>
          <w:color w:val="000000" w:themeColor="text1"/>
          <w:lang w:val="fr-FR"/>
        </w:rPr>
        <w:tab/>
      </w:r>
      <w:sdt>
        <w:sdtPr>
          <w:rPr>
            <w:color w:val="000000" w:themeColor="text1"/>
          </w:rPr>
          <w:id w:val="-658074328"/>
          <w:placeholder>
            <w:docPart w:val="FBB2169A6D7E487B9EA61807F93892DD"/>
          </w:placeholder>
          <w:showingPlcHdr/>
        </w:sdtPr>
        <w:sdtEndPr/>
        <w:sdtContent>
          <w:r w:rsidR="000E0DAE" w:rsidRPr="00654423">
            <w:rPr>
              <w:rStyle w:val="PlaceholderText"/>
              <w:color w:val="0070C0"/>
              <w:sz w:val="20"/>
              <w:szCs w:val="20"/>
              <w:lang w:val="en-GB"/>
            </w:rPr>
            <w:t>Cliquez ou tapez ici pour saisir le texte.</w:t>
          </w:r>
        </w:sdtContent>
      </w:sdt>
    </w:p>
    <w:p w14:paraId="25EEDE8E" w14:textId="77777777" w:rsidR="002B667A" w:rsidRDefault="002E0EA2" w:rsidP="00C359C5">
      <w:pPr>
        <w:pStyle w:val="ListParagraph"/>
        <w:numPr>
          <w:ilvl w:val="0"/>
          <w:numId w:val="1"/>
        </w:numPr>
        <w:tabs>
          <w:tab w:val="left" w:pos="2977"/>
          <w:tab w:val="left" w:pos="6379"/>
        </w:tabs>
        <w:ind w:right="-279"/>
        <w:jc w:val="both"/>
        <w:rPr>
          <w:color w:val="000000" w:themeColor="text1"/>
          <w:lang w:val="en-GB"/>
        </w:rPr>
      </w:pPr>
      <w:r w:rsidRPr="003C2478">
        <w:rPr>
          <w:color w:val="000000" w:themeColor="text1"/>
          <w:lang w:val="fr-FR"/>
        </w:rPr>
        <w:t xml:space="preserve">Adresse électronique : </w:t>
      </w:r>
      <w:r w:rsidRPr="003C2478">
        <w:rPr>
          <w:color w:val="000000" w:themeColor="text1"/>
          <w:lang w:val="fr-FR"/>
        </w:rPr>
        <w:tab/>
      </w:r>
      <w:sdt>
        <w:sdtPr>
          <w:rPr>
            <w:color w:val="000000" w:themeColor="text1"/>
          </w:rPr>
          <w:id w:val="114576774"/>
          <w:placeholder>
            <w:docPart w:val="8F732A200E07446DA42BE7AA810840D0"/>
          </w:placeholder>
          <w:showingPlcHdr/>
        </w:sdtPr>
        <w:sdtEndPr/>
        <w:sdtContent>
          <w:r w:rsidRPr="003C2478">
            <w:rPr>
              <w:rStyle w:val="PlaceholderText"/>
              <w:color w:val="0070C0"/>
              <w:sz w:val="20"/>
              <w:szCs w:val="20"/>
              <w:lang w:val="fr-FR"/>
            </w:rPr>
            <w:t>Cliquez ou tapez ici pour saisir le texte.</w:t>
          </w:r>
        </w:sdtContent>
      </w:sdt>
      <w:r w:rsidR="000E0DAE" w:rsidRPr="003C2478">
        <w:rPr>
          <w:color w:val="000000" w:themeColor="text1"/>
          <w:lang w:val="fr-FR"/>
        </w:rPr>
        <w:tab/>
      </w:r>
      <w:sdt>
        <w:sdtPr>
          <w:rPr>
            <w:color w:val="000000" w:themeColor="text1"/>
          </w:rPr>
          <w:id w:val="856856100"/>
          <w:placeholder>
            <w:docPart w:val="C7902CE260F04D51BA461342C1D4CFDA"/>
          </w:placeholder>
          <w:showingPlcHdr/>
        </w:sdtPr>
        <w:sdtEndPr/>
        <w:sdtContent>
          <w:r w:rsidR="000E0DAE" w:rsidRPr="00654423">
            <w:rPr>
              <w:rStyle w:val="PlaceholderText"/>
              <w:color w:val="0070C0"/>
              <w:sz w:val="20"/>
              <w:szCs w:val="20"/>
              <w:lang w:val="en-GB"/>
            </w:rPr>
            <w:t>Cliquez ou tapez ici pour saisir le texte.</w:t>
          </w:r>
        </w:sdtContent>
      </w:sdt>
    </w:p>
    <w:p w14:paraId="57DCA841" w14:textId="584F1E6D" w:rsidR="002B667A" w:rsidRPr="003C2478" w:rsidRDefault="003C2478" w:rsidP="00C359C5">
      <w:pPr>
        <w:jc w:val="both"/>
        <w:rPr>
          <w:color w:val="000000" w:themeColor="text1"/>
        </w:rPr>
      </w:pPr>
      <w:r w:rsidRPr="002F350D">
        <w:rPr>
          <w:color w:val="000000" w:themeColor="text1"/>
          <w:sz w:val="24"/>
          <w:szCs w:val="24"/>
          <w:lang w:val="fr-BE"/>
        </w:rPr>
        <w:t xml:space="preserve">Dénommé ci-après </w:t>
      </w:r>
      <w:r w:rsidR="002E0EA2" w:rsidRPr="003C2478">
        <w:rPr>
          <w:b/>
          <w:color w:val="000000" w:themeColor="text1"/>
        </w:rPr>
        <w:t>première partie</w:t>
      </w:r>
    </w:p>
    <w:p w14:paraId="472FA812" w14:textId="77777777" w:rsidR="002B667A" w:rsidRPr="003C2478" w:rsidRDefault="002E0EA2" w:rsidP="00C359C5">
      <w:pPr>
        <w:jc w:val="both"/>
        <w:rPr>
          <w:color w:val="000000" w:themeColor="text1"/>
        </w:rPr>
      </w:pPr>
      <w:r w:rsidRPr="003C2478">
        <w:rPr>
          <w:color w:val="000000" w:themeColor="text1"/>
        </w:rPr>
        <w:t>Et d'autre part :</w:t>
      </w:r>
    </w:p>
    <w:p w14:paraId="0A4F87F2" w14:textId="4BFBA83C" w:rsidR="002B667A" w:rsidRPr="003C2478" w:rsidRDefault="002E0EA2" w:rsidP="00C359C5">
      <w:pPr>
        <w:spacing w:after="0"/>
        <w:jc w:val="both"/>
        <w:rPr>
          <w:rFonts w:ascii="Calibri" w:eastAsia="Calibri" w:hAnsi="Calibri" w:cs="Times New Roman"/>
        </w:rPr>
      </w:pPr>
      <w:r w:rsidRPr="003C2478">
        <w:rPr>
          <w:rFonts w:ascii="Calibri" w:eastAsia="Calibri" w:hAnsi="Calibri" w:cs="Times New Roman"/>
          <w:b/>
        </w:rPr>
        <w:t xml:space="preserve">Le Comité de l'assurance soins de santé de l'INAMI, </w:t>
      </w:r>
      <w:r w:rsidRPr="003C2478">
        <w:rPr>
          <w:rFonts w:ascii="Calibri" w:eastAsia="Calibri" w:hAnsi="Calibri" w:cs="Times New Roman"/>
        </w:rPr>
        <w:t xml:space="preserve">représenté par M. </w:t>
      </w:r>
      <w:r w:rsidR="00FF3BA3" w:rsidRPr="003C2478">
        <w:rPr>
          <w:rFonts w:ascii="Calibri" w:eastAsia="Calibri" w:hAnsi="Calibri" w:cs="Times New Roman"/>
        </w:rPr>
        <w:t>Mickaël Daubie</w:t>
      </w:r>
      <w:r w:rsidRPr="003C2478">
        <w:rPr>
          <w:rFonts w:ascii="Calibri" w:eastAsia="Calibri" w:hAnsi="Calibri" w:cs="Times New Roman"/>
        </w:rPr>
        <w:t xml:space="preserve">, </w:t>
      </w:r>
      <w:r w:rsidR="0059708A">
        <w:rPr>
          <w:rFonts w:ascii="Calibri" w:eastAsia="Calibri" w:hAnsi="Calibri" w:cs="Times New Roman"/>
        </w:rPr>
        <w:t>D</w:t>
      </w:r>
      <w:r w:rsidRPr="003C2478">
        <w:rPr>
          <w:rFonts w:ascii="Calibri" w:eastAsia="Calibri" w:hAnsi="Calibri" w:cs="Times New Roman"/>
        </w:rPr>
        <w:t xml:space="preserve">irecteur général du </w:t>
      </w:r>
      <w:r w:rsidR="003C2478">
        <w:rPr>
          <w:rFonts w:ascii="Calibri" w:eastAsia="Calibri" w:hAnsi="Calibri" w:cs="Times New Roman"/>
        </w:rPr>
        <w:t>Service</w:t>
      </w:r>
      <w:r w:rsidRPr="003C2478">
        <w:rPr>
          <w:rFonts w:ascii="Calibri" w:eastAsia="Calibri" w:hAnsi="Calibri" w:cs="Times New Roman"/>
        </w:rPr>
        <w:t xml:space="preserve"> des soins de santé de l'INAMI, </w:t>
      </w:r>
    </w:p>
    <w:p w14:paraId="281EF461" w14:textId="6C09C79C" w:rsidR="002B667A" w:rsidRPr="0029288A" w:rsidRDefault="002E0EA2" w:rsidP="00C359C5">
      <w:pPr>
        <w:pStyle w:val="ListParagraph"/>
        <w:numPr>
          <w:ilvl w:val="0"/>
          <w:numId w:val="1"/>
        </w:numPr>
        <w:jc w:val="both"/>
        <w:rPr>
          <w:lang w:val="fr-FR"/>
        </w:rPr>
      </w:pPr>
      <w:r w:rsidRPr="0029288A">
        <w:rPr>
          <w:lang w:val="fr-FR"/>
        </w:rPr>
        <w:t>Nom d</w:t>
      </w:r>
      <w:r w:rsidR="00115802" w:rsidRPr="0029288A">
        <w:rPr>
          <w:lang w:val="fr-FR"/>
        </w:rPr>
        <w:t>es personnes de</w:t>
      </w:r>
      <w:r w:rsidRPr="0029288A">
        <w:rPr>
          <w:lang w:val="fr-FR"/>
        </w:rPr>
        <w:t xml:space="preserve"> contact :</w:t>
      </w:r>
    </w:p>
    <w:p w14:paraId="4692002F" w14:textId="77777777" w:rsidR="002B667A" w:rsidRDefault="002E0EA2" w:rsidP="00C359C5">
      <w:pPr>
        <w:pStyle w:val="ListParagraph"/>
        <w:numPr>
          <w:ilvl w:val="1"/>
          <w:numId w:val="1"/>
        </w:numPr>
        <w:jc w:val="both"/>
      </w:pPr>
      <w:proofErr w:type="spellStart"/>
      <w:r w:rsidRPr="00654423">
        <w:t>Suivi</w:t>
      </w:r>
      <w:proofErr w:type="spellEnd"/>
      <w:r w:rsidRPr="00654423">
        <w:t xml:space="preserve"> du </w:t>
      </w:r>
      <w:proofErr w:type="spellStart"/>
      <w:r w:rsidRPr="00654423">
        <w:t>contenu</w:t>
      </w:r>
      <w:proofErr w:type="spellEnd"/>
      <w:r w:rsidRPr="00654423">
        <w:t xml:space="preserve"> :</w:t>
      </w:r>
    </w:p>
    <w:p w14:paraId="6A1DE7D5" w14:textId="77777777" w:rsidR="002B667A" w:rsidRDefault="002E0EA2" w:rsidP="00C359C5">
      <w:pPr>
        <w:pStyle w:val="ListParagraph"/>
        <w:numPr>
          <w:ilvl w:val="2"/>
          <w:numId w:val="1"/>
        </w:numPr>
        <w:jc w:val="both"/>
      </w:pPr>
      <w:r w:rsidRPr="00654423">
        <w:t xml:space="preserve">Koen De Smet et Walli Van Doren </w:t>
      </w:r>
    </w:p>
    <w:p w14:paraId="1853D1A4" w14:textId="77503593" w:rsidR="002B667A" w:rsidRPr="003C2478" w:rsidRDefault="002E0EA2" w:rsidP="00C359C5">
      <w:pPr>
        <w:pStyle w:val="ListParagraph"/>
        <w:numPr>
          <w:ilvl w:val="2"/>
          <w:numId w:val="1"/>
        </w:numPr>
        <w:jc w:val="both"/>
        <w:rPr>
          <w:lang w:val="de-DE"/>
        </w:rPr>
      </w:pPr>
      <w:r w:rsidRPr="000F4D01">
        <w:rPr>
          <w:lang w:val="de-DE"/>
        </w:rPr>
        <w:t xml:space="preserve">Adresse </w:t>
      </w:r>
      <w:proofErr w:type="spellStart"/>
      <w:r w:rsidR="003C2478" w:rsidRPr="000F4D01">
        <w:rPr>
          <w:lang w:val="de-DE"/>
        </w:rPr>
        <w:t>e-mail</w:t>
      </w:r>
      <w:proofErr w:type="spellEnd"/>
      <w:r w:rsidRPr="000F4D01">
        <w:rPr>
          <w:lang w:val="de-DE"/>
        </w:rPr>
        <w:t xml:space="preserve"> : </w:t>
      </w:r>
      <w:r w:rsidR="000F4D01">
        <w:fldChar w:fldCharType="begin"/>
      </w:r>
      <w:r w:rsidR="000F4D01" w:rsidRPr="003406B3">
        <w:rPr>
          <w:lang w:val="de-DE"/>
        </w:rPr>
        <w:instrText>HYPERLINK "mailto:ngs@riziv-inami.fgov.be"</w:instrText>
      </w:r>
      <w:r w:rsidR="000F4D01">
        <w:fldChar w:fldCharType="separate"/>
      </w:r>
      <w:r w:rsidR="000F4D01" w:rsidRPr="000F4D01">
        <w:rPr>
          <w:rStyle w:val="Hyperlink"/>
          <w:lang w:val="de-DE"/>
        </w:rPr>
        <w:t>ngs@riziv-inami.fgov.be</w:t>
      </w:r>
      <w:r w:rsidR="000F4D01">
        <w:fldChar w:fldCharType="end"/>
      </w:r>
    </w:p>
    <w:p w14:paraId="629E2C56" w14:textId="77777777" w:rsidR="002B667A" w:rsidRDefault="002E0EA2" w:rsidP="00C359C5">
      <w:pPr>
        <w:pStyle w:val="ListParagraph"/>
        <w:numPr>
          <w:ilvl w:val="0"/>
          <w:numId w:val="2"/>
        </w:numPr>
        <w:ind w:left="1276" w:hanging="142"/>
        <w:jc w:val="both"/>
        <w:rPr>
          <w:lang w:val="fr-BE"/>
        </w:rPr>
      </w:pPr>
      <w:r w:rsidRPr="003C2478">
        <w:rPr>
          <w:lang w:val="de-DE"/>
        </w:rPr>
        <w:t xml:space="preserve"> </w:t>
      </w:r>
      <w:r w:rsidRPr="00654423">
        <w:rPr>
          <w:lang w:val="fr-BE"/>
        </w:rPr>
        <w:t xml:space="preserve">Suivi administratif : </w:t>
      </w:r>
    </w:p>
    <w:p w14:paraId="11CD6070" w14:textId="77777777" w:rsidR="00BA7A6A" w:rsidRDefault="00BA262C" w:rsidP="00C359C5">
      <w:pPr>
        <w:pStyle w:val="ListParagraph"/>
        <w:numPr>
          <w:ilvl w:val="2"/>
          <w:numId w:val="1"/>
        </w:numPr>
        <w:jc w:val="both"/>
        <w:rPr>
          <w:lang w:val="fr-BE"/>
        </w:rPr>
      </w:pPr>
      <w:r w:rsidRPr="00BA7A6A">
        <w:rPr>
          <w:lang w:val="fr-BE"/>
        </w:rPr>
        <w:t>Laurence Vandewalle</w:t>
      </w:r>
    </w:p>
    <w:p w14:paraId="4E972721" w14:textId="3B24E762" w:rsidR="002B667A" w:rsidRPr="00BA7A6A" w:rsidRDefault="002E0EA2" w:rsidP="00C359C5">
      <w:pPr>
        <w:pStyle w:val="ListParagraph"/>
        <w:numPr>
          <w:ilvl w:val="2"/>
          <w:numId w:val="1"/>
        </w:numPr>
        <w:jc w:val="both"/>
        <w:rPr>
          <w:lang w:val="de-DE"/>
        </w:rPr>
      </w:pPr>
      <w:r w:rsidRPr="00BA7A6A">
        <w:rPr>
          <w:lang w:val="de-DE"/>
        </w:rPr>
        <w:t xml:space="preserve">Adresse </w:t>
      </w:r>
      <w:proofErr w:type="spellStart"/>
      <w:r w:rsidR="003C2478" w:rsidRPr="00BA7A6A">
        <w:rPr>
          <w:lang w:val="de-DE"/>
        </w:rPr>
        <w:t>e-mail</w:t>
      </w:r>
      <w:proofErr w:type="spellEnd"/>
      <w:r w:rsidRPr="00BA7A6A">
        <w:rPr>
          <w:lang w:val="de-DE"/>
        </w:rPr>
        <w:t xml:space="preserve"> : </w:t>
      </w:r>
      <w:r w:rsidR="003C2478">
        <w:fldChar w:fldCharType="begin"/>
      </w:r>
      <w:r w:rsidR="003C2478" w:rsidRPr="003406B3">
        <w:rPr>
          <w:lang w:val="de-DE"/>
        </w:rPr>
        <w:instrText>HYPERLINK "mailto:ovcomeddir@riziv-inami.fgov.be"</w:instrText>
      </w:r>
      <w:r w:rsidR="003C2478">
        <w:fldChar w:fldCharType="separate"/>
      </w:r>
      <w:r w:rsidR="003C2478" w:rsidRPr="00BA7A6A">
        <w:rPr>
          <w:rStyle w:val="Hyperlink"/>
          <w:lang w:val="de-DE"/>
        </w:rPr>
        <w:t>ovcomeddir@riziv-inami.fgov.be</w:t>
      </w:r>
      <w:r w:rsidR="003C2478">
        <w:fldChar w:fldCharType="end"/>
      </w:r>
      <w:r w:rsidR="003C2478" w:rsidRPr="00BA7A6A">
        <w:rPr>
          <w:lang w:val="de-DE"/>
        </w:rPr>
        <w:t xml:space="preserve"> </w:t>
      </w:r>
      <w:r w:rsidRPr="00BA7A6A">
        <w:rPr>
          <w:lang w:val="de-DE"/>
        </w:rPr>
        <w:t xml:space="preserve"> </w:t>
      </w:r>
    </w:p>
    <w:p w14:paraId="17C4EAFE" w14:textId="3379D06B" w:rsidR="002B667A" w:rsidRPr="003C2478" w:rsidRDefault="003C2478" w:rsidP="00C359C5">
      <w:pPr>
        <w:jc w:val="both"/>
        <w:rPr>
          <w:rFonts w:cstheme="minorHAnsi"/>
          <w:color w:val="000000" w:themeColor="text1"/>
        </w:rPr>
      </w:pPr>
      <w:r w:rsidRPr="00F41046">
        <w:rPr>
          <w:rFonts w:cstheme="minorHAnsi"/>
          <w:color w:val="000000" w:themeColor="text1"/>
          <w:sz w:val="24"/>
          <w:szCs w:val="24"/>
          <w:lang w:val="fr-BE"/>
        </w:rPr>
        <w:t xml:space="preserve">Dénommé ci-après </w:t>
      </w:r>
      <w:r w:rsidRPr="00F41046">
        <w:rPr>
          <w:rFonts w:cstheme="minorHAnsi"/>
          <w:b/>
          <w:color w:val="000000" w:themeColor="text1"/>
          <w:sz w:val="24"/>
          <w:szCs w:val="24"/>
          <w:lang w:val="fr-BE"/>
        </w:rPr>
        <w:t xml:space="preserve">deuxième partie </w:t>
      </w:r>
      <w:r w:rsidRPr="00F41046">
        <w:rPr>
          <w:rFonts w:cstheme="minorHAnsi"/>
          <w:color w:val="000000" w:themeColor="text1"/>
          <w:sz w:val="24"/>
          <w:szCs w:val="24"/>
          <w:lang w:val="fr-BE"/>
        </w:rPr>
        <w:t>ou</w:t>
      </w:r>
      <w:r w:rsidRPr="00F41046">
        <w:rPr>
          <w:rFonts w:cstheme="minorHAnsi"/>
          <w:b/>
          <w:color w:val="000000" w:themeColor="text1"/>
          <w:sz w:val="24"/>
          <w:szCs w:val="24"/>
          <w:lang w:val="fr-BE"/>
        </w:rPr>
        <w:t xml:space="preserve"> INAMI</w:t>
      </w:r>
      <w:r w:rsidR="00903DE7" w:rsidRPr="003C2478">
        <w:rPr>
          <w:rFonts w:cstheme="minorHAnsi"/>
          <w:color w:val="000000" w:themeColor="text1"/>
        </w:rPr>
        <w:t>.</w:t>
      </w:r>
    </w:p>
    <w:p w14:paraId="107D0664" w14:textId="6F9A2BF6" w:rsidR="00654423" w:rsidRPr="003C2478" w:rsidRDefault="00654423" w:rsidP="006953A0">
      <w:pPr>
        <w:jc w:val="both"/>
      </w:pPr>
    </w:p>
    <w:p w14:paraId="08956E30" w14:textId="67B0D79D" w:rsidR="00654423" w:rsidRPr="003C2478" w:rsidRDefault="00654423" w:rsidP="006953A0">
      <w:pPr>
        <w:jc w:val="both"/>
      </w:pPr>
    </w:p>
    <w:p w14:paraId="1436408A" w14:textId="77777777" w:rsidR="00654423" w:rsidRPr="003C2478" w:rsidRDefault="00654423" w:rsidP="006953A0">
      <w:pPr>
        <w:jc w:val="both"/>
        <w:rPr>
          <w:rFonts w:ascii="Arial" w:eastAsia="Times New Roman" w:hAnsi="Arial" w:cs="Times New Roman"/>
          <w:b/>
          <w:snapToGrid w:val="0"/>
          <w:color w:val="000000" w:themeColor="text1"/>
          <w:sz w:val="28"/>
          <w:szCs w:val="28"/>
          <w:u w:val="single"/>
        </w:rPr>
      </w:pPr>
      <w:r w:rsidRPr="003C2478">
        <w:rPr>
          <w:color w:val="000000" w:themeColor="text1"/>
          <w:sz w:val="28"/>
          <w:szCs w:val="28"/>
        </w:rPr>
        <w:br w:type="page"/>
      </w:r>
    </w:p>
    <w:p w14:paraId="7877C91E" w14:textId="77777777" w:rsidR="002B667A" w:rsidRPr="003C2478" w:rsidRDefault="002E0EA2" w:rsidP="006953A0">
      <w:pPr>
        <w:jc w:val="both"/>
        <w:rPr>
          <w:b/>
          <w:bCs/>
          <w:sz w:val="24"/>
          <w:szCs w:val="24"/>
          <w:u w:val="single"/>
        </w:rPr>
      </w:pPr>
      <w:r w:rsidRPr="003C2478">
        <w:rPr>
          <w:b/>
          <w:bCs/>
          <w:sz w:val="24"/>
          <w:szCs w:val="24"/>
          <w:u w:val="single"/>
        </w:rPr>
        <w:lastRenderedPageBreak/>
        <w:t>Objet de la convention</w:t>
      </w:r>
    </w:p>
    <w:p w14:paraId="266B829B" w14:textId="265CABF7" w:rsidR="002B667A" w:rsidRPr="003C2478" w:rsidRDefault="002E0EA2" w:rsidP="00C359C5">
      <w:pPr>
        <w:jc w:val="both"/>
      </w:pPr>
      <w:r w:rsidRPr="003C2478">
        <w:t xml:space="preserve">Le </w:t>
      </w:r>
      <w:r w:rsidR="0059708A">
        <w:t>« </w:t>
      </w:r>
      <w:r w:rsidR="0059708A">
        <w:rPr>
          <w:i/>
          <w:iCs/>
        </w:rPr>
        <w:t>Next</w:t>
      </w:r>
      <w:r w:rsidR="003C2478">
        <w:rPr>
          <w:i/>
          <w:iCs/>
        </w:rPr>
        <w:t xml:space="preserve"> </w:t>
      </w:r>
      <w:proofErr w:type="spellStart"/>
      <w:r w:rsidR="003C2478">
        <w:rPr>
          <w:i/>
          <w:iCs/>
        </w:rPr>
        <w:t>generation</w:t>
      </w:r>
      <w:proofErr w:type="spellEnd"/>
      <w:r w:rsidR="003C2478">
        <w:rPr>
          <w:i/>
          <w:iCs/>
        </w:rPr>
        <w:t xml:space="preserve"> </w:t>
      </w:r>
      <w:proofErr w:type="spellStart"/>
      <w:r w:rsidR="003C2478">
        <w:rPr>
          <w:i/>
          <w:iCs/>
        </w:rPr>
        <w:t>sequencing</w:t>
      </w:r>
      <w:proofErr w:type="spellEnd"/>
      <w:r w:rsidR="0059708A">
        <w:t> »</w:t>
      </w:r>
      <w:r w:rsidRPr="003C2478">
        <w:t xml:space="preserve"> (NGS) est une </w:t>
      </w:r>
      <w:r w:rsidR="0023525C" w:rsidRPr="003C2478">
        <w:t xml:space="preserve">technologie de séquençage massivement parallèle </w:t>
      </w:r>
      <w:r w:rsidR="007D4ED1" w:rsidRPr="003C2478">
        <w:t xml:space="preserve">dans laquelle les séquences d'ADN ou d'ARN de plusieurs </w:t>
      </w:r>
      <w:r w:rsidR="002C6F49" w:rsidRPr="003C2478">
        <w:t xml:space="preserve">gènes, fragments de gènes (exons, par exemple) ou ARN </w:t>
      </w:r>
      <w:r w:rsidR="007D4ED1" w:rsidRPr="003C2478">
        <w:t xml:space="preserve">sont déterminées en </w:t>
      </w:r>
      <w:r w:rsidR="00735619">
        <w:t>une seule analyse</w:t>
      </w:r>
      <w:r w:rsidR="007D4ED1" w:rsidRPr="003C2478">
        <w:t xml:space="preserve">. </w:t>
      </w:r>
    </w:p>
    <w:p w14:paraId="057E2DC8" w14:textId="6ADFF3AE" w:rsidR="002B667A" w:rsidRPr="001310BC" w:rsidRDefault="002E0EA2" w:rsidP="00C359C5">
      <w:pPr>
        <w:jc w:val="both"/>
      </w:pPr>
      <w:r w:rsidRPr="003C2478">
        <w:t xml:space="preserve">Dans le contexte du </w:t>
      </w:r>
      <w:r w:rsidR="0074644A" w:rsidRPr="003C2478">
        <w:t xml:space="preserve">diagnostic moléculaire </w:t>
      </w:r>
      <w:r w:rsidRPr="003C2478">
        <w:t>en oncologie</w:t>
      </w:r>
      <w:r w:rsidR="0059708A">
        <w:t xml:space="preserve"> sous cette convention</w:t>
      </w:r>
      <w:r w:rsidRPr="003C2478">
        <w:t xml:space="preserve">, il s'agit de </w:t>
      </w:r>
      <w:r w:rsidR="0074644A" w:rsidRPr="003C2478">
        <w:t xml:space="preserve">déterminer les anomalies moléculaires somatiques dans plusieurs biomarqueurs. </w:t>
      </w:r>
      <w:r w:rsidRPr="003C2478">
        <w:t>Cela peut se faire soit par la détermination des séquences d'ADN</w:t>
      </w:r>
      <w:r w:rsidR="0059708A">
        <w:t xml:space="preserve"> et</w:t>
      </w:r>
      <w:r w:rsidR="00260437">
        <w:t xml:space="preserve"> </w:t>
      </w:r>
      <w:r w:rsidR="00260437" w:rsidRPr="003C2478">
        <w:t xml:space="preserve">des amplifications de gènes </w:t>
      </w:r>
      <w:r w:rsidR="002C6F49" w:rsidRPr="003C2478">
        <w:t xml:space="preserve">(NGS </w:t>
      </w:r>
      <w:r w:rsidR="0059708A">
        <w:t>« </w:t>
      </w:r>
      <w:r w:rsidR="002C6F49" w:rsidRPr="003C2478">
        <w:t>classique</w:t>
      </w:r>
      <w:r w:rsidR="0059708A">
        <w:t> »</w:t>
      </w:r>
      <w:r w:rsidR="002C6F49" w:rsidRPr="003C2478">
        <w:t>), soit par la détermination des fusions de gènes</w:t>
      </w:r>
      <w:r w:rsidR="000C1305" w:rsidRPr="003C2478">
        <w:t xml:space="preserve">, ou des niveaux d'expression des gènes </w:t>
      </w:r>
      <w:r w:rsidR="004316F0" w:rsidRPr="003C2478">
        <w:t xml:space="preserve">sur la base des séquences d'ARN </w:t>
      </w:r>
      <w:r w:rsidR="002C6F49" w:rsidRPr="003C2478">
        <w:t xml:space="preserve">(NGS </w:t>
      </w:r>
      <w:r w:rsidR="0059708A">
        <w:t>« </w:t>
      </w:r>
      <w:r w:rsidR="002C6F49" w:rsidRPr="003C2478">
        <w:t>RNA-</w:t>
      </w:r>
      <w:proofErr w:type="spellStart"/>
      <w:r w:rsidR="002C6F49" w:rsidRPr="003C2478">
        <w:t>seq</w:t>
      </w:r>
      <w:proofErr w:type="spellEnd"/>
      <w:r w:rsidR="0059708A">
        <w:t> »</w:t>
      </w:r>
      <w:r w:rsidR="002C6F49" w:rsidRPr="003C2478">
        <w:t>).</w:t>
      </w:r>
      <w:r w:rsidR="00BD5638">
        <w:t xml:space="preserve"> </w:t>
      </w:r>
      <w:r w:rsidR="00BA262C" w:rsidRPr="00BA7A6A">
        <w:t>Une autre analyse qui utilise la technique NGS est le CGP (</w:t>
      </w:r>
      <w:proofErr w:type="spellStart"/>
      <w:r w:rsidR="00BA262C" w:rsidRPr="00BA7A6A">
        <w:t>Comprehensive</w:t>
      </w:r>
      <w:proofErr w:type="spellEnd"/>
      <w:r w:rsidR="00BA262C" w:rsidRPr="00BA7A6A">
        <w:t xml:space="preserve"> </w:t>
      </w:r>
      <w:proofErr w:type="spellStart"/>
      <w:r w:rsidR="00BA262C" w:rsidRPr="00BA7A6A">
        <w:t>Genomic</w:t>
      </w:r>
      <w:proofErr w:type="spellEnd"/>
      <w:r w:rsidR="00BA262C" w:rsidRPr="00BA7A6A">
        <w:t xml:space="preserve"> Profiling), qui est une analyse complète du génome.</w:t>
      </w:r>
    </w:p>
    <w:p w14:paraId="1F757B32" w14:textId="5AECCDB1" w:rsidR="00493126" w:rsidRPr="00AE6347" w:rsidRDefault="00493126" w:rsidP="00FF5BA2">
      <w:pPr>
        <w:jc w:val="both"/>
        <w:rPr>
          <w:lang w:val="fr-BE"/>
        </w:rPr>
      </w:pPr>
      <w:r w:rsidRPr="00AE6347">
        <w:rPr>
          <w:lang w:val="fr-BE"/>
        </w:rPr>
        <w:t xml:space="preserve">On entend par « </w:t>
      </w:r>
      <w:r w:rsidR="00FA5F6C">
        <w:rPr>
          <w:lang w:val="fr-BE"/>
        </w:rPr>
        <w:t>tests de séquençage de nouvelle génération</w:t>
      </w:r>
      <w:r w:rsidRPr="00AE6347">
        <w:rPr>
          <w:lang w:val="fr-BE"/>
        </w:rPr>
        <w:t xml:space="preserve"> » (</w:t>
      </w:r>
      <w:r w:rsidR="00FA5F6C">
        <w:rPr>
          <w:lang w:val="fr-BE"/>
        </w:rPr>
        <w:t>NGS</w:t>
      </w:r>
      <w:r w:rsidRPr="00AE6347">
        <w:rPr>
          <w:lang w:val="fr-BE"/>
        </w:rPr>
        <w:t xml:space="preserve">), l’ensemble des procédures de laboratoires réalisés sur un échantillon de tissu tumoral </w:t>
      </w:r>
      <w:r w:rsidR="00006A6A">
        <w:rPr>
          <w:lang w:val="fr-BE"/>
        </w:rPr>
        <w:t xml:space="preserve">ou cytologique pour les tumeurs solides ou de la moelle osseuse ou le sang pour les affections hématologiques </w:t>
      </w:r>
      <w:r w:rsidRPr="00AE6347">
        <w:rPr>
          <w:lang w:val="fr-BE"/>
        </w:rPr>
        <w:t xml:space="preserve">nécessaires à l’établissement d’un complément au diagnostic anatomopathologique, basé sur l’étude de variants pathogènes de molécules, selon les </w:t>
      </w:r>
      <w:r>
        <w:rPr>
          <w:lang w:val="fr-BE"/>
        </w:rPr>
        <w:t>indications en annexe.</w:t>
      </w:r>
      <w:r w:rsidRPr="00AE6347">
        <w:rPr>
          <w:lang w:val="fr-BE"/>
        </w:rPr>
        <w:t xml:space="preserve"> </w:t>
      </w:r>
    </w:p>
    <w:p w14:paraId="10FA6324" w14:textId="19928AE8" w:rsidR="004413BE" w:rsidRDefault="004413BE" w:rsidP="00FF5BA2">
      <w:pPr>
        <w:jc w:val="both"/>
      </w:pPr>
      <w:r>
        <w:t>Ces molécules incluent :</w:t>
      </w:r>
      <w:r w:rsidR="00493126">
        <w:t xml:space="preserve"> </w:t>
      </w:r>
    </w:p>
    <w:p w14:paraId="70BA1BEA" w14:textId="77777777" w:rsidR="004413BE" w:rsidRPr="00AE6347" w:rsidRDefault="004413BE" w:rsidP="00407B8C">
      <w:pPr>
        <w:pStyle w:val="ListParagraph"/>
        <w:numPr>
          <w:ilvl w:val="0"/>
          <w:numId w:val="8"/>
        </w:numPr>
        <w:ind w:left="426"/>
        <w:jc w:val="both"/>
        <w:rPr>
          <w:lang w:val="fr-BE"/>
        </w:rPr>
      </w:pPr>
      <w:r w:rsidRPr="00C85C0A">
        <w:rPr>
          <w:lang w:val="fr-FR"/>
        </w:rPr>
        <w:t>L’Acide</w:t>
      </w:r>
      <w:r w:rsidRPr="00AE6347">
        <w:rPr>
          <w:lang w:val="fr-BE"/>
        </w:rPr>
        <w:t xml:space="preserve"> </w:t>
      </w:r>
      <w:proofErr w:type="spellStart"/>
      <w:r w:rsidRPr="00AE6347">
        <w:rPr>
          <w:lang w:val="fr-BE"/>
        </w:rPr>
        <w:t>DésoxyriboNucléique</w:t>
      </w:r>
      <w:proofErr w:type="spellEnd"/>
      <w:r w:rsidRPr="00AE6347">
        <w:rPr>
          <w:lang w:val="fr-BE"/>
        </w:rPr>
        <w:t xml:space="preserve"> (ADN), en ce compris exclusivement :</w:t>
      </w:r>
    </w:p>
    <w:p w14:paraId="2ECDD6EC" w14:textId="77777777" w:rsidR="004413BE" w:rsidRPr="00C85C0A" w:rsidRDefault="004413BE" w:rsidP="00407B8C">
      <w:pPr>
        <w:pStyle w:val="ListParagraph"/>
        <w:numPr>
          <w:ilvl w:val="0"/>
          <w:numId w:val="8"/>
        </w:numPr>
        <w:jc w:val="both"/>
        <w:rPr>
          <w:lang w:val="fr-FR"/>
        </w:rPr>
      </w:pPr>
      <w:r w:rsidRPr="00C85C0A">
        <w:rPr>
          <w:lang w:val="fr-FR"/>
        </w:rPr>
        <w:t xml:space="preserve">Variants exoniques ou à proximités de la séquence codante, soit exclusivement au niveau du promoteur, des régions 5’/3’-UTR et des jonctions introns-exons, impliquant un ou plusieurs nucléotides. </w:t>
      </w:r>
    </w:p>
    <w:p w14:paraId="29BAD967" w14:textId="15EBD324" w:rsidR="004413BE" w:rsidRPr="00C85C0A" w:rsidRDefault="004413BE" w:rsidP="00407B8C">
      <w:pPr>
        <w:pStyle w:val="ListParagraph"/>
        <w:numPr>
          <w:ilvl w:val="0"/>
          <w:numId w:val="8"/>
        </w:numPr>
        <w:jc w:val="both"/>
        <w:rPr>
          <w:lang w:val="fr-FR"/>
        </w:rPr>
      </w:pPr>
      <w:r w:rsidRPr="00C85C0A">
        <w:rPr>
          <w:lang w:val="fr-FR"/>
        </w:rPr>
        <w:t>Modifications post-</w:t>
      </w:r>
      <w:proofErr w:type="spellStart"/>
      <w:r w:rsidRPr="00C85C0A">
        <w:rPr>
          <w:lang w:val="fr-FR"/>
        </w:rPr>
        <w:t>réplicationelles</w:t>
      </w:r>
      <w:proofErr w:type="spellEnd"/>
      <w:r w:rsidRPr="00C85C0A">
        <w:rPr>
          <w:lang w:val="fr-FR"/>
        </w:rPr>
        <w:t>, soit exclusivement les profils de méthylations</w:t>
      </w:r>
      <w:r w:rsidR="0059708A">
        <w:rPr>
          <w:lang w:val="fr-FR"/>
        </w:rPr>
        <w:t>.</w:t>
      </w:r>
    </w:p>
    <w:p w14:paraId="00330AB4" w14:textId="77777777" w:rsidR="004413BE" w:rsidRPr="00AE6347" w:rsidRDefault="004413BE" w:rsidP="00407B8C">
      <w:pPr>
        <w:pStyle w:val="ListParagraph"/>
        <w:numPr>
          <w:ilvl w:val="0"/>
          <w:numId w:val="8"/>
        </w:numPr>
        <w:jc w:val="both"/>
        <w:rPr>
          <w:lang w:val="fr-BE"/>
        </w:rPr>
      </w:pPr>
      <w:r w:rsidRPr="00C85C0A">
        <w:rPr>
          <w:lang w:val="fr-FR"/>
        </w:rPr>
        <w:t>Variants</w:t>
      </w:r>
      <w:r w:rsidRPr="00AE6347">
        <w:rPr>
          <w:lang w:val="fr-BE"/>
        </w:rPr>
        <w:t xml:space="preserve"> impliquant une région dont la taille est supérieure au gène soient les variants du nombre de copie (CNV), les pertes d’hétérozygotie (LOH), les transitions à large échelle (LST), les déséquilibres alléliques des télomères (TAI) et l’étude de la taille des télomères. Les études de déficit de recombinaison homologue (HRD) et le calcul d’un score d’instabilité génomique qui en dépend sont inclus </w:t>
      </w:r>
    </w:p>
    <w:p w14:paraId="412E5D67" w14:textId="77777777" w:rsidR="004413BE" w:rsidRPr="00AE6347" w:rsidRDefault="004413BE" w:rsidP="00407B8C">
      <w:pPr>
        <w:pStyle w:val="ListParagraph"/>
        <w:numPr>
          <w:ilvl w:val="0"/>
          <w:numId w:val="8"/>
        </w:numPr>
        <w:ind w:left="426"/>
        <w:jc w:val="both"/>
        <w:rPr>
          <w:lang w:val="fr-BE"/>
        </w:rPr>
      </w:pPr>
      <w:r w:rsidRPr="00C85C0A">
        <w:rPr>
          <w:lang w:val="fr-FR"/>
        </w:rPr>
        <w:t>L’Acide</w:t>
      </w:r>
      <w:r w:rsidRPr="00AE6347">
        <w:rPr>
          <w:lang w:val="fr-BE"/>
        </w:rPr>
        <w:t xml:space="preserve"> </w:t>
      </w:r>
      <w:proofErr w:type="spellStart"/>
      <w:r w:rsidRPr="00AE6347">
        <w:rPr>
          <w:lang w:val="fr-BE"/>
        </w:rPr>
        <w:t>RiboNucléique</w:t>
      </w:r>
      <w:proofErr w:type="spellEnd"/>
      <w:r w:rsidRPr="00AE6347">
        <w:rPr>
          <w:lang w:val="fr-BE"/>
        </w:rPr>
        <w:t xml:space="preserve"> (ARN), en ce compris exclusivement</w:t>
      </w:r>
    </w:p>
    <w:p w14:paraId="22F63FE8" w14:textId="77777777" w:rsidR="00D80436" w:rsidRPr="00C85C0A" w:rsidRDefault="00D80436" w:rsidP="00407B8C">
      <w:pPr>
        <w:pStyle w:val="ListParagraph"/>
        <w:numPr>
          <w:ilvl w:val="0"/>
          <w:numId w:val="8"/>
        </w:numPr>
        <w:jc w:val="both"/>
        <w:rPr>
          <w:lang w:val="fr-BE"/>
        </w:rPr>
      </w:pPr>
      <w:proofErr w:type="spellStart"/>
      <w:r>
        <w:t>Fusions</w:t>
      </w:r>
      <w:proofErr w:type="spellEnd"/>
      <w:r>
        <w:t xml:space="preserve"> </w:t>
      </w:r>
      <w:r w:rsidRPr="00C85C0A">
        <w:rPr>
          <w:lang w:val="fr-BE"/>
        </w:rPr>
        <w:t>de gènes</w:t>
      </w:r>
    </w:p>
    <w:p w14:paraId="2AC2133C" w14:textId="77777777" w:rsidR="004413BE" w:rsidRPr="00AE6347" w:rsidRDefault="004413BE" w:rsidP="00407B8C">
      <w:pPr>
        <w:pStyle w:val="ListParagraph"/>
        <w:numPr>
          <w:ilvl w:val="0"/>
          <w:numId w:val="8"/>
        </w:numPr>
        <w:jc w:val="both"/>
        <w:rPr>
          <w:lang w:val="fr-BE"/>
        </w:rPr>
      </w:pPr>
      <w:r w:rsidRPr="00AE6347">
        <w:rPr>
          <w:lang w:val="fr-BE"/>
        </w:rPr>
        <w:t>Variants de séquence impliquant un ou plusieurs nucléotides</w:t>
      </w:r>
    </w:p>
    <w:p w14:paraId="7268AC5A" w14:textId="724FA4DE" w:rsidR="004413BE" w:rsidRPr="00AE6347" w:rsidRDefault="004413BE" w:rsidP="00407B8C">
      <w:pPr>
        <w:pStyle w:val="ListParagraph"/>
        <w:numPr>
          <w:ilvl w:val="0"/>
          <w:numId w:val="8"/>
        </w:numPr>
        <w:jc w:val="both"/>
        <w:rPr>
          <w:lang w:val="fr-BE"/>
        </w:rPr>
      </w:pPr>
      <w:r w:rsidRPr="00AE6347">
        <w:rPr>
          <w:lang w:val="fr-BE"/>
        </w:rPr>
        <w:t xml:space="preserve">Variants </w:t>
      </w:r>
      <w:r w:rsidR="00D95418" w:rsidRPr="00AE6347">
        <w:rPr>
          <w:lang w:val="fr-BE"/>
        </w:rPr>
        <w:t>du nombre de copies</w:t>
      </w:r>
      <w:r w:rsidR="00FA5F6C" w:rsidRPr="00AE6347">
        <w:rPr>
          <w:lang w:val="fr-BE"/>
        </w:rPr>
        <w:t xml:space="preserve"> </w:t>
      </w:r>
      <w:r w:rsidRPr="00AE6347">
        <w:rPr>
          <w:lang w:val="fr-BE"/>
        </w:rPr>
        <w:t>et</w:t>
      </w:r>
      <w:r w:rsidR="00FA5F6C" w:rsidRPr="00FA5F6C">
        <w:rPr>
          <w:lang w:val="fr-BE"/>
        </w:rPr>
        <w:t xml:space="preserve"> </w:t>
      </w:r>
      <w:r w:rsidR="00D95418" w:rsidRPr="00AE6347">
        <w:rPr>
          <w:lang w:val="fr-BE"/>
        </w:rPr>
        <w:t>d’expression</w:t>
      </w:r>
    </w:p>
    <w:p w14:paraId="0964BC5D" w14:textId="78296AA0" w:rsidR="00D80436" w:rsidRPr="00AE6347" w:rsidRDefault="00D80436" w:rsidP="00FF5BA2">
      <w:pPr>
        <w:jc w:val="both"/>
        <w:rPr>
          <w:lang w:val="fr-BE"/>
        </w:rPr>
      </w:pPr>
      <w:r w:rsidRPr="00AE6347">
        <w:rPr>
          <w:lang w:val="fr-BE"/>
        </w:rPr>
        <w:t>Ne sont pas repris dans le champ de la présente convention, et ce non-exclusivement :</w:t>
      </w:r>
    </w:p>
    <w:p w14:paraId="673D6872" w14:textId="712921DC" w:rsidR="00D836EF" w:rsidRPr="00D836EF" w:rsidRDefault="00D836EF" w:rsidP="00407B8C">
      <w:pPr>
        <w:pStyle w:val="ListParagraph"/>
        <w:numPr>
          <w:ilvl w:val="0"/>
          <w:numId w:val="7"/>
        </w:numPr>
        <w:spacing w:after="160" w:line="259" w:lineRule="auto"/>
        <w:jc w:val="both"/>
        <w:rPr>
          <w:lang w:val="fr-BE"/>
        </w:rPr>
      </w:pPr>
      <w:r w:rsidRPr="00D836EF">
        <w:rPr>
          <w:lang w:val="fr-FR"/>
        </w:rPr>
        <w:t>Les études cytogénétiques</w:t>
      </w:r>
      <w:r>
        <w:rPr>
          <w:lang w:val="fr-FR"/>
        </w:rPr>
        <w:t xml:space="preserve"> </w:t>
      </w:r>
      <w:r w:rsidRPr="00D836EF">
        <w:rPr>
          <w:lang w:val="fr-FR"/>
        </w:rPr>
        <w:t xml:space="preserve">(telles que </w:t>
      </w:r>
      <w:r>
        <w:rPr>
          <w:lang w:val="fr-FR"/>
        </w:rPr>
        <w:t xml:space="preserve">non-exclusivement </w:t>
      </w:r>
      <w:r w:rsidRPr="00D836EF">
        <w:rPr>
          <w:lang w:val="fr-FR"/>
        </w:rPr>
        <w:t>le</w:t>
      </w:r>
      <w:r>
        <w:rPr>
          <w:lang w:val="fr-FR"/>
        </w:rPr>
        <w:t>s</w:t>
      </w:r>
      <w:r w:rsidRPr="00D836EF">
        <w:rPr>
          <w:lang w:val="fr-FR"/>
        </w:rPr>
        <w:t xml:space="preserve"> caryotyp</w:t>
      </w:r>
      <w:r>
        <w:rPr>
          <w:lang w:val="fr-FR"/>
        </w:rPr>
        <w:t>es</w:t>
      </w:r>
      <w:r w:rsidRPr="00D836EF">
        <w:rPr>
          <w:lang w:val="fr-FR"/>
        </w:rPr>
        <w:t xml:space="preserve">, les </w:t>
      </w:r>
      <w:proofErr w:type="spellStart"/>
      <w:r w:rsidRPr="00D836EF">
        <w:rPr>
          <w:lang w:val="fr-FR"/>
        </w:rPr>
        <w:t>microarrays</w:t>
      </w:r>
      <w:proofErr w:type="spellEnd"/>
      <w:r w:rsidRPr="00D836EF">
        <w:rPr>
          <w:lang w:val="fr-FR"/>
        </w:rPr>
        <w:t xml:space="preserve"> (sauf ceux réalisés dans le cadre d'un test HRD), l'hybridation génomique compar</w:t>
      </w:r>
      <w:r>
        <w:rPr>
          <w:lang w:val="fr-FR"/>
        </w:rPr>
        <w:t>ative (CGH)</w:t>
      </w:r>
      <w:r w:rsidRPr="00D836EF">
        <w:rPr>
          <w:lang w:val="fr-FR"/>
        </w:rPr>
        <w:t xml:space="preserve"> ou </w:t>
      </w:r>
      <w:r w:rsidR="00DA757E">
        <w:rPr>
          <w:lang w:val="fr-FR"/>
        </w:rPr>
        <w:t>« </w:t>
      </w:r>
      <w:r w:rsidR="0059708A">
        <w:rPr>
          <w:lang w:val="fr-FR"/>
        </w:rPr>
        <w:t>Optical</w:t>
      </w:r>
      <w:r w:rsidR="00DA757E">
        <w:rPr>
          <w:lang w:val="fr-FR"/>
        </w:rPr>
        <w:t xml:space="preserve"> </w:t>
      </w:r>
      <w:proofErr w:type="spellStart"/>
      <w:r w:rsidR="00DA757E">
        <w:rPr>
          <w:lang w:val="fr-FR"/>
        </w:rPr>
        <w:t>genome</w:t>
      </w:r>
      <w:proofErr w:type="spellEnd"/>
      <w:r w:rsidR="00DA757E">
        <w:rPr>
          <w:lang w:val="fr-FR"/>
        </w:rPr>
        <w:t xml:space="preserve"> mapping »</w:t>
      </w:r>
      <w:r w:rsidRPr="00D836EF">
        <w:rPr>
          <w:lang w:val="fr-FR"/>
        </w:rPr>
        <w:t xml:space="preserve"> (</w:t>
      </w:r>
      <w:r w:rsidR="00EA51ED" w:rsidRPr="00EA51ED">
        <w:rPr>
          <w:lang w:val="fr-FR"/>
        </w:rPr>
        <w:t xml:space="preserve">à l'exception des indications pour lesquelles il figure à l'annexe 2 en tant qu'alternative </w:t>
      </w:r>
      <w:r w:rsidRPr="00D836EF">
        <w:rPr>
          <w:lang w:val="fr-FR"/>
        </w:rPr>
        <w:t xml:space="preserve">au </w:t>
      </w:r>
      <w:proofErr w:type="spellStart"/>
      <w:r w:rsidRPr="00D836EF">
        <w:rPr>
          <w:lang w:val="fr-FR"/>
        </w:rPr>
        <w:t>RNAseq</w:t>
      </w:r>
      <w:proofErr w:type="spellEnd"/>
      <w:r w:rsidRPr="00D836EF">
        <w:rPr>
          <w:lang w:val="fr-FR"/>
        </w:rPr>
        <w:t>)</w:t>
      </w:r>
    </w:p>
    <w:p w14:paraId="0F06CF23" w14:textId="3114EC33" w:rsidR="00D80436" w:rsidRPr="00AE6347" w:rsidRDefault="00D80436" w:rsidP="00407B8C">
      <w:pPr>
        <w:pStyle w:val="ListParagraph"/>
        <w:numPr>
          <w:ilvl w:val="0"/>
          <w:numId w:val="7"/>
        </w:numPr>
        <w:spacing w:after="160" w:line="259" w:lineRule="auto"/>
        <w:jc w:val="both"/>
        <w:rPr>
          <w:lang w:val="fr-BE"/>
        </w:rPr>
      </w:pPr>
      <w:r w:rsidRPr="00AE6347">
        <w:rPr>
          <w:lang w:val="fr-BE"/>
        </w:rPr>
        <w:t>Les études de tout type sur des molécules autres que celles définies plus haut, soient de manière non-exclusive, certains ensembles de protéines (protéome), les lipides, les sucres, les métabolites (m</w:t>
      </w:r>
      <w:r w:rsidR="00FA5F6C">
        <w:rPr>
          <w:lang w:val="fr-BE"/>
        </w:rPr>
        <w:t>é</w:t>
      </w:r>
      <w:r w:rsidRPr="00AE6347">
        <w:rPr>
          <w:lang w:val="fr-BE"/>
        </w:rPr>
        <w:t>tabolome)</w:t>
      </w:r>
    </w:p>
    <w:p w14:paraId="0C71E190" w14:textId="42961A61" w:rsidR="002B667A" w:rsidRPr="003C2478" w:rsidRDefault="002E0EA2" w:rsidP="00C359C5">
      <w:pPr>
        <w:jc w:val="both"/>
      </w:pPr>
      <w:r w:rsidRPr="003C2478">
        <w:lastRenderedPageBreak/>
        <w:t xml:space="preserve">Un projet pilote de financement des tests NGS dans le cadre de l'(hémato-)oncologie a été lancé en juillet 2019 sous la forme d'une convention au titre de l'article 56 de la </w:t>
      </w:r>
      <w:r w:rsidRPr="003C2478">
        <w:rPr>
          <w:i/>
          <w:iCs/>
        </w:rPr>
        <w:t xml:space="preserve">loi du 14 juillet 1994 </w:t>
      </w:r>
      <w:r w:rsidR="000E4CBD" w:rsidRPr="000E4CBD">
        <w:rPr>
          <w:i/>
          <w:iCs/>
        </w:rPr>
        <w:t>relative à l'assurance obligatoire soins de santé et indemnités</w:t>
      </w:r>
      <w:r w:rsidRPr="003C2478">
        <w:t xml:space="preserve">, entre l'INAMI et </w:t>
      </w:r>
      <w:r w:rsidR="005038EE" w:rsidRPr="003C2478">
        <w:t xml:space="preserve">les </w:t>
      </w:r>
      <w:r w:rsidRPr="003C2478">
        <w:t>réseaux NGS, pour une durée de trois ans. Cette convention a été renouvelée deux fois sans changement pour une année. Au cours de cette convention, les annexes déterminant les indications (hémato-) oncologiques admises au remboursement ont été modifiées à trois reprises, le 1er janvier 2021, le 1er janvier 2022 et le 1er juillet 2023.</w:t>
      </w:r>
    </w:p>
    <w:p w14:paraId="07E71700" w14:textId="1B33533E" w:rsidR="002B667A" w:rsidRPr="003C2478" w:rsidRDefault="002E0EA2" w:rsidP="00C359C5">
      <w:pPr>
        <w:jc w:val="both"/>
      </w:pPr>
      <w:r w:rsidRPr="003C2478">
        <w:t xml:space="preserve">Après évaluation du projet pilote, une convention </w:t>
      </w:r>
      <w:r w:rsidR="00C85C0A">
        <w:t xml:space="preserve">est maintenant conclue </w:t>
      </w:r>
      <w:r w:rsidRPr="003C2478">
        <w:t xml:space="preserve">au titre de l'article 22 6°bis de la loi du 14 juillet 1994, visant à pérenniser </w:t>
      </w:r>
      <w:r w:rsidR="00C85C0A">
        <w:t>le remboursement</w:t>
      </w:r>
      <w:r w:rsidR="00C85C0A" w:rsidRPr="003C2478">
        <w:t xml:space="preserve"> </w:t>
      </w:r>
      <w:r w:rsidRPr="003C2478">
        <w:t>des tests NGS.</w:t>
      </w:r>
    </w:p>
    <w:p w14:paraId="733DEACA" w14:textId="77777777" w:rsidR="00E801C7" w:rsidRPr="003C2478" w:rsidRDefault="00E801C7" w:rsidP="00DA757E">
      <w:pPr>
        <w:jc w:val="both"/>
      </w:pPr>
    </w:p>
    <w:p w14:paraId="0C0317AC" w14:textId="77777777" w:rsidR="00E801C7" w:rsidRPr="003C2478" w:rsidRDefault="00E801C7" w:rsidP="00DA757E">
      <w:pPr>
        <w:jc w:val="both"/>
      </w:pPr>
    </w:p>
    <w:p w14:paraId="476A0BA1" w14:textId="77777777" w:rsidR="002B667A" w:rsidRPr="003C2478" w:rsidRDefault="002E0EA2" w:rsidP="00DA757E">
      <w:pPr>
        <w:jc w:val="both"/>
        <w:rPr>
          <w:b/>
          <w:bCs/>
          <w:sz w:val="24"/>
          <w:szCs w:val="24"/>
          <w:u w:val="single"/>
        </w:rPr>
      </w:pPr>
      <w:r w:rsidRPr="003C2478">
        <w:rPr>
          <w:b/>
          <w:bCs/>
          <w:sz w:val="24"/>
          <w:szCs w:val="24"/>
          <w:u w:val="single"/>
        </w:rPr>
        <w:t>Les parties conviennent de ce qui suit :</w:t>
      </w:r>
    </w:p>
    <w:p w14:paraId="6364CADD" w14:textId="77777777" w:rsidR="00342074" w:rsidRPr="003C2478" w:rsidRDefault="00342074" w:rsidP="00DA757E">
      <w:pPr>
        <w:jc w:val="both"/>
        <w:rPr>
          <w:b/>
          <w:bCs/>
          <w:sz w:val="24"/>
          <w:szCs w:val="24"/>
          <w:u w:val="single"/>
        </w:rPr>
      </w:pPr>
    </w:p>
    <w:p w14:paraId="4A4CF4E8" w14:textId="2FE805A7" w:rsidR="002B667A" w:rsidRPr="003C2478" w:rsidRDefault="002E0EA2" w:rsidP="00DA757E">
      <w:pPr>
        <w:pStyle w:val="Heading1"/>
        <w:jc w:val="both"/>
      </w:pPr>
      <w:bookmarkStart w:id="0" w:name="_Toc215211229"/>
      <w:r w:rsidRPr="003C2478">
        <w:t xml:space="preserve">Les </w:t>
      </w:r>
      <w:r w:rsidRPr="0063280A">
        <w:t>critères</w:t>
      </w:r>
      <w:r w:rsidRPr="003C2478">
        <w:t xml:space="preserve"> à </w:t>
      </w:r>
      <w:r w:rsidRPr="0063280A">
        <w:t>remplir</w:t>
      </w:r>
      <w:r w:rsidRPr="003C2478">
        <w:t xml:space="preserve"> par la première partie à participer à la convention</w:t>
      </w:r>
      <w:bookmarkEnd w:id="0"/>
    </w:p>
    <w:p w14:paraId="055C44D2" w14:textId="77777777" w:rsidR="002B667A" w:rsidRPr="003C2478" w:rsidRDefault="002E0EA2" w:rsidP="00DA757E">
      <w:pPr>
        <w:jc w:val="both"/>
      </w:pPr>
      <w:r w:rsidRPr="003C2478">
        <w:rPr>
          <w:rStyle w:val="Geen"/>
        </w:rPr>
        <w:t xml:space="preserve">L'institution adhère à la convention en tant que </w:t>
      </w:r>
      <w:r w:rsidR="00D751C2" w:rsidRPr="003C2478">
        <w:t xml:space="preserve">: </w:t>
      </w:r>
    </w:p>
    <w:p w14:paraId="3FC8EC47" w14:textId="104A5FA7" w:rsidR="002B667A" w:rsidRPr="003C2478" w:rsidRDefault="003406B3" w:rsidP="00260437">
      <w:pPr>
        <w:ind w:left="360"/>
        <w:jc w:val="both"/>
      </w:pPr>
      <w:r>
        <w:rPr>
          <w:rStyle w:val="Geen"/>
        </w:rPr>
        <w:pict w14:anchorId="517D3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4.25pt">
            <v:imagedata r:id="rId8" o:title=""/>
          </v:shape>
        </w:pict>
      </w:r>
      <w:r w:rsidR="00A855AA" w:rsidRPr="003C2478">
        <w:rPr>
          <w:rStyle w:val="Geen"/>
        </w:rPr>
        <w:t>un</w:t>
      </w:r>
      <w:r w:rsidR="00E63579">
        <w:rPr>
          <w:rStyle w:val="Geen"/>
        </w:rPr>
        <w:t>e</w:t>
      </w:r>
      <w:r w:rsidR="00A855AA" w:rsidRPr="003C2478">
        <w:rPr>
          <w:rStyle w:val="Geen"/>
        </w:rPr>
        <w:t xml:space="preserve"> </w:t>
      </w:r>
      <w:r w:rsidR="006A5E3B">
        <w:t>« </w:t>
      </w:r>
      <w:r w:rsidR="00E63579" w:rsidRPr="003C2478">
        <w:rPr>
          <w:b/>
          <w:bCs/>
        </w:rPr>
        <w:t>institution</w:t>
      </w:r>
      <w:r w:rsidR="00E63579" w:rsidRPr="0063280A">
        <w:rPr>
          <w:b/>
          <w:bCs/>
        </w:rPr>
        <w:t xml:space="preserve"> </w:t>
      </w:r>
      <w:r w:rsidR="00C95600">
        <w:rPr>
          <w:b/>
          <w:bCs/>
        </w:rPr>
        <w:t>de</w:t>
      </w:r>
      <w:r w:rsidR="00A855AA" w:rsidRPr="003C2478">
        <w:rPr>
          <w:b/>
          <w:bCs/>
        </w:rPr>
        <w:t xml:space="preserve"> haut</w:t>
      </w:r>
      <w:r w:rsidR="00C95600">
        <w:rPr>
          <w:b/>
          <w:bCs/>
        </w:rPr>
        <w:t>-</w:t>
      </w:r>
      <w:r w:rsidR="00A855AA" w:rsidRPr="003C2478">
        <w:rPr>
          <w:b/>
          <w:bCs/>
        </w:rPr>
        <w:t>volume</w:t>
      </w:r>
      <w:r w:rsidR="006A5E3B">
        <w:t> »</w:t>
      </w:r>
      <w:r w:rsidR="00D751C2" w:rsidRPr="003C2478">
        <w:t xml:space="preserve"> </w:t>
      </w:r>
    </w:p>
    <w:p w14:paraId="1738DD95" w14:textId="568E05BD" w:rsidR="002B667A" w:rsidRDefault="003406B3" w:rsidP="00260437">
      <w:pPr>
        <w:ind w:left="360"/>
        <w:jc w:val="both"/>
      </w:pPr>
      <w:r>
        <w:rPr>
          <w:rStyle w:val="Geen"/>
        </w:rPr>
        <w:pict w14:anchorId="4E5042CD">
          <v:shape id="_x0000_i1026" type="#_x0000_t75" style="width:8.15pt;height:14.25pt">
            <v:imagedata r:id="rId9" o:title=""/>
          </v:shape>
        </w:pict>
      </w:r>
      <w:r w:rsidR="00A855AA" w:rsidRPr="003C2478">
        <w:t>un</w:t>
      </w:r>
      <w:r w:rsidR="00E63579">
        <w:t>e</w:t>
      </w:r>
      <w:r w:rsidR="00A855AA" w:rsidRPr="003C2478">
        <w:t xml:space="preserve"> </w:t>
      </w:r>
      <w:r w:rsidR="006A5E3B">
        <w:t>« </w:t>
      </w:r>
      <w:r w:rsidR="00E63579" w:rsidRPr="003C2478">
        <w:rPr>
          <w:b/>
          <w:bCs/>
        </w:rPr>
        <w:t xml:space="preserve">institution </w:t>
      </w:r>
      <w:r w:rsidR="00C95600">
        <w:rPr>
          <w:b/>
          <w:bCs/>
        </w:rPr>
        <w:t>de</w:t>
      </w:r>
      <w:r w:rsidR="00A855AA" w:rsidRPr="003C2478">
        <w:rPr>
          <w:b/>
          <w:bCs/>
        </w:rPr>
        <w:t xml:space="preserve"> </w:t>
      </w:r>
      <w:r w:rsidR="00E63579">
        <w:rPr>
          <w:b/>
          <w:bCs/>
        </w:rPr>
        <w:t>bas</w:t>
      </w:r>
      <w:r w:rsidR="00C95600">
        <w:rPr>
          <w:b/>
          <w:bCs/>
        </w:rPr>
        <w:t>-</w:t>
      </w:r>
      <w:r w:rsidR="00A855AA" w:rsidRPr="003C2478">
        <w:rPr>
          <w:b/>
          <w:bCs/>
        </w:rPr>
        <w:t>volume</w:t>
      </w:r>
      <w:r w:rsidR="006A5E3B">
        <w:t> »</w:t>
      </w:r>
      <w:r w:rsidR="00A855AA" w:rsidRPr="003C2478">
        <w:t xml:space="preserve"> </w:t>
      </w:r>
    </w:p>
    <w:p w14:paraId="13A36E01" w14:textId="497839DB" w:rsidR="00B30543" w:rsidRPr="00B30543" w:rsidRDefault="003406B3" w:rsidP="00B30543">
      <w:pPr>
        <w:ind w:left="360"/>
        <w:jc w:val="both"/>
        <w:rPr>
          <w:b/>
          <w:bCs/>
        </w:rPr>
      </w:pPr>
      <w:r>
        <w:rPr>
          <w:rStyle w:val="Geen"/>
        </w:rPr>
        <w:pict w14:anchorId="7FBFD65B">
          <v:shape id="_x0000_i1027" type="#_x0000_t75" style="width:8.15pt;height:14.25pt">
            <v:imagedata r:id="rId9" o:title=""/>
          </v:shape>
        </w:pict>
      </w:r>
      <w:r w:rsidR="00B30543" w:rsidRPr="003C2478">
        <w:t xml:space="preserve">une </w:t>
      </w:r>
      <w:r w:rsidR="00B30543">
        <w:rPr>
          <w:b/>
          <w:bCs/>
        </w:rPr>
        <w:t>« </w:t>
      </w:r>
      <w:r w:rsidR="00B30543" w:rsidRPr="00E63579">
        <w:rPr>
          <w:b/>
          <w:bCs/>
        </w:rPr>
        <w:t>institution collaboratrice avec des étapes externalisées</w:t>
      </w:r>
      <w:r w:rsidR="00B30543">
        <w:rPr>
          <w:b/>
          <w:bCs/>
        </w:rPr>
        <w:t> »</w:t>
      </w:r>
    </w:p>
    <w:p w14:paraId="1AB7DDEF" w14:textId="5EC991D4" w:rsidR="002B667A" w:rsidRPr="003C2478" w:rsidRDefault="003406B3" w:rsidP="00260437">
      <w:pPr>
        <w:ind w:left="360"/>
        <w:jc w:val="both"/>
        <w:rPr>
          <w:b/>
          <w:bCs/>
        </w:rPr>
      </w:pPr>
      <w:r>
        <w:rPr>
          <w:rStyle w:val="Geen"/>
        </w:rPr>
        <w:pict w14:anchorId="0E4C0062">
          <v:shape id="_x0000_i1028" type="#_x0000_t75" style="width:8.15pt;height:14.25pt">
            <v:imagedata r:id="rId8" o:title=""/>
          </v:shape>
        </w:pict>
      </w:r>
      <w:r w:rsidR="00A855AA" w:rsidRPr="003C2478">
        <w:t xml:space="preserve">une </w:t>
      </w:r>
      <w:r w:rsidR="006A5E3B">
        <w:rPr>
          <w:b/>
          <w:bCs/>
        </w:rPr>
        <w:t>« </w:t>
      </w:r>
      <w:r w:rsidR="00B30543">
        <w:rPr>
          <w:b/>
          <w:bCs/>
        </w:rPr>
        <w:t>association de fait </w:t>
      </w:r>
      <w:r w:rsidR="006A5E3B">
        <w:rPr>
          <w:b/>
          <w:bCs/>
        </w:rPr>
        <w:t>»</w:t>
      </w:r>
    </w:p>
    <w:p w14:paraId="3662D748" w14:textId="77777777" w:rsidR="00A855AA" w:rsidRDefault="00A855AA" w:rsidP="00DA757E">
      <w:pPr>
        <w:jc w:val="both"/>
        <w:rPr>
          <w:b/>
          <w:bCs/>
          <w:sz w:val="24"/>
          <w:szCs w:val="24"/>
          <w:u w:val="single"/>
          <w:lang w:val="nl-BE"/>
        </w:rPr>
      </w:pPr>
    </w:p>
    <w:p w14:paraId="04A04F36" w14:textId="77777777" w:rsidR="002B667A" w:rsidRPr="003C2478" w:rsidRDefault="002E0EA2" w:rsidP="00DA757E">
      <w:pPr>
        <w:pStyle w:val="Heading2"/>
        <w:jc w:val="both"/>
      </w:pPr>
      <w:bookmarkStart w:id="1" w:name="_Ref160185179"/>
      <w:bookmarkStart w:id="2" w:name="_Toc215211230"/>
      <w:r w:rsidRPr="003C2478">
        <w:t xml:space="preserve">Quelle que soit la </w:t>
      </w:r>
      <w:r w:rsidRPr="00467810">
        <w:t>catégorie</w:t>
      </w:r>
      <w:r w:rsidRPr="003C2478">
        <w:t xml:space="preserve"> dans laquelle l'institution souhaite participer, les critères suivants s'appliquent à toutes les institutions candidates :</w:t>
      </w:r>
      <w:bookmarkEnd w:id="1"/>
      <w:bookmarkEnd w:id="2"/>
    </w:p>
    <w:p w14:paraId="150B7B06" w14:textId="0F3D72CC" w:rsidR="002B667A" w:rsidRPr="003C2478" w:rsidRDefault="00BC5DB8" w:rsidP="00407B8C">
      <w:pPr>
        <w:pStyle w:val="ListParagraph"/>
        <w:numPr>
          <w:ilvl w:val="0"/>
          <w:numId w:val="6"/>
        </w:numPr>
        <w:jc w:val="both"/>
        <w:rPr>
          <w:lang w:val="fr-FR"/>
        </w:rPr>
      </w:pPr>
      <w:r>
        <w:rPr>
          <w:lang w:val="fr-FR"/>
        </w:rPr>
        <w:t>La première</w:t>
      </w:r>
      <w:r w:rsidR="002E0EA2" w:rsidRPr="003C2478">
        <w:rPr>
          <w:lang w:val="fr-FR"/>
        </w:rPr>
        <w:t xml:space="preserve"> </w:t>
      </w:r>
      <w:r w:rsidR="00980B3A">
        <w:rPr>
          <w:lang w:val="fr-FR"/>
        </w:rPr>
        <w:t>partie</w:t>
      </w:r>
      <w:r w:rsidR="002E0EA2" w:rsidRPr="003C2478">
        <w:rPr>
          <w:lang w:val="fr-FR"/>
        </w:rPr>
        <w:t xml:space="preserve"> comprend un laboratoire médical ou des laboratoires médicaux reconnus dans au moins un des cadres juridiques énumérés ci-dessous :</w:t>
      </w:r>
    </w:p>
    <w:p w14:paraId="4C51DB04" w14:textId="77777777" w:rsidR="00980B3A" w:rsidRPr="00980B3A" w:rsidRDefault="00980B3A" w:rsidP="00407B8C">
      <w:pPr>
        <w:pStyle w:val="ListParagraph"/>
        <w:numPr>
          <w:ilvl w:val="1"/>
          <w:numId w:val="3"/>
        </w:numPr>
        <w:ind w:left="774" w:hanging="284"/>
        <w:jc w:val="both"/>
        <w:rPr>
          <w:lang w:val="fr-FR"/>
        </w:rPr>
      </w:pPr>
      <w:r w:rsidRPr="00980B3A">
        <w:rPr>
          <w:lang w:val="fr-FR"/>
        </w:rPr>
        <w:t xml:space="preserve">comme laboratoire d'anatomie pathologique (AR du 5 décembre 2011 relatif à l'agrément des laboratoires d'anatomie pathologique) ; </w:t>
      </w:r>
    </w:p>
    <w:p w14:paraId="7B4C00CA" w14:textId="77777777" w:rsidR="00980B3A" w:rsidRPr="00980B3A" w:rsidRDefault="00980B3A" w:rsidP="00407B8C">
      <w:pPr>
        <w:pStyle w:val="ListParagraph"/>
        <w:numPr>
          <w:ilvl w:val="1"/>
          <w:numId w:val="3"/>
        </w:numPr>
        <w:ind w:left="774" w:hanging="284"/>
        <w:jc w:val="both"/>
        <w:rPr>
          <w:lang w:val="fr-FR"/>
        </w:rPr>
      </w:pPr>
      <w:r w:rsidRPr="00980B3A">
        <w:rPr>
          <w:lang w:val="fr-FR"/>
        </w:rPr>
        <w:t>comme laboratoire de biologie clinique (AR du 3 décembre 1999 relatif à l'agrément des laboratoires de biologie clinique) ;</w:t>
      </w:r>
    </w:p>
    <w:p w14:paraId="7115BDC8" w14:textId="721E8031" w:rsidR="00980B3A" w:rsidRPr="00BC5DB8" w:rsidRDefault="00980B3A" w:rsidP="00407B8C">
      <w:pPr>
        <w:pStyle w:val="ListParagraph"/>
        <w:numPr>
          <w:ilvl w:val="1"/>
          <w:numId w:val="3"/>
        </w:numPr>
        <w:ind w:left="774" w:hanging="284"/>
        <w:jc w:val="both"/>
        <w:rPr>
          <w:lang w:val="fr-FR"/>
        </w:rPr>
      </w:pPr>
      <w:r w:rsidRPr="00980B3A">
        <w:rPr>
          <w:lang w:val="fr-FR"/>
        </w:rPr>
        <w:t xml:space="preserve">comme centre de génétique humaine (AR du 14 décembre 1987 fixant les normes auxquelles les centres de génétique humaine doivent répondre). </w:t>
      </w:r>
    </w:p>
    <w:p w14:paraId="6DAF6A29" w14:textId="0646316D" w:rsidR="002B667A" w:rsidRPr="003C2478" w:rsidRDefault="00BC5DB8" w:rsidP="00407B8C">
      <w:pPr>
        <w:pStyle w:val="ListParagraph"/>
        <w:numPr>
          <w:ilvl w:val="0"/>
          <w:numId w:val="6"/>
        </w:numPr>
        <w:jc w:val="both"/>
        <w:rPr>
          <w:lang w:val="fr-FR"/>
        </w:rPr>
      </w:pPr>
      <w:r>
        <w:rPr>
          <w:lang w:val="fr-FR"/>
        </w:rPr>
        <w:t>La première</w:t>
      </w:r>
      <w:r w:rsidRPr="003C2478">
        <w:rPr>
          <w:lang w:val="fr-FR"/>
        </w:rPr>
        <w:t xml:space="preserve"> </w:t>
      </w:r>
      <w:r>
        <w:rPr>
          <w:lang w:val="fr-FR"/>
        </w:rPr>
        <w:t>partie</w:t>
      </w:r>
      <w:r w:rsidRPr="003C2478">
        <w:rPr>
          <w:lang w:val="fr-FR"/>
        </w:rPr>
        <w:t xml:space="preserve"> </w:t>
      </w:r>
      <w:r w:rsidR="002E0EA2" w:rsidRPr="003C2478">
        <w:rPr>
          <w:lang w:val="fr-FR"/>
        </w:rPr>
        <w:t xml:space="preserve">comprend un ou plusieurs laboratoires médicaux ayant une accréditation ISO 15189 valide pour les analyses NGS en oncologie ou en hémato-oncologie de </w:t>
      </w:r>
      <w:r w:rsidR="00FA5F6C">
        <w:rPr>
          <w:lang w:val="fr-FR"/>
        </w:rPr>
        <w:t>BELAC</w:t>
      </w:r>
      <w:r w:rsidR="002E0EA2" w:rsidRPr="003C2478">
        <w:rPr>
          <w:lang w:val="fr-FR"/>
        </w:rPr>
        <w:t xml:space="preserve">. </w:t>
      </w:r>
      <w:bookmarkStart w:id="3" w:name="_Ref125637275"/>
      <w:bookmarkStart w:id="4" w:name="_Ref152580060"/>
      <w:r>
        <w:rPr>
          <w:lang w:val="fr-FR"/>
        </w:rPr>
        <w:t xml:space="preserve"> </w:t>
      </w:r>
    </w:p>
    <w:p w14:paraId="7D889A0E" w14:textId="44638CD3" w:rsidR="002B667A" w:rsidRPr="003C2478" w:rsidRDefault="002E0EA2" w:rsidP="00407B8C">
      <w:pPr>
        <w:pStyle w:val="ListParagraph"/>
        <w:numPr>
          <w:ilvl w:val="0"/>
          <w:numId w:val="6"/>
        </w:numPr>
        <w:jc w:val="both"/>
        <w:rPr>
          <w:lang w:val="fr-FR"/>
        </w:rPr>
      </w:pPr>
      <w:r w:rsidRPr="003C2478">
        <w:rPr>
          <w:lang w:val="fr-FR"/>
        </w:rPr>
        <w:t xml:space="preserve">Si l'institution ne comprend pas de Centre </w:t>
      </w:r>
      <w:r w:rsidR="00BC5DB8">
        <w:rPr>
          <w:lang w:val="fr-FR"/>
        </w:rPr>
        <w:t>G</w:t>
      </w:r>
      <w:r w:rsidR="00BC5DB8" w:rsidRPr="00BC5DB8">
        <w:rPr>
          <w:lang w:val="fr-FR"/>
        </w:rPr>
        <w:t xml:space="preserve">énétique </w:t>
      </w:r>
      <w:r w:rsidR="00BC5DB8">
        <w:rPr>
          <w:lang w:val="fr-FR"/>
        </w:rPr>
        <w:t>H</w:t>
      </w:r>
      <w:r w:rsidR="00BC5DB8" w:rsidRPr="00BC5DB8">
        <w:rPr>
          <w:lang w:val="fr-FR"/>
        </w:rPr>
        <w:t xml:space="preserve">umaine </w:t>
      </w:r>
      <w:r w:rsidRPr="003C2478">
        <w:rPr>
          <w:lang w:val="fr-FR"/>
        </w:rPr>
        <w:t>(C</w:t>
      </w:r>
      <w:r w:rsidR="00BC5DB8">
        <w:rPr>
          <w:lang w:val="fr-FR"/>
        </w:rPr>
        <w:t>GH</w:t>
      </w:r>
      <w:r w:rsidRPr="003C2478">
        <w:rPr>
          <w:lang w:val="fr-FR"/>
        </w:rPr>
        <w:t xml:space="preserve">), il doit y avoir une collaboration formelle avec un </w:t>
      </w:r>
      <w:r w:rsidR="00BC5DB8">
        <w:rPr>
          <w:lang w:val="fr-FR"/>
        </w:rPr>
        <w:t>CGH</w:t>
      </w:r>
      <w:r w:rsidRPr="003C2478">
        <w:rPr>
          <w:lang w:val="fr-FR"/>
        </w:rPr>
        <w:t xml:space="preserve">, justifiée par un </w:t>
      </w:r>
      <w:r w:rsidR="00DE7507" w:rsidRPr="00DE7507">
        <w:rPr>
          <w:lang w:val="fr-FR"/>
        </w:rPr>
        <w:t xml:space="preserve">Service Level Agreement </w:t>
      </w:r>
      <w:r w:rsidRPr="003C2478">
        <w:rPr>
          <w:lang w:val="fr-FR"/>
        </w:rPr>
        <w:t xml:space="preserve">(SLA) </w:t>
      </w:r>
      <w:r w:rsidR="006B6F98">
        <w:rPr>
          <w:lang w:val="fr-FR"/>
        </w:rPr>
        <w:t xml:space="preserve">qui </w:t>
      </w:r>
      <w:r w:rsidR="006B6F98" w:rsidRPr="006B6F98">
        <w:rPr>
          <w:lang w:val="fr-FR"/>
        </w:rPr>
        <w:t>conforme aux exigences décrites à l'annexe 4 de la présente convention</w:t>
      </w:r>
      <w:r w:rsidR="006B6F98">
        <w:rPr>
          <w:lang w:val="fr-FR"/>
        </w:rPr>
        <w:t>,</w:t>
      </w:r>
      <w:r w:rsidR="006B6F98" w:rsidRPr="006B6F98">
        <w:rPr>
          <w:lang w:val="fr-FR"/>
        </w:rPr>
        <w:t xml:space="preserve"> </w:t>
      </w:r>
      <w:r w:rsidRPr="003C2478">
        <w:rPr>
          <w:lang w:val="fr-FR"/>
        </w:rPr>
        <w:t xml:space="preserve">dans lequel la collaboration </w:t>
      </w:r>
      <w:r w:rsidR="00661EFB">
        <w:rPr>
          <w:lang w:val="fr-FR"/>
        </w:rPr>
        <w:t xml:space="preserve">entre les deux institutions </w:t>
      </w:r>
      <w:r w:rsidRPr="003C2478">
        <w:rPr>
          <w:lang w:val="fr-FR"/>
        </w:rPr>
        <w:t xml:space="preserve">pour </w:t>
      </w:r>
      <w:r w:rsidR="00D11A6C">
        <w:rPr>
          <w:lang w:val="fr-FR"/>
        </w:rPr>
        <w:t xml:space="preserve">l’analyse et </w:t>
      </w:r>
      <w:r w:rsidRPr="003C2478">
        <w:rPr>
          <w:lang w:val="fr-FR"/>
        </w:rPr>
        <w:t xml:space="preserve">l'interprétation des caractéristiques héréditaires des résultats des tests NGS </w:t>
      </w:r>
      <w:r w:rsidR="00661EFB">
        <w:rPr>
          <w:lang w:val="fr-FR"/>
        </w:rPr>
        <w:t xml:space="preserve">et la </w:t>
      </w:r>
      <w:r w:rsidR="00661EFB">
        <w:rPr>
          <w:lang w:val="fr-FR"/>
        </w:rPr>
        <w:lastRenderedPageBreak/>
        <w:t xml:space="preserve">sélection des cas nécessitant une détection de la lignée germinale </w:t>
      </w:r>
      <w:r w:rsidRPr="003C2478">
        <w:rPr>
          <w:lang w:val="fr-FR"/>
        </w:rPr>
        <w:t>est clairement énoncée et réglementée.</w:t>
      </w:r>
      <w:r w:rsidR="00EC50EE">
        <w:rPr>
          <w:lang w:val="fr-FR"/>
        </w:rPr>
        <w:t xml:space="preserve"> </w:t>
      </w:r>
      <w:r w:rsidR="00EC50EE" w:rsidRPr="00EC50EE">
        <w:rPr>
          <w:lang w:val="fr-FR"/>
        </w:rPr>
        <w:t xml:space="preserve">Les institutions collaboratrices doivent respecter la réglementation </w:t>
      </w:r>
      <w:r w:rsidR="00661EFB">
        <w:rPr>
          <w:lang w:val="fr-FR"/>
        </w:rPr>
        <w:t>B</w:t>
      </w:r>
      <w:r w:rsidR="00EC50EE" w:rsidRPr="00EC50EE">
        <w:rPr>
          <w:lang w:val="fr-FR"/>
        </w:rPr>
        <w:t xml:space="preserve">elge sur la restriction des analyses génétiques constitutionnelles aux Centres </w:t>
      </w:r>
      <w:r w:rsidR="00EC50EE">
        <w:rPr>
          <w:lang w:val="fr-FR"/>
        </w:rPr>
        <w:t>G</w:t>
      </w:r>
      <w:r w:rsidR="00EC50EE" w:rsidRPr="00BC5DB8">
        <w:rPr>
          <w:lang w:val="fr-FR"/>
        </w:rPr>
        <w:t xml:space="preserve">énétique </w:t>
      </w:r>
      <w:r w:rsidR="00EC50EE" w:rsidRPr="00EC50EE">
        <w:rPr>
          <w:lang w:val="fr-FR"/>
        </w:rPr>
        <w:t xml:space="preserve">Humaine reconnus, ainsi que les directives de </w:t>
      </w:r>
      <w:proofErr w:type="spellStart"/>
      <w:r w:rsidR="00EC50EE" w:rsidRPr="00EC50EE">
        <w:rPr>
          <w:lang w:val="fr-FR"/>
        </w:rPr>
        <w:t>Sciensano</w:t>
      </w:r>
      <w:proofErr w:type="spellEnd"/>
      <w:r w:rsidR="00EC50EE" w:rsidRPr="00EC50EE">
        <w:rPr>
          <w:lang w:val="fr-FR"/>
        </w:rPr>
        <w:t xml:space="preserve"> ou, en leur absence, celles de la Société Européenne d'Oncologie Médicale.</w:t>
      </w:r>
      <w:r w:rsidR="00EC50EE">
        <w:rPr>
          <w:lang w:val="fr-FR"/>
        </w:rPr>
        <w:t xml:space="preserve"> </w:t>
      </w:r>
    </w:p>
    <w:p w14:paraId="2269CDA5" w14:textId="77777777" w:rsidR="002B667A" w:rsidRPr="003C2478" w:rsidRDefault="002E0EA2" w:rsidP="00407B8C">
      <w:pPr>
        <w:pStyle w:val="ListParagraph"/>
        <w:numPr>
          <w:ilvl w:val="0"/>
          <w:numId w:val="6"/>
        </w:numPr>
        <w:jc w:val="both"/>
        <w:rPr>
          <w:lang w:val="fr-FR"/>
        </w:rPr>
      </w:pPr>
      <w:r w:rsidRPr="003C2478">
        <w:rPr>
          <w:lang w:val="fr-FR"/>
        </w:rPr>
        <w:t xml:space="preserve">Pour chaque indication testée, le panel de gènes utilisé doit contenir au moins tous les biomarqueurs énumérés aux annexes </w:t>
      </w:r>
      <w:r w:rsidR="00C63BF4" w:rsidRPr="003C2478">
        <w:rPr>
          <w:lang w:val="fr-FR"/>
        </w:rPr>
        <w:t>1 et 2</w:t>
      </w:r>
      <w:r w:rsidR="00287B9D" w:rsidRPr="003C2478">
        <w:rPr>
          <w:lang w:val="fr-FR"/>
        </w:rPr>
        <w:t xml:space="preserve">. </w:t>
      </w:r>
    </w:p>
    <w:p w14:paraId="500300F1" w14:textId="62BE5D73" w:rsidR="002B667A" w:rsidRPr="003C2478" w:rsidRDefault="002E0EA2" w:rsidP="00407B8C">
      <w:pPr>
        <w:pStyle w:val="ListParagraph"/>
        <w:numPr>
          <w:ilvl w:val="0"/>
          <w:numId w:val="6"/>
        </w:numPr>
        <w:jc w:val="both"/>
        <w:rPr>
          <w:rStyle w:val="Geen"/>
          <w:lang w:val="fr-FR"/>
        </w:rPr>
      </w:pPr>
      <w:r w:rsidRPr="003C2478">
        <w:rPr>
          <w:lang w:val="fr-FR"/>
        </w:rPr>
        <w:t>L'équipe qui réalise et interprète l</w:t>
      </w:r>
      <w:r w:rsidR="001C29D8">
        <w:rPr>
          <w:lang w:val="fr-FR"/>
        </w:rPr>
        <w:t>e</w:t>
      </w:r>
      <w:r w:rsidRPr="003C2478">
        <w:rPr>
          <w:lang w:val="fr-FR"/>
        </w:rPr>
        <w:t xml:space="preserve"> NGS apporte son soutien aux équipes d'oncologie dans la sélection des patients éligibles pour un test NGS </w:t>
      </w:r>
      <w:r w:rsidR="00D11A6C">
        <w:rPr>
          <w:lang w:val="fr-FR"/>
        </w:rPr>
        <w:t xml:space="preserve">(discuté en COM) </w:t>
      </w:r>
      <w:r w:rsidRPr="003C2478">
        <w:rPr>
          <w:lang w:val="fr-FR"/>
        </w:rPr>
        <w:t>et dans l'application des résultats obtenus, et ce tant au sein de leur propre institution que pour les institutions qui leur envoient des échantillons.</w:t>
      </w:r>
    </w:p>
    <w:p w14:paraId="1E47FAC4" w14:textId="139E0F12" w:rsidR="002B667A" w:rsidRPr="003C2478" w:rsidRDefault="002E0EA2" w:rsidP="00DA757E">
      <w:pPr>
        <w:jc w:val="both"/>
      </w:pPr>
      <w:r w:rsidRPr="003C2478">
        <w:t xml:space="preserve">Si l'institution comprend plusieurs laboratoires </w:t>
      </w:r>
      <w:r w:rsidR="008C11E5" w:rsidRPr="003C2478">
        <w:t>effectuant des</w:t>
      </w:r>
      <w:r w:rsidRPr="003C2478">
        <w:t xml:space="preserve"> NGS pour l'oncologie </w:t>
      </w:r>
      <w:r w:rsidR="008C11E5" w:rsidRPr="003C2478">
        <w:t>ou l'</w:t>
      </w:r>
      <w:r w:rsidRPr="003C2478">
        <w:t xml:space="preserve">hémato-oncologie, </w:t>
      </w:r>
      <w:r w:rsidR="008C11E5" w:rsidRPr="003C2478">
        <w:t xml:space="preserve">respectivement, </w:t>
      </w:r>
      <w:r w:rsidRPr="003C2478">
        <w:t>ils sont considérés comme une institution aux fins de la présente convention.</w:t>
      </w:r>
    </w:p>
    <w:p w14:paraId="4A6BE32E" w14:textId="3562EE3A" w:rsidR="002B667A" w:rsidRPr="003C2478" w:rsidRDefault="002E0EA2" w:rsidP="00DA757E">
      <w:pPr>
        <w:jc w:val="both"/>
      </w:pPr>
      <w:r w:rsidRPr="003C2478">
        <w:t xml:space="preserve">La seconde partie peut à tout moment demander à la première partie de démontrer que </w:t>
      </w:r>
      <w:r w:rsidR="00A427D0" w:rsidRPr="003C2478">
        <w:t xml:space="preserve">tous les </w:t>
      </w:r>
      <w:r w:rsidRPr="003C2478">
        <w:t xml:space="preserve">critères d'adhésion sont toujours remplis. À partir du moment où le contraire est établi, </w:t>
      </w:r>
      <w:r w:rsidR="00DE7507">
        <w:t>la</w:t>
      </w:r>
      <w:r w:rsidRPr="003C2478">
        <w:t xml:space="preserve"> présent</w:t>
      </w:r>
      <w:r w:rsidR="00DE7507">
        <w:t>e convention</w:t>
      </w:r>
      <w:r w:rsidRPr="003C2478">
        <w:t xml:space="preserve"> est suspendu</w:t>
      </w:r>
      <w:r w:rsidR="00DE7507">
        <w:t>e</w:t>
      </w:r>
      <w:r w:rsidRPr="003C2478">
        <w:t xml:space="preserve"> jusqu'à ce qu'il soit démontré que les critères sont à nouveau remplis. </w:t>
      </w:r>
    </w:p>
    <w:p w14:paraId="5BB49AD9" w14:textId="77777777" w:rsidR="00A56510" w:rsidRPr="003C2478" w:rsidRDefault="00A56510" w:rsidP="00DA757E">
      <w:pPr>
        <w:jc w:val="both"/>
        <w:rPr>
          <w:rStyle w:val="Geen"/>
        </w:rPr>
      </w:pPr>
    </w:p>
    <w:p w14:paraId="27F73B79" w14:textId="14F00689" w:rsidR="002B667A" w:rsidRPr="003C2478" w:rsidRDefault="002E0EA2" w:rsidP="00DA757E">
      <w:pPr>
        <w:pStyle w:val="Heading2"/>
        <w:jc w:val="both"/>
      </w:pPr>
      <w:bookmarkStart w:id="5" w:name="_Ref160184177"/>
      <w:bookmarkStart w:id="6" w:name="_Toc215211231"/>
      <w:r w:rsidRPr="003C2478">
        <w:t>Les critères minimaux à remplir par la première partie lorsqu'elle participe à la convention en tant qu'</w:t>
      </w:r>
      <w:r w:rsidR="006A5E3B">
        <w:t xml:space="preserve"> « </w:t>
      </w:r>
      <w:r w:rsidR="00467810">
        <w:t xml:space="preserve">institution </w:t>
      </w:r>
      <w:r w:rsidR="00932F74">
        <w:t xml:space="preserve">de </w:t>
      </w:r>
      <w:r w:rsidR="00932F74" w:rsidRPr="00932F74">
        <w:t>haut-volume</w:t>
      </w:r>
      <w:bookmarkEnd w:id="5"/>
      <w:r w:rsidR="006A5E3B">
        <w:t> »</w:t>
      </w:r>
      <w:bookmarkEnd w:id="6"/>
    </w:p>
    <w:bookmarkEnd w:id="3"/>
    <w:bookmarkEnd w:id="4"/>
    <w:p w14:paraId="4D0788BB" w14:textId="77777777" w:rsidR="00BB5822" w:rsidRPr="003C2478" w:rsidRDefault="00BB5822" w:rsidP="00DA757E">
      <w:pPr>
        <w:pStyle w:val="ListParagraph"/>
        <w:jc w:val="both"/>
        <w:rPr>
          <w:rStyle w:val="Geen"/>
          <w:rFonts w:ascii="Arial" w:eastAsiaTheme="majorEastAsia" w:hAnsi="Arial" w:cs="Arial"/>
          <w:u w:val="single"/>
          <w:lang w:val="fr-FR"/>
        </w:rPr>
      </w:pPr>
    </w:p>
    <w:p w14:paraId="52B149AD" w14:textId="77777777" w:rsidR="002B667A" w:rsidRDefault="002E0EA2" w:rsidP="00407B8C">
      <w:pPr>
        <w:pStyle w:val="ListParagraph"/>
        <w:numPr>
          <w:ilvl w:val="0"/>
          <w:numId w:val="12"/>
        </w:numPr>
        <w:jc w:val="both"/>
      </w:pPr>
      <w:r w:rsidRPr="003C2478">
        <w:rPr>
          <w:lang w:val="fr-FR"/>
        </w:rPr>
        <w:t xml:space="preserve">Au cours des trois années précédant la candidature, avoir effectué au moins une moyenne de 500 tests NGS par an </w:t>
      </w:r>
      <w:r w:rsidR="00BB1479" w:rsidRPr="003C2478">
        <w:rPr>
          <w:lang w:val="fr-FR"/>
        </w:rPr>
        <w:t xml:space="preserve">(= 1 500 au total) dans le cadre de </w:t>
      </w:r>
      <w:r w:rsidRPr="003C2478">
        <w:rPr>
          <w:lang w:val="fr-FR"/>
        </w:rPr>
        <w:t xml:space="preserve">diagnostics de routine en oncologie et en hémato-oncologie. </w:t>
      </w:r>
      <w:proofErr w:type="spellStart"/>
      <w:r>
        <w:t>Ceci</w:t>
      </w:r>
      <w:proofErr w:type="spellEnd"/>
      <w:r>
        <w:t xml:space="preserve"> peut </w:t>
      </w:r>
      <w:proofErr w:type="spellStart"/>
      <w:r>
        <w:t>être</w:t>
      </w:r>
      <w:proofErr w:type="spellEnd"/>
      <w:r>
        <w:t xml:space="preserve"> </w:t>
      </w:r>
      <w:proofErr w:type="spellStart"/>
      <w:r>
        <w:t>démontré</w:t>
      </w:r>
      <w:proofErr w:type="spellEnd"/>
      <w:r>
        <w:t xml:space="preserve"> </w:t>
      </w:r>
      <w:proofErr w:type="spellStart"/>
      <w:r>
        <w:t>sur</w:t>
      </w:r>
      <w:proofErr w:type="spellEnd"/>
      <w:r>
        <w:t xml:space="preserve"> la base de :</w:t>
      </w:r>
    </w:p>
    <w:p w14:paraId="76645EF1" w14:textId="23761BCA" w:rsidR="002B667A" w:rsidRPr="003C2478" w:rsidRDefault="002E0EA2" w:rsidP="00407B8C">
      <w:pPr>
        <w:pStyle w:val="ListParagraph"/>
        <w:numPr>
          <w:ilvl w:val="1"/>
          <w:numId w:val="5"/>
        </w:numPr>
        <w:ind w:left="851"/>
        <w:jc w:val="both"/>
        <w:rPr>
          <w:lang w:val="fr-FR"/>
        </w:rPr>
      </w:pPr>
      <w:r w:rsidRPr="003C2478">
        <w:rPr>
          <w:lang w:val="fr-FR"/>
        </w:rPr>
        <w:t xml:space="preserve">Le nombre </w:t>
      </w:r>
      <w:r w:rsidR="00F25E14">
        <w:rPr>
          <w:lang w:val="fr-FR"/>
        </w:rPr>
        <w:t>d’enregistrements</w:t>
      </w:r>
      <w:r w:rsidR="0059168F">
        <w:rPr>
          <w:lang w:val="fr-FR"/>
        </w:rPr>
        <w:t xml:space="preserve"> dans le</w:t>
      </w:r>
      <w:r w:rsidR="00F25E14" w:rsidRPr="003C2478">
        <w:rPr>
          <w:lang w:val="fr-FR"/>
        </w:rPr>
        <w:t xml:space="preserve"> </w:t>
      </w:r>
      <w:r w:rsidRPr="003C2478">
        <w:rPr>
          <w:lang w:val="fr-FR"/>
        </w:rPr>
        <w:t xml:space="preserve">registre NGS géré par le </w:t>
      </w:r>
      <w:r w:rsidR="00932F74" w:rsidRPr="00932F74">
        <w:rPr>
          <w:lang w:val="fr-FR"/>
        </w:rPr>
        <w:t xml:space="preserve">Centre du cancer </w:t>
      </w:r>
      <w:r w:rsidRPr="003C2478">
        <w:rPr>
          <w:lang w:val="fr-FR"/>
        </w:rPr>
        <w:t xml:space="preserve">dans le cadre de la </w:t>
      </w:r>
      <w:r w:rsidR="001C29D8" w:rsidRPr="00932F74">
        <w:rPr>
          <w:i/>
          <w:iCs/>
          <w:lang w:val="fr-FR"/>
        </w:rPr>
        <w:t xml:space="preserve">convention en application de l'art. 56, §1er en vue du financement d'une étude pilote relative à l'introduction contrôlée du </w:t>
      </w:r>
      <w:r w:rsidR="0059708A" w:rsidRPr="00932F74">
        <w:rPr>
          <w:i/>
          <w:iCs/>
          <w:lang w:val="fr-FR"/>
        </w:rPr>
        <w:t>Next</w:t>
      </w:r>
      <w:r w:rsidR="001C29D8" w:rsidRPr="00932F74">
        <w:rPr>
          <w:i/>
          <w:iCs/>
          <w:lang w:val="fr-FR"/>
        </w:rPr>
        <w:t xml:space="preserve"> </w:t>
      </w:r>
      <w:proofErr w:type="spellStart"/>
      <w:r w:rsidR="001C29D8" w:rsidRPr="00932F74">
        <w:rPr>
          <w:i/>
          <w:iCs/>
          <w:lang w:val="fr-FR"/>
        </w:rPr>
        <w:t>generation</w:t>
      </w:r>
      <w:proofErr w:type="spellEnd"/>
      <w:r w:rsidR="001C29D8" w:rsidRPr="00932F74">
        <w:rPr>
          <w:i/>
          <w:iCs/>
          <w:lang w:val="fr-FR"/>
        </w:rPr>
        <w:t xml:space="preserve"> </w:t>
      </w:r>
      <w:proofErr w:type="spellStart"/>
      <w:r w:rsidR="001C29D8" w:rsidRPr="00932F74">
        <w:rPr>
          <w:i/>
          <w:iCs/>
          <w:lang w:val="fr-FR"/>
        </w:rPr>
        <w:t>sequencing</w:t>
      </w:r>
      <w:proofErr w:type="spellEnd"/>
      <w:r w:rsidR="001C29D8" w:rsidRPr="00932F74">
        <w:rPr>
          <w:i/>
          <w:iCs/>
          <w:lang w:val="fr-FR"/>
        </w:rPr>
        <w:t xml:space="preserve"> dans le diagnostic de routine en oncologie et hémato-oncologie</w:t>
      </w:r>
      <w:r w:rsidRPr="003C2478">
        <w:rPr>
          <w:lang w:val="fr-FR"/>
        </w:rPr>
        <w:t>, qui s'est déroulée du 1er juillet 2019 au 30 juin 2024.</w:t>
      </w:r>
    </w:p>
    <w:p w14:paraId="039B2F60" w14:textId="2254ACFD" w:rsidR="002B667A" w:rsidRPr="003C2478" w:rsidRDefault="002E0EA2" w:rsidP="00407B8C">
      <w:pPr>
        <w:pStyle w:val="ListParagraph"/>
        <w:numPr>
          <w:ilvl w:val="1"/>
          <w:numId w:val="5"/>
        </w:numPr>
        <w:ind w:left="851"/>
        <w:jc w:val="both"/>
        <w:rPr>
          <w:lang w:val="fr-FR"/>
        </w:rPr>
      </w:pPr>
      <w:r w:rsidRPr="003C2478">
        <w:rPr>
          <w:lang w:val="fr-FR"/>
        </w:rPr>
        <w:t xml:space="preserve">Le nombre de facturations des pseudocodes des annexes </w:t>
      </w:r>
      <w:r w:rsidR="00C63BF4" w:rsidRPr="003C2478">
        <w:rPr>
          <w:lang w:val="fr-FR"/>
        </w:rPr>
        <w:t>1 et 2</w:t>
      </w:r>
      <w:r w:rsidRPr="003C2478">
        <w:rPr>
          <w:lang w:val="fr-FR"/>
        </w:rPr>
        <w:t>, si le candidat a participé à la présente convention en tant qu'</w:t>
      </w:r>
      <w:r w:rsidR="00CF255B">
        <w:rPr>
          <w:lang w:val="fr-FR"/>
        </w:rPr>
        <w:t xml:space="preserve"> </w:t>
      </w:r>
      <w:r w:rsidR="00004BF2">
        <w:rPr>
          <w:lang w:val="fr-FR"/>
        </w:rPr>
        <w:t>« </w:t>
      </w:r>
      <w:r w:rsidR="00CF255B">
        <w:rPr>
          <w:lang w:val="fr-FR"/>
        </w:rPr>
        <w:t>institution de bas-</w:t>
      </w:r>
      <w:r w:rsidR="00140EBC" w:rsidRPr="003C2478">
        <w:rPr>
          <w:lang w:val="fr-FR"/>
        </w:rPr>
        <w:t>volume</w:t>
      </w:r>
      <w:r w:rsidR="00004BF2">
        <w:rPr>
          <w:lang w:val="fr-FR"/>
        </w:rPr>
        <w:t> »</w:t>
      </w:r>
      <w:r w:rsidR="00140EBC" w:rsidRPr="003C2478">
        <w:rPr>
          <w:lang w:val="fr-FR"/>
        </w:rPr>
        <w:t xml:space="preserve"> ou en tant qu'</w:t>
      </w:r>
      <w:r w:rsidR="00CF255B">
        <w:rPr>
          <w:lang w:val="fr-FR"/>
        </w:rPr>
        <w:t xml:space="preserve"> </w:t>
      </w:r>
      <w:r w:rsidR="00004BF2">
        <w:rPr>
          <w:lang w:val="fr-FR"/>
        </w:rPr>
        <w:t>« </w:t>
      </w:r>
      <w:r w:rsidR="00140EBC" w:rsidRPr="003C2478">
        <w:rPr>
          <w:lang w:val="fr-FR"/>
        </w:rPr>
        <w:t xml:space="preserve"> </w:t>
      </w:r>
      <w:r w:rsidR="00CF255B">
        <w:rPr>
          <w:lang w:val="fr-BE"/>
        </w:rPr>
        <w:t>institution</w:t>
      </w:r>
      <w:r w:rsidR="00CF255B" w:rsidRPr="001C3C12">
        <w:rPr>
          <w:lang w:val="fr-BE"/>
        </w:rPr>
        <w:t xml:space="preserve"> </w:t>
      </w:r>
      <w:r w:rsidR="00CF255B" w:rsidRPr="00EC124C">
        <w:rPr>
          <w:lang w:val="fr-BE"/>
        </w:rPr>
        <w:t>collaboratrice avec des étapes externalisées</w:t>
      </w:r>
      <w:r w:rsidR="00004BF2">
        <w:rPr>
          <w:lang w:val="fr-FR"/>
        </w:rPr>
        <w:t> »</w:t>
      </w:r>
      <w:r w:rsidRPr="003C2478">
        <w:rPr>
          <w:lang w:val="fr-FR"/>
        </w:rPr>
        <w:t xml:space="preserve"> au cours des trois années précédant la candidature, comme stipulé à l' </w:t>
      </w:r>
      <w:r w:rsidR="006E7BFC">
        <w:fldChar w:fldCharType="begin"/>
      </w:r>
      <w:r w:rsidR="006E7BFC" w:rsidRPr="003C2478">
        <w:rPr>
          <w:lang w:val="fr-FR"/>
        </w:rPr>
        <w:instrText xml:space="preserve"> REF _Ref160184087 \r \h </w:instrText>
      </w:r>
      <w:r w:rsidR="00C359C5" w:rsidRPr="002C2154">
        <w:rPr>
          <w:lang w:val="fr-BE"/>
        </w:rPr>
        <w:instrText xml:space="preserve"> \* MERGEFORMAT </w:instrText>
      </w:r>
      <w:r w:rsidR="006E7BFC">
        <w:fldChar w:fldCharType="separate"/>
      </w:r>
      <w:r w:rsidR="00632018">
        <w:rPr>
          <w:lang w:val="fr-FR"/>
        </w:rPr>
        <w:t>Article 1.3</w:t>
      </w:r>
      <w:r w:rsidR="006E7BFC">
        <w:fldChar w:fldCharType="end"/>
      </w:r>
      <w:r w:rsidR="006E7BFC" w:rsidRPr="003C2478">
        <w:rPr>
          <w:lang w:val="fr-FR"/>
        </w:rPr>
        <w:t xml:space="preserve"> et </w:t>
      </w:r>
      <w:r w:rsidR="006E7BFC">
        <w:fldChar w:fldCharType="begin"/>
      </w:r>
      <w:r w:rsidR="006E7BFC" w:rsidRPr="003C2478">
        <w:rPr>
          <w:lang w:val="fr-FR"/>
        </w:rPr>
        <w:instrText xml:space="preserve"> REF _Ref160184097 \r \h </w:instrText>
      </w:r>
      <w:r w:rsidR="00C359C5" w:rsidRPr="002C2154">
        <w:rPr>
          <w:lang w:val="fr-BE"/>
        </w:rPr>
        <w:instrText xml:space="preserve"> \* MERGEFORMAT </w:instrText>
      </w:r>
      <w:r w:rsidR="006E7BFC">
        <w:fldChar w:fldCharType="separate"/>
      </w:r>
      <w:r w:rsidR="00632018">
        <w:rPr>
          <w:lang w:val="fr-FR"/>
        </w:rPr>
        <w:t>Article 1.4</w:t>
      </w:r>
      <w:r w:rsidR="006E7BFC">
        <w:fldChar w:fldCharType="end"/>
      </w:r>
      <w:r w:rsidRPr="003C2478">
        <w:rPr>
          <w:lang w:val="fr-FR"/>
        </w:rPr>
        <w:t xml:space="preserve"> de la présente convention.</w:t>
      </w:r>
    </w:p>
    <w:p w14:paraId="73753809" w14:textId="2FECDF9B" w:rsidR="002B667A" w:rsidRPr="003C2478" w:rsidRDefault="002E0EA2" w:rsidP="00407B8C">
      <w:pPr>
        <w:pStyle w:val="ListParagraph"/>
        <w:numPr>
          <w:ilvl w:val="0"/>
          <w:numId w:val="12"/>
        </w:numPr>
        <w:jc w:val="both"/>
        <w:rPr>
          <w:lang w:val="fr-FR"/>
        </w:rPr>
      </w:pPr>
      <w:bookmarkStart w:id="7" w:name="_Ref152580104"/>
      <w:r w:rsidRPr="003C2478">
        <w:rPr>
          <w:lang w:val="fr-FR"/>
        </w:rPr>
        <w:t xml:space="preserve">Avoir participé aux évaluations externes de la qualité des NGS en (hémato-) oncologie par le </w:t>
      </w:r>
      <w:r w:rsidR="00004BF2">
        <w:rPr>
          <w:lang w:val="fr-FR"/>
        </w:rPr>
        <w:t>« </w:t>
      </w:r>
      <w:r w:rsidR="00EC16A1" w:rsidRPr="003C2478">
        <w:rPr>
          <w:lang w:val="fr-FR"/>
        </w:rPr>
        <w:t xml:space="preserve"> Service</w:t>
      </w:r>
      <w:r w:rsidR="00CF255B">
        <w:rPr>
          <w:lang w:val="fr-FR"/>
        </w:rPr>
        <w:t xml:space="preserve"> </w:t>
      </w:r>
      <w:r w:rsidR="00CF255B" w:rsidRPr="00CF255B">
        <w:rPr>
          <w:lang w:val="fr-FR"/>
        </w:rPr>
        <w:t xml:space="preserve">Qualité des </w:t>
      </w:r>
      <w:r w:rsidR="00CF255B">
        <w:rPr>
          <w:lang w:val="fr-FR"/>
        </w:rPr>
        <w:t>L</w:t>
      </w:r>
      <w:r w:rsidR="00CF255B" w:rsidRPr="00CF255B">
        <w:rPr>
          <w:lang w:val="fr-FR"/>
        </w:rPr>
        <w:t>aboratoires</w:t>
      </w:r>
      <w:r w:rsidR="00004BF2">
        <w:rPr>
          <w:lang w:val="fr-FR"/>
        </w:rPr>
        <w:t> »</w:t>
      </w:r>
      <w:r w:rsidR="00D11A6C">
        <w:rPr>
          <w:lang w:val="fr-FR"/>
        </w:rPr>
        <w:t xml:space="preserve"> </w:t>
      </w:r>
      <w:r w:rsidR="00EC16A1" w:rsidRPr="003C2478">
        <w:rPr>
          <w:lang w:val="fr-FR"/>
        </w:rPr>
        <w:t xml:space="preserve">de </w:t>
      </w:r>
      <w:r w:rsidRPr="003C2478">
        <w:rPr>
          <w:lang w:val="fr-FR"/>
        </w:rPr>
        <w:t>Sciensano organisées dans les 12 mois précédant la candidature.</w:t>
      </w:r>
    </w:p>
    <w:bookmarkEnd w:id="7"/>
    <w:p w14:paraId="72F39A04" w14:textId="77777777" w:rsidR="002B667A" w:rsidRPr="003C2478" w:rsidRDefault="002E0EA2" w:rsidP="00407B8C">
      <w:pPr>
        <w:pStyle w:val="ListParagraph"/>
        <w:numPr>
          <w:ilvl w:val="0"/>
          <w:numId w:val="12"/>
        </w:numPr>
        <w:jc w:val="both"/>
        <w:rPr>
          <w:lang w:val="fr-FR"/>
        </w:rPr>
      </w:pPr>
      <w:r w:rsidRPr="003C2478">
        <w:rPr>
          <w:lang w:val="fr-FR"/>
        </w:rPr>
        <w:t xml:space="preserve">L'institution satisfait aux exigences minimales en matière de formation et de compétence du personnel du laboratoire de NGS, telles qu'elles sont décrites à l'annexe </w:t>
      </w:r>
      <w:r w:rsidR="00C63BF4" w:rsidRPr="003C2478">
        <w:rPr>
          <w:lang w:val="fr-FR"/>
        </w:rPr>
        <w:t>3</w:t>
      </w:r>
      <w:r w:rsidRPr="003C2478">
        <w:rPr>
          <w:lang w:val="fr-FR"/>
        </w:rPr>
        <w:t>.</w:t>
      </w:r>
    </w:p>
    <w:p w14:paraId="06688943" w14:textId="0355B3A6" w:rsidR="002B667A" w:rsidRPr="003C2478" w:rsidRDefault="002E0EA2" w:rsidP="00407B8C">
      <w:pPr>
        <w:pStyle w:val="ListParagraph"/>
        <w:numPr>
          <w:ilvl w:val="0"/>
          <w:numId w:val="12"/>
        </w:numPr>
        <w:jc w:val="both"/>
        <w:rPr>
          <w:lang w:val="fr-FR"/>
        </w:rPr>
      </w:pPr>
      <w:bookmarkStart w:id="8" w:name="_Ref152580109"/>
      <w:r w:rsidRPr="003C2478">
        <w:rPr>
          <w:lang w:val="fr-FR"/>
        </w:rPr>
        <w:t xml:space="preserve">L'institution soumet à la seconde partie </w:t>
      </w:r>
      <w:r w:rsidR="001D411C" w:rsidRPr="003C2478">
        <w:rPr>
          <w:lang w:val="fr-FR"/>
        </w:rPr>
        <w:t xml:space="preserve">et au </w:t>
      </w:r>
      <w:r w:rsidR="00004BF2">
        <w:rPr>
          <w:lang w:val="fr-FR"/>
        </w:rPr>
        <w:t>« </w:t>
      </w:r>
      <w:r w:rsidR="00CF255B" w:rsidRPr="003C2478">
        <w:rPr>
          <w:lang w:val="fr-FR"/>
        </w:rPr>
        <w:t>Service</w:t>
      </w:r>
      <w:r w:rsidR="00CF255B">
        <w:rPr>
          <w:lang w:val="fr-FR"/>
        </w:rPr>
        <w:t xml:space="preserve"> </w:t>
      </w:r>
      <w:r w:rsidR="00CF255B" w:rsidRPr="00CF255B">
        <w:rPr>
          <w:lang w:val="fr-FR"/>
        </w:rPr>
        <w:t xml:space="preserve">Qualité des </w:t>
      </w:r>
      <w:r w:rsidR="00CF255B">
        <w:rPr>
          <w:lang w:val="fr-FR"/>
        </w:rPr>
        <w:t>L</w:t>
      </w:r>
      <w:r w:rsidR="00CF255B" w:rsidRPr="00CF255B">
        <w:rPr>
          <w:lang w:val="fr-FR"/>
        </w:rPr>
        <w:t>aboratoires</w:t>
      </w:r>
      <w:r w:rsidR="00004BF2">
        <w:rPr>
          <w:lang w:val="fr-FR"/>
        </w:rPr>
        <w:t> »</w:t>
      </w:r>
      <w:r w:rsidR="00413C97">
        <w:rPr>
          <w:lang w:val="fr-FR"/>
        </w:rPr>
        <w:t xml:space="preserve"> </w:t>
      </w:r>
      <w:r w:rsidR="001D411C" w:rsidRPr="003C2478">
        <w:rPr>
          <w:lang w:val="fr-FR"/>
        </w:rPr>
        <w:t xml:space="preserve">de Sciensano </w:t>
      </w:r>
      <w:r w:rsidRPr="003C2478">
        <w:rPr>
          <w:lang w:val="fr-FR"/>
        </w:rPr>
        <w:t xml:space="preserve">une liste des indications des annexes </w:t>
      </w:r>
      <w:r w:rsidR="00C63BF4" w:rsidRPr="003C2478">
        <w:rPr>
          <w:lang w:val="fr-FR"/>
        </w:rPr>
        <w:t xml:space="preserve">1 </w:t>
      </w:r>
      <w:r w:rsidRPr="003C2478">
        <w:rPr>
          <w:lang w:val="fr-FR"/>
        </w:rPr>
        <w:t xml:space="preserve">et/ou </w:t>
      </w:r>
      <w:r w:rsidR="00C63BF4" w:rsidRPr="003C2478">
        <w:rPr>
          <w:lang w:val="fr-FR"/>
        </w:rPr>
        <w:t xml:space="preserve">2 </w:t>
      </w:r>
      <w:r w:rsidRPr="003C2478">
        <w:rPr>
          <w:lang w:val="fr-FR"/>
        </w:rPr>
        <w:t>pour lesquelles elle prévoit effectivement d'effectuer des tests NGS.</w:t>
      </w:r>
      <w:r w:rsidR="00413C97">
        <w:rPr>
          <w:lang w:val="fr-FR"/>
        </w:rPr>
        <w:t xml:space="preserve"> </w:t>
      </w:r>
      <w:r w:rsidR="00413C97" w:rsidRPr="00413C97">
        <w:rPr>
          <w:lang w:val="fr-FR"/>
        </w:rPr>
        <w:t xml:space="preserve">Ces indications doivent être couvertes </w:t>
      </w:r>
      <w:r w:rsidR="00413C97">
        <w:rPr>
          <w:lang w:val="fr-FR"/>
        </w:rPr>
        <w:t>par</w:t>
      </w:r>
      <w:r w:rsidR="00413C97" w:rsidRPr="00413C97">
        <w:rPr>
          <w:lang w:val="fr-FR"/>
        </w:rPr>
        <w:t xml:space="preserve"> l'accréditation tel </w:t>
      </w:r>
      <w:r w:rsidR="00413C97">
        <w:rPr>
          <w:lang w:val="fr-FR"/>
        </w:rPr>
        <w:t>que</w:t>
      </w:r>
      <w:r w:rsidR="00413C97" w:rsidRPr="00413C97">
        <w:rPr>
          <w:lang w:val="fr-FR"/>
        </w:rPr>
        <w:t xml:space="preserve"> défini à l'article 1.1, point 2.</w:t>
      </w:r>
    </w:p>
    <w:p w14:paraId="736681EA" w14:textId="052DD970" w:rsidR="002B667A" w:rsidRPr="003C2478" w:rsidRDefault="002E0EA2" w:rsidP="00407B8C">
      <w:pPr>
        <w:pStyle w:val="ListParagraph"/>
        <w:numPr>
          <w:ilvl w:val="0"/>
          <w:numId w:val="12"/>
        </w:numPr>
        <w:jc w:val="both"/>
        <w:rPr>
          <w:lang w:val="fr-FR"/>
        </w:rPr>
      </w:pPr>
      <w:r w:rsidRPr="003C2478">
        <w:rPr>
          <w:lang w:val="fr-FR"/>
        </w:rPr>
        <w:t xml:space="preserve">Le fonctionnement du laboratoire médical garantit un </w:t>
      </w:r>
      <w:r w:rsidR="00193C79" w:rsidRPr="00193C79">
        <w:rPr>
          <w:i/>
          <w:iCs/>
          <w:lang w:val="fr-FR"/>
        </w:rPr>
        <w:t>turn-around-time</w:t>
      </w:r>
      <w:r w:rsidR="00193C79" w:rsidRPr="00193C79">
        <w:rPr>
          <w:lang w:val="fr-FR"/>
        </w:rPr>
        <w:t xml:space="preserve"> </w:t>
      </w:r>
      <w:r w:rsidRPr="00193C79">
        <w:rPr>
          <w:lang w:val="fr-FR"/>
        </w:rPr>
        <w:t xml:space="preserve">de </w:t>
      </w:r>
      <w:r w:rsidRPr="003C2478">
        <w:rPr>
          <w:lang w:val="fr-FR"/>
        </w:rPr>
        <w:t>maximum deux semaines pour les tumeurs solides et de maximum trois semaines pour les</w:t>
      </w:r>
      <w:r w:rsidR="00D11A6C">
        <w:rPr>
          <w:lang w:val="fr-FR"/>
        </w:rPr>
        <w:t xml:space="preserve"> affections</w:t>
      </w:r>
      <w:r w:rsidRPr="003C2478">
        <w:rPr>
          <w:lang w:val="fr-FR"/>
        </w:rPr>
        <w:t xml:space="preserve"> hématologiques </w:t>
      </w:r>
      <w:r w:rsidR="00D11A6C">
        <w:rPr>
          <w:lang w:val="fr-FR"/>
        </w:rPr>
        <w:t xml:space="preserve">aigues </w:t>
      </w:r>
      <w:r w:rsidRPr="003C2478">
        <w:rPr>
          <w:lang w:val="fr-FR"/>
        </w:rPr>
        <w:lastRenderedPageBreak/>
        <w:t xml:space="preserve">(sauf en cas de force majeure ou </w:t>
      </w:r>
      <w:r w:rsidR="00FA5F6C">
        <w:rPr>
          <w:lang w:val="fr-FR"/>
        </w:rPr>
        <w:t>d</w:t>
      </w:r>
      <w:r w:rsidR="00193C79" w:rsidRPr="00193C79">
        <w:rPr>
          <w:lang w:val="fr-FR"/>
        </w:rPr>
        <w:t>'échec</w:t>
      </w:r>
      <w:r w:rsidRPr="003C2478">
        <w:rPr>
          <w:lang w:val="fr-FR"/>
        </w:rPr>
        <w:t xml:space="preserve"> d</w:t>
      </w:r>
      <w:r w:rsidR="00FA5F6C">
        <w:rPr>
          <w:lang w:val="fr-FR"/>
        </w:rPr>
        <w:t>e l’analyse</w:t>
      </w:r>
      <w:r w:rsidRPr="003C2478">
        <w:rPr>
          <w:lang w:val="fr-FR"/>
        </w:rPr>
        <w:t xml:space="preserve"> dans maximum 5 % des cas), à compter </w:t>
      </w:r>
      <w:r w:rsidR="0037679D">
        <w:rPr>
          <w:lang w:val="fr-FR"/>
        </w:rPr>
        <w:t xml:space="preserve">soit </w:t>
      </w:r>
      <w:r w:rsidRPr="003C2478">
        <w:rPr>
          <w:lang w:val="fr-FR"/>
        </w:rPr>
        <w:t xml:space="preserve">du jour de la prescription du test NGS (= jour de la décision d'effectuer un NGS) </w:t>
      </w:r>
      <w:r w:rsidR="0037679D" w:rsidRPr="0037679D">
        <w:rPr>
          <w:lang w:val="fr-FR"/>
        </w:rPr>
        <w:t xml:space="preserve">soit le jour où l'échantillon a été reçu par le laboratoire NGS (si l'échantillon a été reçu par le laboratoire à une date ultérieure) </w:t>
      </w:r>
      <w:r w:rsidRPr="003C2478">
        <w:rPr>
          <w:lang w:val="fr-FR"/>
        </w:rPr>
        <w:t xml:space="preserve">jusqu'au jour de la communication finale du résultat du NGS. </w:t>
      </w:r>
      <w:r w:rsidR="00547A00" w:rsidRPr="003C2478">
        <w:rPr>
          <w:lang w:val="fr-FR"/>
        </w:rPr>
        <w:t>En cas de force majeure</w:t>
      </w:r>
      <w:r w:rsidR="00D11A6C">
        <w:rPr>
          <w:lang w:val="fr-FR"/>
        </w:rPr>
        <w:t>, pour l’analyse de certains types d’échantillons</w:t>
      </w:r>
      <w:r w:rsidR="00547A00" w:rsidRPr="003C2478">
        <w:rPr>
          <w:lang w:val="fr-FR"/>
        </w:rPr>
        <w:t xml:space="preserve"> ou si les </w:t>
      </w:r>
      <w:r w:rsidR="001D1977" w:rsidRPr="003C2478">
        <w:rPr>
          <w:lang w:val="fr-FR"/>
        </w:rPr>
        <w:t xml:space="preserve">échantillons sont occasionnellement insuffisants pour assurer ce </w:t>
      </w:r>
      <w:r w:rsidR="004A78A1" w:rsidRPr="00193C79">
        <w:rPr>
          <w:i/>
          <w:iCs/>
          <w:lang w:val="fr-FR"/>
        </w:rPr>
        <w:t>turn-around-time</w:t>
      </w:r>
      <w:r w:rsidR="001D1977" w:rsidRPr="003C2478">
        <w:rPr>
          <w:lang w:val="fr-FR"/>
        </w:rPr>
        <w:t>, une coopération peut être établie avec une autre institution</w:t>
      </w:r>
      <w:r w:rsidR="004A78A1">
        <w:rPr>
          <w:lang w:val="fr-FR"/>
        </w:rPr>
        <w:t xml:space="preserve"> </w:t>
      </w:r>
      <w:r w:rsidR="001D1977" w:rsidRPr="003C2478">
        <w:rPr>
          <w:lang w:val="fr-FR"/>
        </w:rPr>
        <w:t xml:space="preserve">adhérant à la présente convention afin d'analyser conjointement les échantillons </w:t>
      </w:r>
      <w:r w:rsidR="00547A00" w:rsidRPr="003C2478">
        <w:rPr>
          <w:lang w:val="fr-FR"/>
        </w:rPr>
        <w:t xml:space="preserve">dans ce </w:t>
      </w:r>
      <w:r w:rsidR="004A78A1" w:rsidRPr="00193C79">
        <w:rPr>
          <w:i/>
          <w:iCs/>
          <w:lang w:val="fr-FR"/>
        </w:rPr>
        <w:t>turn-around-time</w:t>
      </w:r>
      <w:r w:rsidR="001D1977" w:rsidRPr="003C2478">
        <w:rPr>
          <w:lang w:val="fr-FR"/>
        </w:rPr>
        <w:t xml:space="preserve">. </w:t>
      </w:r>
      <w:bookmarkEnd w:id="8"/>
      <w:r w:rsidR="006E2319" w:rsidRPr="003C2478">
        <w:rPr>
          <w:lang w:val="fr-FR"/>
        </w:rPr>
        <w:t xml:space="preserve">L'institution qui reçoit </w:t>
      </w:r>
      <w:r w:rsidR="00004BF2">
        <w:rPr>
          <w:lang w:val="fr-FR"/>
        </w:rPr>
        <w:t xml:space="preserve">initialement l’échantillon </w:t>
      </w:r>
      <w:r w:rsidR="005F2D6A" w:rsidRPr="003C2478">
        <w:rPr>
          <w:lang w:val="fr-FR"/>
        </w:rPr>
        <w:t xml:space="preserve">et </w:t>
      </w:r>
      <w:r w:rsidR="00004BF2">
        <w:rPr>
          <w:lang w:val="fr-FR"/>
        </w:rPr>
        <w:t xml:space="preserve">le </w:t>
      </w:r>
      <w:r w:rsidR="005F2D6A" w:rsidRPr="003C2478">
        <w:rPr>
          <w:lang w:val="fr-FR"/>
        </w:rPr>
        <w:t>transmet</w:t>
      </w:r>
      <w:r w:rsidR="00004BF2">
        <w:rPr>
          <w:lang w:val="fr-FR"/>
        </w:rPr>
        <w:t>,</w:t>
      </w:r>
      <w:r w:rsidR="006E2319" w:rsidRPr="003C2478">
        <w:rPr>
          <w:lang w:val="fr-FR"/>
        </w:rPr>
        <w:t xml:space="preserve"> </w:t>
      </w:r>
      <w:r w:rsidR="005F2D6A" w:rsidRPr="003C2478">
        <w:rPr>
          <w:lang w:val="fr-FR"/>
        </w:rPr>
        <w:t xml:space="preserve">reste responsable de l'ensemble de la procédure. </w:t>
      </w:r>
    </w:p>
    <w:p w14:paraId="74928B89" w14:textId="77777777" w:rsidR="00BB5822" w:rsidRPr="003C2478" w:rsidRDefault="00BB5822" w:rsidP="00DA757E">
      <w:pPr>
        <w:jc w:val="both"/>
      </w:pPr>
    </w:p>
    <w:p w14:paraId="3E92DF26" w14:textId="0A49F4A6" w:rsidR="002B667A" w:rsidRPr="001D731A" w:rsidRDefault="002E0EA2" w:rsidP="00DA757E">
      <w:pPr>
        <w:pStyle w:val="Heading2"/>
        <w:jc w:val="both"/>
        <w:rPr>
          <w:rStyle w:val="Geen"/>
          <w:rFonts w:asciiTheme="minorHAnsi" w:eastAsiaTheme="minorHAnsi" w:hAnsiTheme="minorHAnsi" w:cstheme="minorBidi"/>
          <w:sz w:val="24"/>
          <w:szCs w:val="24"/>
          <w:u w:val="none"/>
          <w:lang w:val="fr-BE"/>
        </w:rPr>
      </w:pPr>
      <w:bookmarkStart w:id="9" w:name="_Ref160184087"/>
      <w:bookmarkStart w:id="10" w:name="_Toc215211232"/>
      <w:r w:rsidRPr="003C2478">
        <w:rPr>
          <w:rStyle w:val="Geen"/>
          <w:sz w:val="24"/>
          <w:szCs w:val="24"/>
        </w:rPr>
        <w:t>Les critères minimaux à remplir par la première partie lorsqu'elle participe à la convention en tant qu'</w:t>
      </w:r>
      <w:r w:rsidR="00D64BC2">
        <w:rPr>
          <w:rStyle w:val="Geen"/>
          <w:sz w:val="24"/>
          <w:szCs w:val="24"/>
        </w:rPr>
        <w:t xml:space="preserve"> </w:t>
      </w:r>
      <w:r w:rsidR="00B54DD0">
        <w:rPr>
          <w:rStyle w:val="Geen"/>
          <w:sz w:val="24"/>
          <w:szCs w:val="24"/>
        </w:rPr>
        <w:t>« </w:t>
      </w:r>
      <w:r w:rsidRPr="003C2478">
        <w:rPr>
          <w:rStyle w:val="Geen"/>
          <w:sz w:val="24"/>
          <w:szCs w:val="24"/>
        </w:rPr>
        <w:t xml:space="preserve">institution </w:t>
      </w:r>
      <w:r w:rsidR="00D64BC2">
        <w:rPr>
          <w:rStyle w:val="Geen"/>
          <w:sz w:val="24"/>
          <w:szCs w:val="24"/>
        </w:rPr>
        <w:t>de bas-</w:t>
      </w:r>
      <w:r w:rsidRPr="003C2478">
        <w:rPr>
          <w:rStyle w:val="Geen"/>
          <w:sz w:val="24"/>
          <w:szCs w:val="24"/>
        </w:rPr>
        <w:t>volume</w:t>
      </w:r>
      <w:r w:rsidR="00B54DD0">
        <w:rPr>
          <w:rStyle w:val="Geen"/>
          <w:sz w:val="24"/>
          <w:szCs w:val="24"/>
        </w:rPr>
        <w:t> »</w:t>
      </w:r>
      <w:bookmarkEnd w:id="9"/>
      <w:bookmarkEnd w:id="10"/>
    </w:p>
    <w:p w14:paraId="5BE77E76" w14:textId="77777777" w:rsidR="00A46831" w:rsidRPr="003C2478" w:rsidRDefault="00A46831" w:rsidP="00DA757E">
      <w:pPr>
        <w:spacing w:after="0"/>
        <w:jc w:val="both"/>
      </w:pPr>
    </w:p>
    <w:p w14:paraId="2387996F" w14:textId="503D2358" w:rsidR="002B667A" w:rsidRPr="003C2478" w:rsidRDefault="002E0EA2" w:rsidP="00407B8C">
      <w:pPr>
        <w:pStyle w:val="ListParagraph"/>
        <w:numPr>
          <w:ilvl w:val="0"/>
          <w:numId w:val="9"/>
        </w:numPr>
        <w:jc w:val="both"/>
        <w:rPr>
          <w:lang w:val="fr-FR"/>
        </w:rPr>
      </w:pPr>
      <w:r w:rsidRPr="003C2478">
        <w:rPr>
          <w:lang w:val="fr-FR"/>
        </w:rPr>
        <w:t xml:space="preserve">L'institution n'atteint pas le nombre minimum de tests NGS effectués et remboursés tel que stipulé à </w:t>
      </w:r>
      <w:r w:rsidR="006E7BFC">
        <w:fldChar w:fldCharType="begin"/>
      </w:r>
      <w:r w:rsidR="006E7BFC" w:rsidRPr="003C2478">
        <w:rPr>
          <w:lang w:val="fr-FR"/>
        </w:rPr>
        <w:instrText xml:space="preserve"> REF _Ref160184177 \r \h </w:instrText>
      </w:r>
      <w:r w:rsidR="00C359C5" w:rsidRPr="002C2154">
        <w:rPr>
          <w:lang w:val="fr-BE"/>
        </w:rPr>
        <w:instrText xml:space="preserve"> \* MERGEFORMAT </w:instrText>
      </w:r>
      <w:r w:rsidR="006E7BFC">
        <w:fldChar w:fldCharType="separate"/>
      </w:r>
      <w:r w:rsidR="00632018">
        <w:rPr>
          <w:lang w:val="fr-FR"/>
        </w:rPr>
        <w:t>Article 1.2</w:t>
      </w:r>
      <w:r w:rsidR="006E7BFC">
        <w:fldChar w:fldCharType="end"/>
      </w:r>
      <w:r w:rsidRPr="003C2478">
        <w:rPr>
          <w:lang w:val="fr-FR"/>
        </w:rPr>
        <w:t xml:space="preserve"> pour </w:t>
      </w:r>
      <w:r w:rsidR="00EF3B06" w:rsidRPr="003C2478">
        <w:rPr>
          <w:lang w:val="fr-FR"/>
        </w:rPr>
        <w:t xml:space="preserve">une </w:t>
      </w:r>
      <w:r w:rsidR="00B54DD0">
        <w:rPr>
          <w:lang w:val="fr-FR"/>
        </w:rPr>
        <w:t>« </w:t>
      </w:r>
      <w:r w:rsidR="00DE7949" w:rsidRPr="003C2478">
        <w:rPr>
          <w:lang w:val="fr-FR"/>
        </w:rPr>
        <w:t xml:space="preserve">institution </w:t>
      </w:r>
      <w:r w:rsidR="00D64BC2">
        <w:rPr>
          <w:lang w:val="fr-FR"/>
        </w:rPr>
        <w:t>de</w:t>
      </w:r>
      <w:r w:rsidR="00DE7949" w:rsidRPr="003C2478">
        <w:rPr>
          <w:lang w:val="fr-FR"/>
        </w:rPr>
        <w:t xml:space="preserve"> haut</w:t>
      </w:r>
      <w:r w:rsidR="00D64BC2">
        <w:rPr>
          <w:lang w:val="fr-FR"/>
        </w:rPr>
        <w:t>-</w:t>
      </w:r>
      <w:r w:rsidR="00DE7949" w:rsidRPr="003C2478">
        <w:rPr>
          <w:lang w:val="fr-FR"/>
        </w:rPr>
        <w:t>volume</w:t>
      </w:r>
      <w:r w:rsidR="00B54DD0">
        <w:rPr>
          <w:lang w:val="fr-FR"/>
        </w:rPr>
        <w:t> »</w:t>
      </w:r>
      <w:r w:rsidRPr="003C2478">
        <w:rPr>
          <w:lang w:val="fr-FR"/>
        </w:rPr>
        <w:t>.</w:t>
      </w:r>
    </w:p>
    <w:p w14:paraId="24160EFE" w14:textId="131BDC5D" w:rsidR="002B667A" w:rsidRPr="003C2478" w:rsidRDefault="002E0EA2" w:rsidP="00407B8C">
      <w:pPr>
        <w:pStyle w:val="ListParagraph"/>
        <w:numPr>
          <w:ilvl w:val="0"/>
          <w:numId w:val="9"/>
        </w:numPr>
        <w:jc w:val="both"/>
        <w:rPr>
          <w:lang w:val="fr-FR"/>
        </w:rPr>
      </w:pPr>
      <w:r w:rsidRPr="003C2478">
        <w:rPr>
          <w:lang w:val="fr-FR"/>
        </w:rPr>
        <w:t>L'</w:t>
      </w:r>
      <w:r w:rsidR="001D1977" w:rsidRPr="003C2478">
        <w:rPr>
          <w:lang w:val="fr-FR"/>
        </w:rPr>
        <w:t xml:space="preserve">institution </w:t>
      </w:r>
      <w:r w:rsidR="00D64BC2">
        <w:rPr>
          <w:lang w:val="fr-FR"/>
        </w:rPr>
        <w:t>de bas-</w:t>
      </w:r>
      <w:r w:rsidR="00BB5822" w:rsidRPr="003C2478">
        <w:rPr>
          <w:lang w:val="fr-FR"/>
        </w:rPr>
        <w:t xml:space="preserve">volume coopère avec une </w:t>
      </w:r>
      <w:r w:rsidR="001D1977" w:rsidRPr="003C2478">
        <w:rPr>
          <w:lang w:val="fr-FR"/>
        </w:rPr>
        <w:t xml:space="preserve">institution </w:t>
      </w:r>
      <w:r w:rsidR="00D64BC2">
        <w:rPr>
          <w:lang w:val="fr-FR"/>
        </w:rPr>
        <w:t>de haut-</w:t>
      </w:r>
      <w:r w:rsidR="00BB5822" w:rsidRPr="003C2478">
        <w:rPr>
          <w:lang w:val="fr-FR"/>
        </w:rPr>
        <w:t xml:space="preserve">volume </w:t>
      </w:r>
      <w:r w:rsidR="00F01313" w:rsidRPr="003C2478">
        <w:rPr>
          <w:lang w:val="fr-FR"/>
        </w:rPr>
        <w:t>qui</w:t>
      </w:r>
      <w:r w:rsidR="00B54DD0">
        <w:rPr>
          <w:lang w:val="fr-FR"/>
        </w:rPr>
        <w:t xml:space="preserve"> adhère </w:t>
      </w:r>
      <w:r w:rsidR="00BB5822" w:rsidRPr="003C2478">
        <w:rPr>
          <w:lang w:val="fr-FR"/>
        </w:rPr>
        <w:t xml:space="preserve">à la présente convention sur la base des critères </w:t>
      </w:r>
      <w:r w:rsidR="002108C2" w:rsidRPr="003C2478">
        <w:rPr>
          <w:lang w:val="fr-FR"/>
        </w:rPr>
        <w:t xml:space="preserve">énoncés à </w:t>
      </w:r>
      <w:r w:rsidR="002108C2" w:rsidRPr="00FB72AB">
        <w:fldChar w:fldCharType="begin"/>
      </w:r>
      <w:r w:rsidR="002108C2" w:rsidRPr="003C2478">
        <w:rPr>
          <w:lang w:val="fr-FR"/>
        </w:rPr>
        <w:instrText xml:space="preserve"> REF _Ref160184177 \r \h </w:instrText>
      </w:r>
      <w:r w:rsidR="00FB72AB" w:rsidRPr="003C2478">
        <w:rPr>
          <w:lang w:val="fr-FR"/>
        </w:rPr>
        <w:instrText xml:space="preserve"> \* MERGEFORMAT </w:instrText>
      </w:r>
      <w:r w:rsidR="002108C2" w:rsidRPr="00FB72AB">
        <w:fldChar w:fldCharType="separate"/>
      </w:r>
      <w:r w:rsidR="00632018">
        <w:rPr>
          <w:lang w:val="fr-FR"/>
        </w:rPr>
        <w:t>Article 1.2</w:t>
      </w:r>
      <w:r w:rsidR="002108C2" w:rsidRPr="00FB72AB">
        <w:fldChar w:fldCharType="end"/>
      </w:r>
      <w:r w:rsidR="00BB5822" w:rsidRPr="003C2478">
        <w:rPr>
          <w:lang w:val="fr-FR"/>
        </w:rPr>
        <w:t xml:space="preserve">. </w:t>
      </w:r>
      <w:r w:rsidR="00A56510" w:rsidRPr="003C2478">
        <w:rPr>
          <w:lang w:val="fr-FR"/>
        </w:rPr>
        <w:t xml:space="preserve">Cette institution </w:t>
      </w:r>
      <w:r w:rsidR="00D64BC2">
        <w:rPr>
          <w:lang w:val="fr-FR"/>
        </w:rPr>
        <w:t>de haut-</w:t>
      </w:r>
      <w:r w:rsidR="00A56510" w:rsidRPr="003C2478">
        <w:rPr>
          <w:lang w:val="fr-FR"/>
        </w:rPr>
        <w:t xml:space="preserve">volume </w:t>
      </w:r>
      <w:r w:rsidR="00D11A6C">
        <w:rPr>
          <w:lang w:val="fr-FR"/>
        </w:rPr>
        <w:t>donne un soutien à l’institution de bas-volume pour assurer</w:t>
      </w:r>
      <w:r w:rsidR="00A56510" w:rsidRPr="003C2478">
        <w:rPr>
          <w:lang w:val="fr-FR"/>
        </w:rPr>
        <w:t xml:space="preserve"> la </w:t>
      </w:r>
      <w:r w:rsidR="00820774" w:rsidRPr="003C2478">
        <w:rPr>
          <w:lang w:val="fr-FR"/>
        </w:rPr>
        <w:t>qualité technique et clinique des analyses effectuées par l'</w:t>
      </w:r>
      <w:r w:rsidR="00A56510" w:rsidRPr="003C2478">
        <w:rPr>
          <w:lang w:val="fr-FR"/>
        </w:rPr>
        <w:t xml:space="preserve">institution </w:t>
      </w:r>
      <w:r w:rsidR="00D64BC2">
        <w:rPr>
          <w:lang w:val="fr-FR"/>
        </w:rPr>
        <w:t>de bas-</w:t>
      </w:r>
      <w:r w:rsidR="00820774" w:rsidRPr="003C2478">
        <w:rPr>
          <w:lang w:val="fr-FR"/>
        </w:rPr>
        <w:t xml:space="preserve">volume. </w:t>
      </w:r>
      <w:r w:rsidR="00BB5822" w:rsidRPr="003C2478">
        <w:rPr>
          <w:lang w:val="fr-FR"/>
        </w:rPr>
        <w:t xml:space="preserve">Cette coopération fait l'objet d'un </w:t>
      </w:r>
      <w:r w:rsidR="00ED51D7" w:rsidRPr="00ED51D7">
        <w:rPr>
          <w:lang w:val="fr-FR"/>
        </w:rPr>
        <w:t xml:space="preserve">Service Level Agreement </w:t>
      </w:r>
      <w:r w:rsidR="00BB5822" w:rsidRPr="003C2478">
        <w:rPr>
          <w:lang w:val="fr-FR"/>
        </w:rPr>
        <w:t>(SLA)</w:t>
      </w:r>
      <w:r w:rsidRPr="003C2478">
        <w:rPr>
          <w:lang w:val="fr-FR"/>
        </w:rPr>
        <w:t xml:space="preserve">, qui répond au moins aux critères de l'annexe </w:t>
      </w:r>
      <w:r w:rsidR="00492074" w:rsidRPr="003C2478">
        <w:rPr>
          <w:lang w:val="fr-FR"/>
        </w:rPr>
        <w:t>4</w:t>
      </w:r>
      <w:r w:rsidR="00BB5822" w:rsidRPr="003C2478">
        <w:rPr>
          <w:lang w:val="fr-FR"/>
        </w:rPr>
        <w:t xml:space="preserve">. </w:t>
      </w:r>
    </w:p>
    <w:p w14:paraId="7D49EDAD" w14:textId="3B8C7CA5" w:rsidR="002B667A" w:rsidRPr="003C2478" w:rsidRDefault="002E0EA2" w:rsidP="00407B8C">
      <w:pPr>
        <w:pStyle w:val="ListParagraph"/>
        <w:numPr>
          <w:ilvl w:val="0"/>
          <w:numId w:val="9"/>
        </w:numPr>
        <w:jc w:val="both"/>
        <w:rPr>
          <w:lang w:val="fr-FR"/>
        </w:rPr>
      </w:pPr>
      <w:r w:rsidRPr="003C2478">
        <w:rPr>
          <w:lang w:val="fr-FR"/>
        </w:rPr>
        <w:t xml:space="preserve">L'institution </w:t>
      </w:r>
      <w:r w:rsidR="00B54DD0">
        <w:rPr>
          <w:lang w:val="fr-FR"/>
        </w:rPr>
        <w:t xml:space="preserve">de </w:t>
      </w:r>
      <w:r w:rsidR="00ED51D7">
        <w:rPr>
          <w:lang w:val="fr-FR"/>
        </w:rPr>
        <w:t>bas-</w:t>
      </w:r>
      <w:r w:rsidR="00A46831" w:rsidRPr="003C2478">
        <w:rPr>
          <w:lang w:val="fr-FR"/>
        </w:rPr>
        <w:t xml:space="preserve">volume a participé aux </w:t>
      </w:r>
      <w:r w:rsidR="00EC16A1" w:rsidRPr="003C2478">
        <w:rPr>
          <w:lang w:val="fr-FR"/>
        </w:rPr>
        <w:t>évaluations externes de la qualité d</w:t>
      </w:r>
      <w:r w:rsidR="00B54DD0">
        <w:rPr>
          <w:lang w:val="fr-FR"/>
        </w:rPr>
        <w:t>u</w:t>
      </w:r>
      <w:r w:rsidR="00EC16A1" w:rsidRPr="003C2478">
        <w:rPr>
          <w:lang w:val="fr-FR"/>
        </w:rPr>
        <w:t xml:space="preserve"> NGS en (hémato-) oncologie par le </w:t>
      </w:r>
      <w:r w:rsidR="00B54DD0">
        <w:rPr>
          <w:lang w:val="fr-FR"/>
        </w:rPr>
        <w:t>« </w:t>
      </w:r>
      <w:r w:rsidR="00ED51D7" w:rsidRPr="003C2478">
        <w:rPr>
          <w:lang w:val="fr-FR"/>
        </w:rPr>
        <w:t>Service</w:t>
      </w:r>
      <w:r w:rsidR="00ED51D7">
        <w:rPr>
          <w:lang w:val="fr-FR"/>
        </w:rPr>
        <w:t xml:space="preserve"> </w:t>
      </w:r>
      <w:r w:rsidR="00ED51D7" w:rsidRPr="00CF255B">
        <w:rPr>
          <w:lang w:val="fr-FR"/>
        </w:rPr>
        <w:t xml:space="preserve">Qualité des </w:t>
      </w:r>
      <w:r w:rsidR="00ED51D7">
        <w:rPr>
          <w:lang w:val="fr-FR"/>
        </w:rPr>
        <w:t>L</w:t>
      </w:r>
      <w:r w:rsidR="00ED51D7" w:rsidRPr="00CF255B">
        <w:rPr>
          <w:lang w:val="fr-FR"/>
        </w:rPr>
        <w:t>aboratoires</w:t>
      </w:r>
      <w:r w:rsidR="00B54DD0">
        <w:rPr>
          <w:lang w:val="fr-FR"/>
        </w:rPr>
        <w:t> »</w:t>
      </w:r>
      <w:r w:rsidR="00EC16A1" w:rsidRPr="003C2478">
        <w:rPr>
          <w:lang w:val="fr-FR"/>
        </w:rPr>
        <w:t xml:space="preserve"> de Sciensano, organisées au cours des 12 mois précédant la candidature.</w:t>
      </w:r>
    </w:p>
    <w:p w14:paraId="6745674F" w14:textId="4A3FD3E5" w:rsidR="00413BAA" w:rsidRPr="003C2478" w:rsidRDefault="00413BAA" w:rsidP="00407B8C">
      <w:pPr>
        <w:pStyle w:val="ListParagraph"/>
        <w:numPr>
          <w:ilvl w:val="0"/>
          <w:numId w:val="9"/>
        </w:numPr>
        <w:jc w:val="both"/>
        <w:rPr>
          <w:lang w:val="fr-FR"/>
        </w:rPr>
      </w:pPr>
      <w:r w:rsidRPr="003C2478">
        <w:rPr>
          <w:lang w:val="fr-FR"/>
        </w:rPr>
        <w:t xml:space="preserve">L'institution </w:t>
      </w:r>
      <w:r>
        <w:rPr>
          <w:lang w:val="fr-FR"/>
        </w:rPr>
        <w:t xml:space="preserve">de haut-volume </w:t>
      </w:r>
      <w:r w:rsidRPr="003C2478">
        <w:rPr>
          <w:lang w:val="fr-FR"/>
        </w:rPr>
        <w:t>nomme un coord</w:t>
      </w:r>
      <w:r w:rsidR="002A09C0">
        <w:rPr>
          <w:lang w:val="fr-FR"/>
        </w:rPr>
        <w:t>onnateur</w:t>
      </w:r>
      <w:r w:rsidRPr="003C2478">
        <w:rPr>
          <w:lang w:val="fr-FR"/>
        </w:rPr>
        <w:t xml:space="preserve"> qui organise et suit la coopération avec l'institution </w:t>
      </w:r>
      <w:r>
        <w:rPr>
          <w:lang w:val="fr-FR"/>
        </w:rPr>
        <w:t>de bas-volume</w:t>
      </w:r>
      <w:r w:rsidRPr="003C2478">
        <w:rPr>
          <w:lang w:val="fr-FR"/>
        </w:rPr>
        <w:t>.</w:t>
      </w:r>
    </w:p>
    <w:p w14:paraId="18300A06" w14:textId="35659D3A" w:rsidR="002B667A" w:rsidRPr="003C2478" w:rsidRDefault="002E0EA2" w:rsidP="00407B8C">
      <w:pPr>
        <w:pStyle w:val="ListParagraph"/>
        <w:numPr>
          <w:ilvl w:val="0"/>
          <w:numId w:val="9"/>
        </w:numPr>
        <w:jc w:val="both"/>
        <w:rPr>
          <w:lang w:val="fr-FR"/>
        </w:rPr>
      </w:pPr>
      <w:r w:rsidRPr="003C2478">
        <w:rPr>
          <w:lang w:val="fr-FR"/>
        </w:rPr>
        <w:t xml:space="preserve">L'institution </w:t>
      </w:r>
      <w:r w:rsidR="00ED51D7">
        <w:rPr>
          <w:lang w:val="fr-FR"/>
        </w:rPr>
        <w:t xml:space="preserve">de bas-volume </w:t>
      </w:r>
      <w:r w:rsidRPr="003C2478">
        <w:rPr>
          <w:lang w:val="fr-FR"/>
        </w:rPr>
        <w:t xml:space="preserve">soumet à la seconde partie </w:t>
      </w:r>
      <w:r w:rsidR="001D411C" w:rsidRPr="003C2478">
        <w:rPr>
          <w:lang w:val="fr-FR"/>
        </w:rPr>
        <w:t xml:space="preserve">et au </w:t>
      </w:r>
      <w:r w:rsidR="00B54DD0">
        <w:rPr>
          <w:lang w:val="fr-FR"/>
        </w:rPr>
        <w:t>« </w:t>
      </w:r>
      <w:r w:rsidR="00ED51D7" w:rsidRPr="003C2478">
        <w:rPr>
          <w:lang w:val="fr-FR"/>
        </w:rPr>
        <w:t>Service</w:t>
      </w:r>
      <w:r w:rsidR="00ED51D7">
        <w:rPr>
          <w:lang w:val="fr-FR"/>
        </w:rPr>
        <w:t xml:space="preserve"> </w:t>
      </w:r>
      <w:r w:rsidR="00ED51D7" w:rsidRPr="00CF255B">
        <w:rPr>
          <w:lang w:val="fr-FR"/>
        </w:rPr>
        <w:t xml:space="preserve">Qualité des </w:t>
      </w:r>
      <w:r w:rsidR="00ED51D7">
        <w:rPr>
          <w:lang w:val="fr-FR"/>
        </w:rPr>
        <w:t>L</w:t>
      </w:r>
      <w:r w:rsidR="00ED51D7" w:rsidRPr="00CF255B">
        <w:rPr>
          <w:lang w:val="fr-FR"/>
        </w:rPr>
        <w:t>aboratoires</w:t>
      </w:r>
      <w:r w:rsidR="00B54DD0">
        <w:rPr>
          <w:lang w:val="fr-FR"/>
        </w:rPr>
        <w:t> »</w:t>
      </w:r>
      <w:r w:rsidR="001D411C" w:rsidRPr="003C2478">
        <w:rPr>
          <w:lang w:val="fr-FR"/>
        </w:rPr>
        <w:t xml:space="preserve"> de Sciensano </w:t>
      </w:r>
      <w:r w:rsidRPr="003C2478">
        <w:rPr>
          <w:lang w:val="fr-FR"/>
        </w:rPr>
        <w:t xml:space="preserve">une liste des indications des annexes </w:t>
      </w:r>
      <w:r w:rsidR="00492074" w:rsidRPr="003C2478">
        <w:rPr>
          <w:lang w:val="fr-FR"/>
        </w:rPr>
        <w:t xml:space="preserve">1 </w:t>
      </w:r>
      <w:r w:rsidRPr="003C2478">
        <w:rPr>
          <w:lang w:val="fr-FR"/>
        </w:rPr>
        <w:t xml:space="preserve">et/ou </w:t>
      </w:r>
      <w:r w:rsidR="00492074" w:rsidRPr="003C2478">
        <w:rPr>
          <w:lang w:val="fr-FR"/>
        </w:rPr>
        <w:t xml:space="preserve">2 </w:t>
      </w:r>
      <w:r w:rsidRPr="003C2478">
        <w:rPr>
          <w:lang w:val="fr-FR"/>
        </w:rPr>
        <w:t xml:space="preserve">pour lesquelles elle prévoit effectivement d'effectuer des tests NGS. </w:t>
      </w:r>
      <w:r w:rsidR="00EE1AB6" w:rsidRPr="00413C97">
        <w:rPr>
          <w:lang w:val="fr-FR"/>
        </w:rPr>
        <w:t xml:space="preserve">Ces indications doivent être couvertes </w:t>
      </w:r>
      <w:r w:rsidR="00EE1AB6">
        <w:rPr>
          <w:lang w:val="fr-FR"/>
        </w:rPr>
        <w:t>par</w:t>
      </w:r>
      <w:r w:rsidR="00EE1AB6" w:rsidRPr="00413C97">
        <w:rPr>
          <w:lang w:val="fr-FR"/>
        </w:rPr>
        <w:t xml:space="preserve"> l'accréditation tel </w:t>
      </w:r>
      <w:r w:rsidR="00EE1AB6">
        <w:rPr>
          <w:lang w:val="fr-FR"/>
        </w:rPr>
        <w:t>que</w:t>
      </w:r>
      <w:r w:rsidR="00EE1AB6" w:rsidRPr="00413C97">
        <w:rPr>
          <w:lang w:val="fr-FR"/>
        </w:rPr>
        <w:t xml:space="preserve"> défini à l'article 1.1, point 2.</w:t>
      </w:r>
      <w:r w:rsidR="00EE1AB6">
        <w:rPr>
          <w:lang w:val="fr-FR"/>
        </w:rPr>
        <w:t xml:space="preserve"> </w:t>
      </w:r>
      <w:r w:rsidR="0091097D" w:rsidRPr="003C2478">
        <w:rPr>
          <w:lang w:val="fr-FR"/>
        </w:rPr>
        <w:t>Cette liste est cosignée (numériquement) par le coord</w:t>
      </w:r>
      <w:r w:rsidR="002A09C0">
        <w:rPr>
          <w:lang w:val="fr-FR"/>
        </w:rPr>
        <w:t>onnateur</w:t>
      </w:r>
      <w:r w:rsidR="0091097D" w:rsidRPr="003C2478">
        <w:rPr>
          <w:lang w:val="fr-FR"/>
        </w:rPr>
        <w:t xml:space="preserve"> de l'institution à haut volume. </w:t>
      </w:r>
      <w:r w:rsidR="00EF3B06" w:rsidRPr="003C2478">
        <w:rPr>
          <w:lang w:val="fr-FR"/>
        </w:rPr>
        <w:t xml:space="preserve">L'institution </w:t>
      </w:r>
      <w:r w:rsidR="00ED51D7">
        <w:rPr>
          <w:lang w:val="fr-FR"/>
        </w:rPr>
        <w:t xml:space="preserve">de bas-volume </w:t>
      </w:r>
      <w:r w:rsidR="00BB5822" w:rsidRPr="003C2478">
        <w:rPr>
          <w:lang w:val="fr-FR"/>
        </w:rPr>
        <w:t xml:space="preserve">effectue toutes les étapes de la procédure NGS pour </w:t>
      </w:r>
      <w:r w:rsidRPr="003C2478">
        <w:rPr>
          <w:lang w:val="fr-FR"/>
        </w:rPr>
        <w:t xml:space="preserve">ces </w:t>
      </w:r>
      <w:r w:rsidR="00BB5822" w:rsidRPr="003C2478">
        <w:rPr>
          <w:lang w:val="fr-FR"/>
        </w:rPr>
        <w:t>indications</w:t>
      </w:r>
      <w:r w:rsidR="00EF249F" w:rsidRPr="003C2478">
        <w:rPr>
          <w:lang w:val="fr-FR"/>
        </w:rPr>
        <w:t xml:space="preserve">. </w:t>
      </w:r>
    </w:p>
    <w:p w14:paraId="6147D249" w14:textId="7A55C418" w:rsidR="002B667A" w:rsidRPr="003C2478" w:rsidRDefault="002E0EA2" w:rsidP="00407B8C">
      <w:pPr>
        <w:pStyle w:val="ListParagraph"/>
        <w:numPr>
          <w:ilvl w:val="0"/>
          <w:numId w:val="9"/>
        </w:numPr>
        <w:jc w:val="both"/>
        <w:rPr>
          <w:lang w:val="fr-FR"/>
        </w:rPr>
      </w:pPr>
      <w:r w:rsidRPr="003C2478">
        <w:rPr>
          <w:lang w:val="fr-FR"/>
        </w:rPr>
        <w:t xml:space="preserve">L'institution </w:t>
      </w:r>
      <w:r w:rsidR="00ED51D7">
        <w:rPr>
          <w:lang w:val="fr-FR"/>
        </w:rPr>
        <w:t xml:space="preserve">de bas-volume </w:t>
      </w:r>
      <w:r w:rsidRPr="003C2478">
        <w:rPr>
          <w:lang w:val="fr-FR"/>
        </w:rPr>
        <w:t>organise un</w:t>
      </w:r>
      <w:r w:rsidR="00297CEB">
        <w:rPr>
          <w:lang w:val="fr-FR"/>
        </w:rPr>
        <w:t>e Concertation Technique</w:t>
      </w:r>
      <w:r w:rsidR="00413BAA">
        <w:rPr>
          <w:lang w:val="fr-FR"/>
        </w:rPr>
        <w:t xml:space="preserve"> </w:t>
      </w:r>
      <w:r w:rsidRPr="003C2478">
        <w:rPr>
          <w:lang w:val="fr-FR"/>
        </w:rPr>
        <w:t>au moins une fois par mois</w:t>
      </w:r>
      <w:r w:rsidR="006733A4" w:rsidRPr="003C2478">
        <w:rPr>
          <w:lang w:val="fr-FR"/>
        </w:rPr>
        <w:t xml:space="preserve">. </w:t>
      </w:r>
      <w:r w:rsidR="00297CEB">
        <w:rPr>
          <w:lang w:val="fr-FR"/>
        </w:rPr>
        <w:t>Dans cette Concertation Technique</w:t>
      </w:r>
      <w:r w:rsidR="006733A4" w:rsidRPr="003C2478">
        <w:rPr>
          <w:lang w:val="fr-FR"/>
        </w:rPr>
        <w:t xml:space="preserve"> tous les </w:t>
      </w:r>
      <w:r w:rsidR="004A1224" w:rsidRPr="003C2478">
        <w:rPr>
          <w:lang w:val="fr-FR"/>
        </w:rPr>
        <w:t xml:space="preserve">échantillons présentant un </w:t>
      </w:r>
      <w:r w:rsidR="00B54DD0">
        <w:rPr>
          <w:lang w:val="fr-FR"/>
        </w:rPr>
        <w:t>« </w:t>
      </w:r>
      <w:r w:rsidR="00413BAA" w:rsidRPr="00413BAA">
        <w:rPr>
          <w:i/>
          <w:iCs/>
          <w:lang w:val="fr-FR"/>
        </w:rPr>
        <w:t>variant of unknown significance</w:t>
      </w:r>
      <w:r w:rsidR="00B54DD0">
        <w:rPr>
          <w:lang w:val="fr-FR"/>
        </w:rPr>
        <w:t> »</w:t>
      </w:r>
      <w:r w:rsidR="00E13A35" w:rsidRPr="003C2478">
        <w:rPr>
          <w:lang w:val="fr-FR"/>
        </w:rPr>
        <w:t xml:space="preserve"> (</w:t>
      </w:r>
      <w:r w:rsidR="004A1224" w:rsidRPr="003C2478">
        <w:rPr>
          <w:lang w:val="fr-FR"/>
        </w:rPr>
        <w:t>VUS</w:t>
      </w:r>
      <w:r w:rsidR="00E13A35" w:rsidRPr="003C2478">
        <w:rPr>
          <w:lang w:val="fr-FR"/>
        </w:rPr>
        <w:t xml:space="preserve">) </w:t>
      </w:r>
      <w:r w:rsidR="004A1224" w:rsidRPr="003C2478">
        <w:rPr>
          <w:lang w:val="fr-FR"/>
        </w:rPr>
        <w:t xml:space="preserve">dans un biomarqueur du panel minimal </w:t>
      </w:r>
      <w:r w:rsidR="00E13A35" w:rsidRPr="003C2478">
        <w:rPr>
          <w:lang w:val="fr-FR"/>
        </w:rPr>
        <w:t xml:space="preserve">pour cette indication, décrit dans les annexes </w:t>
      </w:r>
      <w:r w:rsidR="00492074" w:rsidRPr="003C2478">
        <w:rPr>
          <w:lang w:val="fr-FR"/>
        </w:rPr>
        <w:t xml:space="preserve">1 </w:t>
      </w:r>
      <w:r w:rsidR="00E13A35" w:rsidRPr="003C2478">
        <w:rPr>
          <w:lang w:val="fr-FR"/>
        </w:rPr>
        <w:t xml:space="preserve">et </w:t>
      </w:r>
      <w:r w:rsidR="00492074" w:rsidRPr="003C2478">
        <w:rPr>
          <w:lang w:val="fr-FR"/>
        </w:rPr>
        <w:t>2</w:t>
      </w:r>
      <w:r w:rsidR="00E13A35" w:rsidRPr="003C2478">
        <w:rPr>
          <w:lang w:val="fr-FR"/>
        </w:rPr>
        <w:t xml:space="preserve">, </w:t>
      </w:r>
      <w:r w:rsidR="006733A4" w:rsidRPr="003C2478">
        <w:rPr>
          <w:lang w:val="fr-FR"/>
        </w:rPr>
        <w:t xml:space="preserve">et/ou des échantillons présentant un variant dans un biomarqueur qui peut être </w:t>
      </w:r>
      <w:r w:rsidR="00E138F0" w:rsidRPr="003C2478">
        <w:rPr>
          <w:lang w:val="fr-FR"/>
        </w:rPr>
        <w:t>héréditaire</w:t>
      </w:r>
      <w:r w:rsidR="00297CEB">
        <w:rPr>
          <w:lang w:val="fr-FR"/>
        </w:rPr>
        <w:t xml:space="preserve"> sont discutés</w:t>
      </w:r>
      <w:r w:rsidRPr="003C2478">
        <w:rPr>
          <w:lang w:val="fr-FR"/>
        </w:rPr>
        <w:t>. Ce</w:t>
      </w:r>
      <w:r w:rsidR="00297CEB">
        <w:rPr>
          <w:lang w:val="fr-FR"/>
        </w:rPr>
        <w:t>tte Concertation Technique</w:t>
      </w:r>
      <w:r w:rsidR="00413BAA">
        <w:rPr>
          <w:lang w:val="fr-FR"/>
        </w:rPr>
        <w:t xml:space="preserve"> </w:t>
      </w:r>
      <w:r w:rsidR="00E138F0" w:rsidRPr="003C2478">
        <w:rPr>
          <w:lang w:val="fr-FR"/>
        </w:rPr>
        <w:t>comprend, outre les membres de l'</w:t>
      </w:r>
      <w:r w:rsidRPr="003C2478">
        <w:rPr>
          <w:lang w:val="fr-FR"/>
        </w:rPr>
        <w:t xml:space="preserve">institution </w:t>
      </w:r>
      <w:r w:rsidR="00413BAA">
        <w:rPr>
          <w:lang w:val="fr-FR"/>
        </w:rPr>
        <w:t>de bas-volume</w:t>
      </w:r>
      <w:r w:rsidR="00E138F0" w:rsidRPr="003C2478">
        <w:rPr>
          <w:lang w:val="fr-FR"/>
        </w:rPr>
        <w:t xml:space="preserve">, le </w:t>
      </w:r>
      <w:r w:rsidRPr="003C2478">
        <w:rPr>
          <w:lang w:val="fr-FR"/>
        </w:rPr>
        <w:t>coord</w:t>
      </w:r>
      <w:r w:rsidR="002A09C0">
        <w:rPr>
          <w:lang w:val="fr-FR"/>
        </w:rPr>
        <w:t>onnateur</w:t>
      </w:r>
      <w:r w:rsidRPr="003C2478">
        <w:rPr>
          <w:lang w:val="fr-FR"/>
        </w:rPr>
        <w:t xml:space="preserve"> de l'institution </w:t>
      </w:r>
      <w:r w:rsidR="00257B99">
        <w:rPr>
          <w:lang w:val="fr-FR"/>
        </w:rPr>
        <w:t>de haut-volume</w:t>
      </w:r>
      <w:r w:rsidRPr="003C2478">
        <w:rPr>
          <w:lang w:val="fr-FR"/>
        </w:rPr>
        <w:t xml:space="preserve"> </w:t>
      </w:r>
      <w:r w:rsidR="00437B52" w:rsidRPr="003C2478">
        <w:rPr>
          <w:lang w:val="fr-FR"/>
        </w:rPr>
        <w:t xml:space="preserve">et doit être </w:t>
      </w:r>
      <w:r w:rsidRPr="003C2478">
        <w:rPr>
          <w:lang w:val="fr-FR"/>
        </w:rPr>
        <w:t xml:space="preserve">complété par </w:t>
      </w:r>
      <w:r w:rsidR="00437B52" w:rsidRPr="003C2478">
        <w:rPr>
          <w:lang w:val="fr-FR"/>
        </w:rPr>
        <w:t xml:space="preserve">le </w:t>
      </w:r>
      <w:r w:rsidR="00AA7DA2" w:rsidRPr="003C2478">
        <w:rPr>
          <w:lang w:val="fr-FR"/>
        </w:rPr>
        <w:t xml:space="preserve">généticien </w:t>
      </w:r>
      <w:r w:rsidR="00297CEB">
        <w:rPr>
          <w:lang w:val="fr-FR"/>
        </w:rPr>
        <w:t xml:space="preserve">clinique coordonnateur </w:t>
      </w:r>
      <w:r w:rsidR="003B5619">
        <w:rPr>
          <w:lang w:val="fr-FR"/>
        </w:rPr>
        <w:t xml:space="preserve">reconnu </w:t>
      </w:r>
      <w:r w:rsidR="00297CEB">
        <w:rPr>
          <w:lang w:val="fr-FR"/>
        </w:rPr>
        <w:t xml:space="preserve">ou son délégué, comme décrit dans l’annexe 4, </w:t>
      </w:r>
      <w:r w:rsidR="006C460F">
        <w:rPr>
          <w:lang w:val="fr-FR"/>
        </w:rPr>
        <w:t>« exigences minimales pour un SLA-CGH » point 2,</w:t>
      </w:r>
      <w:r w:rsidR="00827C6D" w:rsidRPr="003C2478">
        <w:rPr>
          <w:lang w:val="fr-FR"/>
        </w:rPr>
        <w:t xml:space="preserve"> pour </w:t>
      </w:r>
      <w:r w:rsidR="00297CEB">
        <w:rPr>
          <w:lang w:val="fr-FR"/>
        </w:rPr>
        <w:t>discussion</w:t>
      </w:r>
      <w:r w:rsidR="00827C6D" w:rsidRPr="003C2478">
        <w:rPr>
          <w:lang w:val="fr-FR"/>
        </w:rPr>
        <w:t xml:space="preserve"> des variants d'un biomarqueur susceptibles d'être héréditaires</w:t>
      </w:r>
      <w:r w:rsidR="00AA7DA2" w:rsidRPr="003C2478">
        <w:rPr>
          <w:lang w:val="fr-FR"/>
        </w:rPr>
        <w:t xml:space="preserve">.  </w:t>
      </w:r>
      <w:r w:rsidRPr="003C2478">
        <w:rPr>
          <w:lang w:val="fr-FR"/>
        </w:rPr>
        <w:t xml:space="preserve"> </w:t>
      </w:r>
    </w:p>
    <w:p w14:paraId="1B5B1C9A" w14:textId="1CF71E24" w:rsidR="002B667A" w:rsidRPr="003C2478" w:rsidRDefault="002E0EA2" w:rsidP="00407B8C">
      <w:pPr>
        <w:pStyle w:val="ListParagraph"/>
        <w:numPr>
          <w:ilvl w:val="0"/>
          <w:numId w:val="9"/>
        </w:numPr>
        <w:jc w:val="both"/>
        <w:rPr>
          <w:lang w:val="fr-FR"/>
        </w:rPr>
      </w:pPr>
      <w:r w:rsidRPr="003C2478">
        <w:rPr>
          <w:lang w:val="fr-FR"/>
        </w:rPr>
        <w:lastRenderedPageBreak/>
        <w:t xml:space="preserve">Si </w:t>
      </w:r>
      <w:r w:rsidR="00257B99">
        <w:rPr>
          <w:lang w:val="fr-FR"/>
        </w:rPr>
        <w:t>l’institution</w:t>
      </w:r>
      <w:r w:rsidR="00547A00" w:rsidRPr="003C2478">
        <w:rPr>
          <w:lang w:val="fr-FR"/>
        </w:rPr>
        <w:t xml:space="preserve"> </w:t>
      </w:r>
      <w:r w:rsidRPr="003C2478">
        <w:rPr>
          <w:lang w:val="fr-FR"/>
        </w:rPr>
        <w:t>à haut</w:t>
      </w:r>
      <w:r w:rsidR="00257B99">
        <w:rPr>
          <w:lang w:val="fr-FR"/>
        </w:rPr>
        <w:t>-</w:t>
      </w:r>
      <w:r w:rsidRPr="003C2478">
        <w:rPr>
          <w:lang w:val="fr-FR"/>
        </w:rPr>
        <w:t xml:space="preserve">volume comprend un </w:t>
      </w:r>
      <w:r w:rsidR="00257B99">
        <w:rPr>
          <w:lang w:val="fr-FR"/>
        </w:rPr>
        <w:t>CGH</w:t>
      </w:r>
      <w:r w:rsidRPr="003C2478">
        <w:rPr>
          <w:lang w:val="fr-FR"/>
        </w:rPr>
        <w:t>, la coopération avec l</w:t>
      </w:r>
      <w:r w:rsidR="00B54DD0">
        <w:rPr>
          <w:lang w:val="fr-FR"/>
        </w:rPr>
        <w:t>e</w:t>
      </w:r>
      <w:r w:rsidRPr="003C2478">
        <w:rPr>
          <w:lang w:val="fr-FR"/>
        </w:rPr>
        <w:t xml:space="preserve"> </w:t>
      </w:r>
      <w:r w:rsidR="00257B99">
        <w:rPr>
          <w:lang w:val="fr-FR"/>
        </w:rPr>
        <w:t>CGH</w:t>
      </w:r>
      <w:r w:rsidRPr="003C2478">
        <w:rPr>
          <w:lang w:val="fr-FR"/>
        </w:rPr>
        <w:t xml:space="preserve"> </w:t>
      </w:r>
      <w:r w:rsidR="00E51574" w:rsidRPr="003C2478">
        <w:rPr>
          <w:lang w:val="fr-FR"/>
        </w:rPr>
        <w:t>(telle que prévue à l</w:t>
      </w:r>
      <w:r w:rsidR="00B54DD0">
        <w:rPr>
          <w:lang w:val="fr-FR"/>
        </w:rPr>
        <w:t>’article</w:t>
      </w:r>
      <w:r w:rsidR="00D303BA">
        <w:rPr>
          <w:lang w:val="fr-FR"/>
        </w:rPr>
        <w:t xml:space="preserve"> 1.1</w:t>
      </w:r>
      <w:r w:rsidR="00E51574" w:rsidRPr="003C2478">
        <w:rPr>
          <w:lang w:val="fr-FR"/>
        </w:rPr>
        <w:t xml:space="preserve">) </w:t>
      </w:r>
      <w:r w:rsidRPr="003C2478">
        <w:rPr>
          <w:lang w:val="fr-FR"/>
        </w:rPr>
        <w:t xml:space="preserve">doit être définie dans le même </w:t>
      </w:r>
      <w:r w:rsidR="00257B99">
        <w:rPr>
          <w:lang w:val="fr-FR"/>
        </w:rPr>
        <w:t>SLA</w:t>
      </w:r>
      <w:r w:rsidRPr="003C2478">
        <w:rPr>
          <w:lang w:val="fr-FR"/>
        </w:rPr>
        <w:t xml:space="preserve"> que </w:t>
      </w:r>
      <w:r w:rsidR="00257B99">
        <w:rPr>
          <w:lang w:val="fr-FR"/>
        </w:rPr>
        <w:t>le SLA</w:t>
      </w:r>
      <w:r w:rsidRPr="003C2478">
        <w:rPr>
          <w:lang w:val="fr-FR"/>
        </w:rPr>
        <w:t xml:space="preserve"> définissant la coopération entre l</w:t>
      </w:r>
      <w:r w:rsidR="00257B99">
        <w:rPr>
          <w:lang w:val="fr-FR"/>
        </w:rPr>
        <w:t>’institution de</w:t>
      </w:r>
      <w:r w:rsidRPr="003C2478">
        <w:rPr>
          <w:lang w:val="fr-FR"/>
        </w:rPr>
        <w:t xml:space="preserve"> haut</w:t>
      </w:r>
      <w:r w:rsidR="00257B99">
        <w:rPr>
          <w:lang w:val="fr-FR"/>
        </w:rPr>
        <w:t>-</w:t>
      </w:r>
      <w:r w:rsidRPr="003C2478">
        <w:rPr>
          <w:lang w:val="fr-FR"/>
        </w:rPr>
        <w:t>volume et l</w:t>
      </w:r>
      <w:r w:rsidR="00257B99">
        <w:rPr>
          <w:lang w:val="fr-FR"/>
        </w:rPr>
        <w:t xml:space="preserve">’institution </w:t>
      </w:r>
      <w:r w:rsidR="00413BAA">
        <w:rPr>
          <w:lang w:val="fr-FR"/>
        </w:rPr>
        <w:t>de bas-volume</w:t>
      </w:r>
      <w:r w:rsidRPr="003C2478">
        <w:rPr>
          <w:lang w:val="fr-FR"/>
        </w:rPr>
        <w:t>.</w:t>
      </w:r>
    </w:p>
    <w:p w14:paraId="116510DF" w14:textId="751DCD3B" w:rsidR="002B667A" w:rsidRPr="003C2478" w:rsidRDefault="002E0EA2" w:rsidP="00407B8C">
      <w:pPr>
        <w:pStyle w:val="ListParagraph"/>
        <w:numPr>
          <w:ilvl w:val="0"/>
          <w:numId w:val="9"/>
        </w:numPr>
        <w:jc w:val="both"/>
        <w:rPr>
          <w:lang w:val="fr-FR"/>
        </w:rPr>
      </w:pPr>
      <w:r w:rsidRPr="003C2478">
        <w:rPr>
          <w:lang w:val="fr-FR"/>
        </w:rPr>
        <w:t xml:space="preserve">L'équipe chargée de réaliser et d'interpréter les </w:t>
      </w:r>
      <w:r w:rsidR="003F3D5D">
        <w:rPr>
          <w:lang w:val="fr-FR"/>
        </w:rPr>
        <w:t>NGS</w:t>
      </w:r>
      <w:r w:rsidRPr="003C2478">
        <w:rPr>
          <w:lang w:val="fr-FR"/>
        </w:rPr>
        <w:t xml:space="preserve"> dispose au moins du personnel décrit à l'annexe </w:t>
      </w:r>
      <w:r w:rsidR="00492074" w:rsidRPr="003C2478">
        <w:rPr>
          <w:lang w:val="fr-FR"/>
        </w:rPr>
        <w:t>3</w:t>
      </w:r>
      <w:r w:rsidRPr="003C2478">
        <w:rPr>
          <w:lang w:val="fr-FR"/>
        </w:rPr>
        <w:t xml:space="preserve">. Cette équipe peut être composée en partie de membres du personnel de </w:t>
      </w:r>
      <w:r w:rsidR="00547A00" w:rsidRPr="003C2478">
        <w:rPr>
          <w:lang w:val="fr-FR"/>
        </w:rPr>
        <w:t xml:space="preserve">l'institution </w:t>
      </w:r>
      <w:r w:rsidR="00ED51D7">
        <w:rPr>
          <w:lang w:val="fr-FR"/>
        </w:rPr>
        <w:t xml:space="preserve">de bas-volume </w:t>
      </w:r>
      <w:r w:rsidRPr="003C2478">
        <w:rPr>
          <w:lang w:val="fr-FR"/>
        </w:rPr>
        <w:t>et de l</w:t>
      </w:r>
      <w:r w:rsidR="00547A00" w:rsidRPr="003C2478">
        <w:rPr>
          <w:lang w:val="fr-FR"/>
        </w:rPr>
        <w:t xml:space="preserve">'institution </w:t>
      </w:r>
      <w:r w:rsidR="00257B99">
        <w:rPr>
          <w:lang w:val="fr-FR"/>
        </w:rPr>
        <w:t>de haut-volume</w:t>
      </w:r>
      <w:r w:rsidRPr="003C2478">
        <w:rPr>
          <w:lang w:val="fr-FR"/>
        </w:rPr>
        <w:t>. Le fonctionnement d'une équipe composée de membres des deux institutions doit être décrit dans l</w:t>
      </w:r>
      <w:r w:rsidR="003F3D5D">
        <w:rPr>
          <w:lang w:val="fr-FR"/>
        </w:rPr>
        <w:t>e SLA</w:t>
      </w:r>
      <w:r w:rsidRPr="003C2478">
        <w:rPr>
          <w:lang w:val="fr-FR"/>
        </w:rPr>
        <w:t>.</w:t>
      </w:r>
    </w:p>
    <w:p w14:paraId="7C1E8D0B" w14:textId="5B3F7933" w:rsidR="006B033E" w:rsidRPr="003C2478" w:rsidRDefault="002E0EA2" w:rsidP="00407B8C">
      <w:pPr>
        <w:pStyle w:val="ListParagraph"/>
        <w:numPr>
          <w:ilvl w:val="0"/>
          <w:numId w:val="12"/>
        </w:numPr>
        <w:jc w:val="both"/>
        <w:rPr>
          <w:lang w:val="fr-FR"/>
        </w:rPr>
      </w:pPr>
      <w:r w:rsidRPr="003C2478">
        <w:rPr>
          <w:lang w:val="fr-FR"/>
        </w:rPr>
        <w:t xml:space="preserve">Le fonctionnement de </w:t>
      </w:r>
      <w:r w:rsidR="00547A00" w:rsidRPr="003C2478">
        <w:rPr>
          <w:lang w:val="fr-FR"/>
        </w:rPr>
        <w:t>l</w:t>
      </w:r>
      <w:r w:rsidR="00EB5823" w:rsidRPr="003C2478">
        <w:rPr>
          <w:lang w:val="fr-FR"/>
        </w:rPr>
        <w:t>'</w:t>
      </w:r>
      <w:r w:rsidR="00547A00" w:rsidRPr="003C2478">
        <w:rPr>
          <w:lang w:val="fr-FR"/>
        </w:rPr>
        <w:t xml:space="preserve">institution </w:t>
      </w:r>
      <w:r w:rsidR="00ED51D7">
        <w:rPr>
          <w:lang w:val="fr-FR"/>
        </w:rPr>
        <w:t xml:space="preserve">de bas-volume </w:t>
      </w:r>
      <w:r w:rsidRPr="003C2478">
        <w:rPr>
          <w:lang w:val="fr-FR"/>
        </w:rPr>
        <w:t xml:space="preserve">garantit un </w:t>
      </w:r>
      <w:r w:rsidR="003F3D5D">
        <w:rPr>
          <w:i/>
          <w:iCs/>
          <w:lang w:val="fr-FR"/>
        </w:rPr>
        <w:t>turn-around-time</w:t>
      </w:r>
      <w:r w:rsidRPr="003C2478">
        <w:rPr>
          <w:lang w:val="fr-FR"/>
        </w:rPr>
        <w:t xml:space="preserve"> </w:t>
      </w:r>
      <w:r w:rsidR="003F3D5D">
        <w:rPr>
          <w:lang w:val="fr-FR"/>
        </w:rPr>
        <w:t xml:space="preserve">de </w:t>
      </w:r>
      <w:r w:rsidR="003F3D5D" w:rsidRPr="003C2478">
        <w:rPr>
          <w:lang w:val="fr-FR"/>
        </w:rPr>
        <w:t xml:space="preserve">maximum </w:t>
      </w:r>
      <w:r w:rsidRPr="003C2478">
        <w:rPr>
          <w:lang w:val="fr-FR"/>
        </w:rPr>
        <w:t xml:space="preserve">deux semaines pour les tumeurs solides et </w:t>
      </w:r>
      <w:r w:rsidR="003F3D5D" w:rsidRPr="00193C79">
        <w:rPr>
          <w:lang w:val="fr-FR"/>
        </w:rPr>
        <w:t xml:space="preserve">de </w:t>
      </w:r>
      <w:r w:rsidR="003F3D5D" w:rsidRPr="003C2478">
        <w:rPr>
          <w:lang w:val="fr-FR"/>
        </w:rPr>
        <w:t>maximum</w:t>
      </w:r>
      <w:r w:rsidRPr="003C2478">
        <w:rPr>
          <w:lang w:val="fr-FR"/>
        </w:rPr>
        <w:t xml:space="preserve"> trois semaines pour les</w:t>
      </w:r>
      <w:r w:rsidR="00297CEB">
        <w:rPr>
          <w:lang w:val="fr-FR"/>
        </w:rPr>
        <w:t xml:space="preserve"> affections</w:t>
      </w:r>
      <w:r w:rsidRPr="003C2478">
        <w:rPr>
          <w:lang w:val="fr-FR"/>
        </w:rPr>
        <w:t xml:space="preserve"> hématologiques</w:t>
      </w:r>
      <w:r w:rsidR="00297CEB">
        <w:rPr>
          <w:lang w:val="fr-FR"/>
        </w:rPr>
        <w:t xml:space="preserve"> aigues</w:t>
      </w:r>
      <w:r w:rsidRPr="003C2478">
        <w:rPr>
          <w:lang w:val="fr-FR"/>
        </w:rPr>
        <w:t xml:space="preserve"> (sauf en cas de force majeure ou d</w:t>
      </w:r>
      <w:r w:rsidR="003F3D5D">
        <w:rPr>
          <w:lang w:val="fr-FR"/>
        </w:rPr>
        <w:t>’échec</w:t>
      </w:r>
      <w:r w:rsidRPr="003C2478">
        <w:rPr>
          <w:lang w:val="fr-FR"/>
        </w:rPr>
        <w:t xml:space="preserve"> de l'</w:t>
      </w:r>
      <w:r w:rsidR="00FA5F6C">
        <w:rPr>
          <w:lang w:val="fr-FR"/>
        </w:rPr>
        <w:t>analyse</w:t>
      </w:r>
      <w:r w:rsidRPr="003C2478">
        <w:rPr>
          <w:lang w:val="fr-FR"/>
        </w:rPr>
        <w:t xml:space="preserve"> dans 5 % des cas), </w:t>
      </w:r>
      <w:r w:rsidR="00297CEB" w:rsidRPr="003C2478">
        <w:rPr>
          <w:lang w:val="fr-FR"/>
        </w:rPr>
        <w:t xml:space="preserve"> à compter </w:t>
      </w:r>
      <w:r w:rsidR="00297CEB">
        <w:rPr>
          <w:lang w:val="fr-FR"/>
        </w:rPr>
        <w:t xml:space="preserve">soit </w:t>
      </w:r>
      <w:r w:rsidR="00297CEB" w:rsidRPr="003C2478">
        <w:rPr>
          <w:lang w:val="fr-FR"/>
        </w:rPr>
        <w:t>du jour</w:t>
      </w:r>
      <w:r w:rsidR="00870C45" w:rsidRPr="00870C45">
        <w:rPr>
          <w:lang w:val="fr-FR"/>
        </w:rPr>
        <w:t xml:space="preserve"> </w:t>
      </w:r>
      <w:r w:rsidR="00870C45" w:rsidRPr="0037679D">
        <w:rPr>
          <w:lang w:val="fr-FR"/>
        </w:rPr>
        <w:t>où l'échantillon a été reçu par le laboratoire NGS</w:t>
      </w:r>
      <w:r w:rsidR="00870C45">
        <w:rPr>
          <w:lang w:val="fr-FR"/>
        </w:rPr>
        <w:t xml:space="preserve"> soit le jour</w:t>
      </w:r>
      <w:r w:rsidR="00297CEB" w:rsidRPr="003C2478">
        <w:rPr>
          <w:lang w:val="fr-FR"/>
        </w:rPr>
        <w:t xml:space="preserve"> de la prescription du test NGS (= jour de la décision d'effectuer un </w:t>
      </w:r>
      <w:r w:rsidR="00870C45">
        <w:rPr>
          <w:lang w:val="fr-FR"/>
        </w:rPr>
        <w:t xml:space="preserve">test </w:t>
      </w:r>
      <w:r w:rsidR="00297CEB" w:rsidRPr="003C2478">
        <w:rPr>
          <w:lang w:val="fr-FR"/>
        </w:rPr>
        <w:t xml:space="preserve">NGS) jusqu'au jour de la communication finale du résultat du NGS. </w:t>
      </w:r>
      <w:r w:rsidR="001D44DD" w:rsidRPr="006B033E">
        <w:rPr>
          <w:lang w:val="fr-FR"/>
        </w:rPr>
        <w:t xml:space="preserve">En cas de force majeure ou si les échantillons sont occasionnellement insuffisants pour assurer ce </w:t>
      </w:r>
      <w:r w:rsidR="001D44DD" w:rsidRPr="006B033E">
        <w:rPr>
          <w:i/>
          <w:iCs/>
          <w:lang w:val="fr-FR"/>
        </w:rPr>
        <w:t>turn-around-time</w:t>
      </w:r>
      <w:r w:rsidR="00752636" w:rsidRPr="006B033E">
        <w:rPr>
          <w:lang w:val="fr-FR"/>
        </w:rPr>
        <w:t>, l</w:t>
      </w:r>
      <w:r w:rsidR="002969D0" w:rsidRPr="006B033E">
        <w:rPr>
          <w:lang w:val="fr-FR"/>
        </w:rPr>
        <w:t xml:space="preserve">'institution </w:t>
      </w:r>
      <w:r w:rsidR="00ED51D7" w:rsidRPr="006B033E">
        <w:rPr>
          <w:lang w:val="fr-FR"/>
        </w:rPr>
        <w:t xml:space="preserve">de bas-volume </w:t>
      </w:r>
      <w:r w:rsidR="002969D0" w:rsidRPr="006B033E">
        <w:rPr>
          <w:lang w:val="fr-FR"/>
        </w:rPr>
        <w:t xml:space="preserve">doit conclure des accords avec l'institution </w:t>
      </w:r>
      <w:r w:rsidR="00ED51D7" w:rsidRPr="006B033E">
        <w:rPr>
          <w:lang w:val="fr-FR"/>
        </w:rPr>
        <w:t xml:space="preserve">de haut-volume </w:t>
      </w:r>
      <w:r w:rsidR="002969D0" w:rsidRPr="006B033E">
        <w:rPr>
          <w:lang w:val="fr-FR"/>
        </w:rPr>
        <w:t xml:space="preserve">dans le cadre </w:t>
      </w:r>
      <w:r w:rsidR="003F3D5D" w:rsidRPr="006B033E">
        <w:rPr>
          <w:lang w:val="fr-FR"/>
        </w:rPr>
        <w:t>du SLA</w:t>
      </w:r>
      <w:r w:rsidR="002969D0" w:rsidRPr="006B033E">
        <w:rPr>
          <w:lang w:val="fr-FR"/>
        </w:rPr>
        <w:t xml:space="preserve"> </w:t>
      </w:r>
      <w:r w:rsidR="00752636" w:rsidRPr="006B033E">
        <w:rPr>
          <w:lang w:val="fr-FR"/>
        </w:rPr>
        <w:t xml:space="preserve">afin d'analyser conjointement les échantillons dans ce </w:t>
      </w:r>
      <w:r w:rsidR="003F3D5D" w:rsidRPr="006B033E">
        <w:rPr>
          <w:i/>
          <w:iCs/>
          <w:lang w:val="fr-FR"/>
        </w:rPr>
        <w:t>turn-around-time</w:t>
      </w:r>
      <w:r w:rsidRPr="006B033E">
        <w:rPr>
          <w:lang w:val="fr-FR"/>
        </w:rPr>
        <w:t>.</w:t>
      </w:r>
      <w:r w:rsidR="006B033E">
        <w:rPr>
          <w:lang w:val="fr-FR"/>
        </w:rPr>
        <w:t xml:space="preserve"> </w:t>
      </w:r>
      <w:r w:rsidR="006B033E" w:rsidRPr="003C2478">
        <w:rPr>
          <w:lang w:val="fr-FR"/>
        </w:rPr>
        <w:t xml:space="preserve">L'institution qui reçoit </w:t>
      </w:r>
      <w:r w:rsidR="006B033E">
        <w:rPr>
          <w:lang w:val="fr-FR"/>
        </w:rPr>
        <w:t xml:space="preserve">initialement l’échantillon </w:t>
      </w:r>
      <w:r w:rsidR="006B033E" w:rsidRPr="003C2478">
        <w:rPr>
          <w:lang w:val="fr-FR"/>
        </w:rPr>
        <w:t xml:space="preserve">et </w:t>
      </w:r>
      <w:r w:rsidR="006B033E">
        <w:rPr>
          <w:lang w:val="fr-FR"/>
        </w:rPr>
        <w:t xml:space="preserve">le </w:t>
      </w:r>
      <w:r w:rsidR="006B033E" w:rsidRPr="003C2478">
        <w:rPr>
          <w:lang w:val="fr-FR"/>
        </w:rPr>
        <w:t>transmet</w:t>
      </w:r>
      <w:r w:rsidR="006B033E">
        <w:rPr>
          <w:lang w:val="fr-FR"/>
        </w:rPr>
        <w:t>,</w:t>
      </w:r>
      <w:r w:rsidR="006B033E" w:rsidRPr="003C2478">
        <w:rPr>
          <w:lang w:val="fr-FR"/>
        </w:rPr>
        <w:t xml:space="preserve"> reste responsable de l'ensemble de la procédure. </w:t>
      </w:r>
    </w:p>
    <w:p w14:paraId="6D44F514" w14:textId="3B15D310" w:rsidR="002B667A" w:rsidRPr="006B033E" w:rsidRDefault="002B667A" w:rsidP="006B033E">
      <w:pPr>
        <w:pStyle w:val="ListParagraph"/>
        <w:ind w:left="360"/>
        <w:jc w:val="both"/>
        <w:rPr>
          <w:lang w:val="fr-FR"/>
        </w:rPr>
      </w:pPr>
    </w:p>
    <w:p w14:paraId="097AF7B4" w14:textId="7D2258C5" w:rsidR="002B667A" w:rsidRPr="003C2478" w:rsidRDefault="002E0EA2" w:rsidP="00DA757E">
      <w:pPr>
        <w:jc w:val="both"/>
      </w:pPr>
      <w:r w:rsidRPr="003C2478">
        <w:t xml:space="preserve">L'institution </w:t>
      </w:r>
      <w:r w:rsidR="00ED51D7">
        <w:t xml:space="preserve">de bas-volume </w:t>
      </w:r>
      <w:r w:rsidR="00BB5822" w:rsidRPr="003C2478">
        <w:t xml:space="preserve">est </w:t>
      </w:r>
      <w:r w:rsidR="00EE16D4" w:rsidRPr="003C2478">
        <w:t xml:space="preserve">à tout moment </w:t>
      </w:r>
      <w:r w:rsidR="00BB5822" w:rsidRPr="003C2478">
        <w:t xml:space="preserve">responsable de la </w:t>
      </w:r>
      <w:r w:rsidR="00FF230E" w:rsidRPr="003C2478">
        <w:t xml:space="preserve">facturation (voir </w:t>
      </w:r>
      <w:r w:rsidR="00FF230E">
        <w:fldChar w:fldCharType="begin"/>
      </w:r>
      <w:r w:rsidR="00FF230E" w:rsidRPr="003C2478">
        <w:instrText xml:space="preserve"> REF _Ref127360784 \r \h </w:instrText>
      </w:r>
      <w:r w:rsidR="00C359C5" w:rsidRPr="002C2154">
        <w:rPr>
          <w:lang w:val="fr-BE"/>
        </w:rPr>
        <w:instrText xml:space="preserve"> \* MERGEFORMAT </w:instrText>
      </w:r>
      <w:r w:rsidR="00FF230E">
        <w:fldChar w:fldCharType="separate"/>
      </w:r>
      <w:r w:rsidR="00632018">
        <w:t>Article 2</w:t>
      </w:r>
      <w:r w:rsidR="00FF230E">
        <w:fldChar w:fldCharType="end"/>
      </w:r>
      <w:r w:rsidR="00E74CF1" w:rsidRPr="00E74CF1">
        <w:t>)</w:t>
      </w:r>
      <w:r w:rsidR="00FF230E" w:rsidRPr="003C2478">
        <w:t xml:space="preserve"> et de tout </w:t>
      </w:r>
      <w:r w:rsidR="00BB5822" w:rsidRPr="003C2478">
        <w:t xml:space="preserve">enregistrement </w:t>
      </w:r>
      <w:r w:rsidR="001D44DD">
        <w:t xml:space="preserve">éventuel </w:t>
      </w:r>
      <w:r w:rsidR="00BB5822" w:rsidRPr="003C2478">
        <w:t xml:space="preserve">(voir </w:t>
      </w:r>
      <w:r w:rsidR="00BB5822">
        <w:fldChar w:fldCharType="begin"/>
      </w:r>
      <w:r w:rsidR="00BB5822" w:rsidRPr="003C2478">
        <w:instrText xml:space="preserve"> REF _Ref127360760 \r \h </w:instrText>
      </w:r>
      <w:r w:rsidR="00C359C5" w:rsidRPr="002C2154">
        <w:rPr>
          <w:lang w:val="fr-BE"/>
        </w:rPr>
        <w:instrText xml:space="preserve"> \* MERGEFORMAT </w:instrText>
      </w:r>
      <w:r w:rsidR="00BB5822">
        <w:fldChar w:fldCharType="separate"/>
      </w:r>
      <w:r w:rsidR="00632018" w:rsidRPr="00632018">
        <w:rPr>
          <w:b/>
          <w:bCs/>
          <w:lang w:val="fr-BE"/>
        </w:rPr>
        <w:t>Error! Reference source not found.</w:t>
      </w:r>
      <w:r w:rsidR="00BB5822">
        <w:fldChar w:fldCharType="end"/>
      </w:r>
      <w:r w:rsidR="00BB5822" w:rsidRPr="003C2478">
        <w:t>) des tests effectués par</w:t>
      </w:r>
      <w:r w:rsidR="00E05E81">
        <w:t xml:space="preserve"> NGS</w:t>
      </w:r>
      <w:r w:rsidR="00BB5822" w:rsidRPr="003C2478">
        <w:t xml:space="preserve"> afin de pouvoir, le cas échéant, démontrer qu'elle répond à la norme de volume pour adhérer à la convention en tant qu'institution </w:t>
      </w:r>
      <w:r w:rsidR="00E05E81">
        <w:t>de</w:t>
      </w:r>
      <w:r w:rsidR="005006BF" w:rsidRPr="003C2478">
        <w:t xml:space="preserve"> haut</w:t>
      </w:r>
      <w:r w:rsidR="00E05E81">
        <w:t>-</w:t>
      </w:r>
      <w:r w:rsidR="005006BF" w:rsidRPr="003C2478">
        <w:t>volume.</w:t>
      </w:r>
    </w:p>
    <w:p w14:paraId="4D7D7C8C" w14:textId="22263B80" w:rsidR="002B667A" w:rsidRPr="003C2478" w:rsidRDefault="002E0EA2" w:rsidP="00DA757E">
      <w:pPr>
        <w:jc w:val="both"/>
      </w:pPr>
      <w:r w:rsidRPr="003C2478">
        <w:t xml:space="preserve">L'institution </w:t>
      </w:r>
      <w:r w:rsidR="00ED51D7">
        <w:t xml:space="preserve">de haut-volume </w:t>
      </w:r>
      <w:r w:rsidRPr="003C2478">
        <w:t xml:space="preserve">cosigne la convention avec l'institution </w:t>
      </w:r>
      <w:r w:rsidR="00ED51D7">
        <w:t xml:space="preserve">de bas-volume </w:t>
      </w:r>
      <w:r w:rsidRPr="003C2478">
        <w:t>en signe d'engagement en matière de soutien technique et d'interprétation.</w:t>
      </w:r>
    </w:p>
    <w:p w14:paraId="7D94D339" w14:textId="77777777" w:rsidR="00BB5822" w:rsidRPr="003C2478" w:rsidRDefault="00BB5822" w:rsidP="00DA757E">
      <w:pPr>
        <w:jc w:val="both"/>
      </w:pPr>
    </w:p>
    <w:p w14:paraId="5178282B" w14:textId="77777777" w:rsidR="00BB5822" w:rsidRPr="003C2478" w:rsidRDefault="00BB5822" w:rsidP="00DA757E">
      <w:pPr>
        <w:jc w:val="both"/>
      </w:pPr>
    </w:p>
    <w:p w14:paraId="621FDDA0" w14:textId="76EB2FC4" w:rsidR="002B667A" w:rsidRPr="003C2478" w:rsidRDefault="002E0EA2" w:rsidP="00DA757E">
      <w:pPr>
        <w:pStyle w:val="Heading2"/>
        <w:jc w:val="both"/>
      </w:pPr>
      <w:bookmarkStart w:id="11" w:name="_Ref160184097"/>
      <w:bookmarkStart w:id="12" w:name="_Toc215211233"/>
      <w:r w:rsidRPr="003C2478">
        <w:t>Les critères minimaux à remplir par la première partie lorsqu'elle participe à la convention en tant qu'</w:t>
      </w:r>
      <w:r w:rsidR="00E74CF1">
        <w:t xml:space="preserve"> </w:t>
      </w:r>
      <w:r w:rsidR="001D44DD">
        <w:t>« </w:t>
      </w:r>
      <w:r w:rsidR="00E25BBC">
        <w:t>institution collaboratrice avec des étapes externalisées</w:t>
      </w:r>
      <w:r w:rsidR="001D44DD">
        <w:t> »</w:t>
      </w:r>
      <w:r w:rsidRPr="003C2478">
        <w:t>.</w:t>
      </w:r>
      <w:bookmarkEnd w:id="11"/>
      <w:bookmarkEnd w:id="12"/>
    </w:p>
    <w:p w14:paraId="0EAB6E4B" w14:textId="77777777" w:rsidR="0014356E" w:rsidRPr="003C2478" w:rsidRDefault="0014356E" w:rsidP="00DA757E">
      <w:pPr>
        <w:spacing w:after="0"/>
        <w:jc w:val="both"/>
      </w:pPr>
    </w:p>
    <w:p w14:paraId="7B862A00" w14:textId="0AA8F325" w:rsidR="002B667A" w:rsidRPr="003C2478" w:rsidRDefault="002E0EA2" w:rsidP="00407B8C">
      <w:pPr>
        <w:pStyle w:val="ListParagraph"/>
        <w:numPr>
          <w:ilvl w:val="0"/>
          <w:numId w:val="10"/>
        </w:numPr>
        <w:jc w:val="both"/>
        <w:rPr>
          <w:lang w:val="fr-FR"/>
        </w:rPr>
      </w:pPr>
      <w:r w:rsidRPr="003C2478">
        <w:rPr>
          <w:lang w:val="fr-FR"/>
        </w:rPr>
        <w:t xml:space="preserve">L'institution n'atteint pas le nombre minimum de tests NGS effectués et remboursés tel que stipulé à </w:t>
      </w:r>
      <w:r w:rsidR="002108C2">
        <w:fldChar w:fldCharType="begin"/>
      </w:r>
      <w:r w:rsidR="002108C2" w:rsidRPr="003C2478">
        <w:rPr>
          <w:lang w:val="fr-FR"/>
        </w:rPr>
        <w:instrText xml:space="preserve"> REF _Ref160184177 \r \h </w:instrText>
      </w:r>
      <w:r w:rsidR="00C359C5" w:rsidRPr="002C2154">
        <w:rPr>
          <w:lang w:val="fr-BE"/>
        </w:rPr>
        <w:instrText xml:space="preserve"> \* MERGEFORMAT </w:instrText>
      </w:r>
      <w:r w:rsidR="002108C2">
        <w:fldChar w:fldCharType="separate"/>
      </w:r>
      <w:r w:rsidR="00632018">
        <w:rPr>
          <w:lang w:val="fr-FR"/>
        </w:rPr>
        <w:t>Article 1.2</w:t>
      </w:r>
      <w:r w:rsidR="002108C2">
        <w:fldChar w:fldCharType="end"/>
      </w:r>
      <w:r w:rsidRPr="003C2478">
        <w:rPr>
          <w:lang w:val="fr-FR"/>
        </w:rPr>
        <w:t xml:space="preserve"> pour l'institution </w:t>
      </w:r>
      <w:r w:rsidR="002108C2" w:rsidRPr="003C2478">
        <w:rPr>
          <w:lang w:val="fr-FR"/>
        </w:rPr>
        <w:t>à haut volume</w:t>
      </w:r>
      <w:r w:rsidRPr="003C2478">
        <w:rPr>
          <w:lang w:val="fr-FR"/>
        </w:rPr>
        <w:t>.</w:t>
      </w:r>
    </w:p>
    <w:p w14:paraId="65062AE6" w14:textId="67405EC8" w:rsidR="002B667A" w:rsidRPr="003C2478" w:rsidRDefault="002E0EA2" w:rsidP="00407B8C">
      <w:pPr>
        <w:pStyle w:val="ListParagraph"/>
        <w:numPr>
          <w:ilvl w:val="0"/>
          <w:numId w:val="10"/>
        </w:numPr>
        <w:jc w:val="both"/>
        <w:rPr>
          <w:lang w:val="fr-FR"/>
        </w:rPr>
      </w:pPr>
      <w:r w:rsidRPr="003C2478">
        <w:rPr>
          <w:lang w:val="fr-FR"/>
        </w:rPr>
        <w:t xml:space="preserve">L'institution comprend un laboratoire qui ne réalise que certaines des étapes de la procédure NGS complète et qui sous-traite les autres étapes à une </w:t>
      </w:r>
      <w:r w:rsidR="00122DEF" w:rsidRPr="003C2478">
        <w:rPr>
          <w:lang w:val="fr-FR"/>
        </w:rPr>
        <w:t xml:space="preserve">institution </w:t>
      </w:r>
      <w:r w:rsidR="00ED51D7">
        <w:rPr>
          <w:lang w:val="fr-FR"/>
        </w:rPr>
        <w:t xml:space="preserve">de haut-volume </w:t>
      </w:r>
      <w:r w:rsidRPr="003C2478">
        <w:rPr>
          <w:lang w:val="fr-FR"/>
        </w:rPr>
        <w:t xml:space="preserve">dans </w:t>
      </w:r>
      <w:r w:rsidR="00F83CD9" w:rsidRPr="003C2478">
        <w:rPr>
          <w:lang w:val="fr-FR"/>
        </w:rPr>
        <w:t>le cadre d'une collaboration.</w:t>
      </w:r>
    </w:p>
    <w:p w14:paraId="38A89EC9" w14:textId="0CA7FED5" w:rsidR="002B667A" w:rsidRPr="003C2478" w:rsidRDefault="00F83CD9" w:rsidP="00407B8C">
      <w:pPr>
        <w:pStyle w:val="ListParagraph"/>
        <w:numPr>
          <w:ilvl w:val="0"/>
          <w:numId w:val="10"/>
        </w:numPr>
        <w:jc w:val="both"/>
        <w:rPr>
          <w:lang w:val="fr-FR"/>
        </w:rPr>
      </w:pPr>
      <w:r w:rsidRPr="003C2478">
        <w:rPr>
          <w:lang w:val="fr-FR"/>
        </w:rPr>
        <w:t xml:space="preserve">À cette fin, </w:t>
      </w:r>
      <w:r w:rsidR="002E0EA2" w:rsidRPr="003C2478">
        <w:rPr>
          <w:lang w:val="fr-FR"/>
        </w:rPr>
        <w:t xml:space="preserve">l'institution entame une </w:t>
      </w:r>
      <w:r w:rsidR="00E74CF1">
        <w:rPr>
          <w:lang w:val="fr-FR"/>
        </w:rPr>
        <w:t>collaboration</w:t>
      </w:r>
      <w:r w:rsidR="002E0EA2" w:rsidRPr="003C2478">
        <w:rPr>
          <w:lang w:val="fr-FR"/>
        </w:rPr>
        <w:t xml:space="preserve"> avec une </w:t>
      </w:r>
      <w:r w:rsidR="00122DEF" w:rsidRPr="003C2478">
        <w:rPr>
          <w:lang w:val="fr-FR"/>
        </w:rPr>
        <w:t xml:space="preserve">institution </w:t>
      </w:r>
      <w:r w:rsidR="00E74CF1">
        <w:rPr>
          <w:lang w:val="fr-FR"/>
        </w:rPr>
        <w:t>de</w:t>
      </w:r>
      <w:r w:rsidR="002E0EA2" w:rsidRPr="003C2478">
        <w:rPr>
          <w:lang w:val="fr-FR"/>
        </w:rPr>
        <w:t xml:space="preserve"> haut</w:t>
      </w:r>
      <w:r w:rsidR="00E74CF1">
        <w:rPr>
          <w:lang w:val="fr-FR"/>
        </w:rPr>
        <w:t>-</w:t>
      </w:r>
      <w:r w:rsidR="002E0EA2" w:rsidRPr="003C2478">
        <w:rPr>
          <w:lang w:val="fr-FR"/>
        </w:rPr>
        <w:t xml:space="preserve">volume </w:t>
      </w:r>
      <w:r w:rsidR="00122DEF" w:rsidRPr="003C2478">
        <w:rPr>
          <w:lang w:val="fr-FR"/>
        </w:rPr>
        <w:t xml:space="preserve">qui a </w:t>
      </w:r>
      <w:r w:rsidR="002E0EA2" w:rsidRPr="003C2478">
        <w:rPr>
          <w:lang w:val="fr-FR"/>
        </w:rPr>
        <w:t xml:space="preserve">adhéré à la présente convention sur la base des critères </w:t>
      </w:r>
      <w:r w:rsidR="002108C2" w:rsidRPr="003C2478">
        <w:rPr>
          <w:lang w:val="fr-FR"/>
        </w:rPr>
        <w:t xml:space="preserve">énoncés à </w:t>
      </w:r>
      <w:r w:rsidR="002108C2">
        <w:fldChar w:fldCharType="begin"/>
      </w:r>
      <w:r w:rsidR="002108C2" w:rsidRPr="003C2478">
        <w:rPr>
          <w:lang w:val="fr-FR"/>
        </w:rPr>
        <w:instrText xml:space="preserve"> REF _Ref160184177 \r \h </w:instrText>
      </w:r>
      <w:r w:rsidR="00C359C5" w:rsidRPr="002C2154">
        <w:rPr>
          <w:lang w:val="fr-BE"/>
        </w:rPr>
        <w:instrText xml:space="preserve"> \* MERGEFORMAT </w:instrText>
      </w:r>
      <w:r w:rsidR="002108C2">
        <w:fldChar w:fldCharType="separate"/>
      </w:r>
      <w:r w:rsidR="00632018">
        <w:rPr>
          <w:lang w:val="fr-FR"/>
        </w:rPr>
        <w:t>Article 1.2</w:t>
      </w:r>
      <w:r w:rsidR="002108C2">
        <w:fldChar w:fldCharType="end"/>
      </w:r>
      <w:r w:rsidR="002E0EA2" w:rsidRPr="003C2478">
        <w:rPr>
          <w:lang w:val="fr-FR"/>
        </w:rPr>
        <w:t xml:space="preserve">. </w:t>
      </w:r>
      <w:r w:rsidR="00820774" w:rsidRPr="003C2478">
        <w:rPr>
          <w:lang w:val="fr-FR"/>
        </w:rPr>
        <w:t xml:space="preserve">Cette institution </w:t>
      </w:r>
      <w:r w:rsidR="00E74CF1">
        <w:rPr>
          <w:lang w:val="fr-FR"/>
        </w:rPr>
        <w:t>de</w:t>
      </w:r>
      <w:r w:rsidR="00820774" w:rsidRPr="003C2478">
        <w:rPr>
          <w:lang w:val="fr-FR"/>
        </w:rPr>
        <w:t xml:space="preserve"> haut</w:t>
      </w:r>
      <w:r w:rsidR="00E74CF1">
        <w:rPr>
          <w:lang w:val="fr-FR"/>
        </w:rPr>
        <w:t>-</w:t>
      </w:r>
      <w:r w:rsidR="00820774" w:rsidRPr="003C2478">
        <w:rPr>
          <w:lang w:val="fr-FR"/>
        </w:rPr>
        <w:t xml:space="preserve">volume </w:t>
      </w:r>
      <w:r w:rsidR="006B033E">
        <w:rPr>
          <w:lang w:val="fr-FR"/>
        </w:rPr>
        <w:t>soutient l’institution collaboratrice avec des étapes externalisées pour garantir</w:t>
      </w:r>
      <w:r w:rsidR="00820774" w:rsidRPr="003C2478">
        <w:rPr>
          <w:lang w:val="fr-FR"/>
        </w:rPr>
        <w:t xml:space="preserve"> la qualité technique et clinique des analyses complètes, dont une partie de la procédure est effectuée par l'</w:t>
      </w:r>
      <w:r w:rsidR="00E25BBC">
        <w:rPr>
          <w:lang w:val="fr-FR"/>
        </w:rPr>
        <w:t>institution collaboratrice avec des étapes externalisées</w:t>
      </w:r>
      <w:r w:rsidR="00820774" w:rsidRPr="003C2478">
        <w:rPr>
          <w:lang w:val="fr-FR"/>
        </w:rPr>
        <w:t xml:space="preserve">. </w:t>
      </w:r>
      <w:r w:rsidR="002E0EA2" w:rsidRPr="003C2478">
        <w:rPr>
          <w:lang w:val="fr-FR"/>
        </w:rPr>
        <w:t>Cette coopération fait l'objet d'un SLA</w:t>
      </w:r>
      <w:r w:rsidR="00122DEF" w:rsidRPr="003C2478">
        <w:rPr>
          <w:lang w:val="fr-FR"/>
        </w:rPr>
        <w:t xml:space="preserve">, qui répond au moins aux critères de l'annexe </w:t>
      </w:r>
      <w:r w:rsidR="003C0495" w:rsidRPr="003C2478">
        <w:rPr>
          <w:lang w:val="fr-FR"/>
        </w:rPr>
        <w:t>4</w:t>
      </w:r>
      <w:r w:rsidR="002E0EA2" w:rsidRPr="003C2478">
        <w:rPr>
          <w:lang w:val="fr-FR"/>
        </w:rPr>
        <w:t xml:space="preserve">. </w:t>
      </w:r>
      <w:r w:rsidR="00287B9D" w:rsidRPr="003C2478">
        <w:rPr>
          <w:lang w:val="fr-FR"/>
        </w:rPr>
        <w:t xml:space="preserve">  </w:t>
      </w:r>
    </w:p>
    <w:p w14:paraId="37E047B5" w14:textId="69D61F75" w:rsidR="002B667A" w:rsidRPr="003C2478" w:rsidRDefault="002E0EA2" w:rsidP="00407B8C">
      <w:pPr>
        <w:pStyle w:val="ListParagraph"/>
        <w:numPr>
          <w:ilvl w:val="0"/>
          <w:numId w:val="10"/>
        </w:numPr>
        <w:jc w:val="both"/>
        <w:rPr>
          <w:lang w:val="fr-FR"/>
        </w:rPr>
      </w:pPr>
      <w:r w:rsidRPr="003C2478">
        <w:rPr>
          <w:lang w:val="fr-FR"/>
        </w:rPr>
        <w:lastRenderedPageBreak/>
        <w:t xml:space="preserve">L'institution </w:t>
      </w:r>
      <w:r w:rsidR="00F83CD9" w:rsidRPr="003C2478">
        <w:rPr>
          <w:lang w:val="fr-FR"/>
        </w:rPr>
        <w:t xml:space="preserve">collaboratrice </w:t>
      </w:r>
      <w:r w:rsidR="004175CB" w:rsidRPr="004175CB">
        <w:rPr>
          <w:lang w:val="fr-FR"/>
        </w:rPr>
        <w:t xml:space="preserve">avec des étapes externalisées </w:t>
      </w:r>
      <w:r w:rsidR="00F83CD9" w:rsidRPr="003C2478">
        <w:rPr>
          <w:lang w:val="fr-FR"/>
        </w:rPr>
        <w:t xml:space="preserve">a </w:t>
      </w:r>
      <w:r w:rsidRPr="003C2478">
        <w:rPr>
          <w:lang w:val="fr-FR"/>
        </w:rPr>
        <w:t xml:space="preserve">participé aux </w:t>
      </w:r>
      <w:r w:rsidR="00EC16A1" w:rsidRPr="003C2478">
        <w:rPr>
          <w:lang w:val="fr-FR"/>
        </w:rPr>
        <w:t>évaluations externes de la qualité d</w:t>
      </w:r>
      <w:r w:rsidR="001D44DD">
        <w:rPr>
          <w:lang w:val="fr-FR"/>
        </w:rPr>
        <w:t>u</w:t>
      </w:r>
      <w:r w:rsidR="00EC16A1" w:rsidRPr="003C2478">
        <w:rPr>
          <w:lang w:val="fr-FR"/>
        </w:rPr>
        <w:t xml:space="preserve"> NGS en (hémato-) oncologie par le </w:t>
      </w:r>
      <w:r w:rsidR="001D44DD">
        <w:rPr>
          <w:lang w:val="fr-FR"/>
        </w:rPr>
        <w:t>« </w:t>
      </w:r>
      <w:r w:rsidR="004175CB" w:rsidRPr="003C2478">
        <w:rPr>
          <w:lang w:val="fr-FR"/>
        </w:rPr>
        <w:t>Service</w:t>
      </w:r>
      <w:r w:rsidR="004175CB">
        <w:rPr>
          <w:lang w:val="fr-FR"/>
        </w:rPr>
        <w:t xml:space="preserve"> </w:t>
      </w:r>
      <w:r w:rsidR="004175CB" w:rsidRPr="00CF255B">
        <w:rPr>
          <w:lang w:val="fr-FR"/>
        </w:rPr>
        <w:t xml:space="preserve">Qualité des </w:t>
      </w:r>
      <w:r w:rsidR="004175CB">
        <w:rPr>
          <w:lang w:val="fr-FR"/>
        </w:rPr>
        <w:t>L</w:t>
      </w:r>
      <w:r w:rsidR="004175CB" w:rsidRPr="00CF255B">
        <w:rPr>
          <w:lang w:val="fr-FR"/>
        </w:rPr>
        <w:t>aboratoires</w:t>
      </w:r>
      <w:r w:rsidR="001D44DD">
        <w:rPr>
          <w:lang w:val="fr-FR"/>
        </w:rPr>
        <w:t> »</w:t>
      </w:r>
      <w:r w:rsidR="00EC16A1" w:rsidRPr="003C2478">
        <w:rPr>
          <w:lang w:val="fr-FR"/>
        </w:rPr>
        <w:t xml:space="preserve"> de Sciensano, organisées au cours des 12 mois précédant la candidature.</w:t>
      </w:r>
    </w:p>
    <w:p w14:paraId="322BB78E" w14:textId="2D198CAD" w:rsidR="002B667A" w:rsidRPr="003C2478" w:rsidRDefault="002E0EA2" w:rsidP="00407B8C">
      <w:pPr>
        <w:pStyle w:val="ListParagraph"/>
        <w:numPr>
          <w:ilvl w:val="0"/>
          <w:numId w:val="10"/>
        </w:numPr>
        <w:jc w:val="both"/>
        <w:rPr>
          <w:lang w:val="fr-FR"/>
        </w:rPr>
      </w:pPr>
      <w:r w:rsidRPr="003C2478">
        <w:rPr>
          <w:lang w:val="fr-FR"/>
        </w:rPr>
        <w:t xml:space="preserve">L'institution </w:t>
      </w:r>
      <w:r w:rsidR="00ED51D7">
        <w:rPr>
          <w:lang w:val="fr-FR"/>
        </w:rPr>
        <w:t xml:space="preserve">de haut-volume </w:t>
      </w:r>
      <w:r w:rsidRPr="003C2478">
        <w:rPr>
          <w:lang w:val="fr-FR"/>
        </w:rPr>
        <w:t>nomme un coord</w:t>
      </w:r>
      <w:r w:rsidR="002A09C0">
        <w:rPr>
          <w:lang w:val="fr-FR"/>
        </w:rPr>
        <w:t>onnateur</w:t>
      </w:r>
      <w:r w:rsidRPr="003C2478">
        <w:rPr>
          <w:lang w:val="fr-FR"/>
        </w:rPr>
        <w:t xml:space="preserve"> qui organise et suit la coopération avec l'</w:t>
      </w:r>
      <w:r w:rsidR="00E25BBC">
        <w:rPr>
          <w:lang w:val="fr-FR"/>
        </w:rPr>
        <w:t xml:space="preserve">institution collaboratrice avec des étapes externalisées </w:t>
      </w:r>
      <w:r w:rsidRPr="003C2478">
        <w:rPr>
          <w:lang w:val="fr-FR"/>
        </w:rPr>
        <w:t xml:space="preserve">. </w:t>
      </w:r>
    </w:p>
    <w:p w14:paraId="77D7B8FC" w14:textId="383A20A3" w:rsidR="00F36EBB" w:rsidRPr="003C2478" w:rsidRDefault="00F36EBB" w:rsidP="00407B8C">
      <w:pPr>
        <w:pStyle w:val="ListParagraph"/>
        <w:numPr>
          <w:ilvl w:val="0"/>
          <w:numId w:val="10"/>
        </w:numPr>
        <w:jc w:val="both"/>
        <w:rPr>
          <w:lang w:val="fr-FR"/>
        </w:rPr>
      </w:pPr>
      <w:r w:rsidRPr="003C2478">
        <w:rPr>
          <w:lang w:val="fr-FR"/>
        </w:rPr>
        <w:t xml:space="preserve">L'institution collaboratrice </w:t>
      </w:r>
      <w:r w:rsidRPr="004175CB">
        <w:rPr>
          <w:lang w:val="fr-FR"/>
        </w:rPr>
        <w:t xml:space="preserve">avec des étapes externalisées </w:t>
      </w:r>
      <w:r w:rsidRPr="003C2478">
        <w:rPr>
          <w:lang w:val="fr-FR"/>
        </w:rPr>
        <w:t xml:space="preserve">soumet à la seconde partie et au </w:t>
      </w:r>
      <w:r w:rsidR="001D44DD">
        <w:rPr>
          <w:lang w:val="fr-FR"/>
        </w:rPr>
        <w:t>« </w:t>
      </w:r>
      <w:r w:rsidRPr="003C2478">
        <w:rPr>
          <w:lang w:val="fr-FR"/>
        </w:rPr>
        <w:t>Service</w:t>
      </w:r>
      <w:r>
        <w:rPr>
          <w:lang w:val="fr-FR"/>
        </w:rPr>
        <w:t xml:space="preserve"> </w:t>
      </w:r>
      <w:r w:rsidRPr="00CF255B">
        <w:rPr>
          <w:lang w:val="fr-FR"/>
        </w:rPr>
        <w:t xml:space="preserve">Qualité des </w:t>
      </w:r>
      <w:r>
        <w:rPr>
          <w:lang w:val="fr-FR"/>
        </w:rPr>
        <w:t>L</w:t>
      </w:r>
      <w:r w:rsidRPr="00CF255B">
        <w:rPr>
          <w:lang w:val="fr-FR"/>
        </w:rPr>
        <w:t>aboratoires</w:t>
      </w:r>
      <w:r w:rsidR="001D44DD">
        <w:rPr>
          <w:lang w:val="fr-FR"/>
        </w:rPr>
        <w:t> »</w:t>
      </w:r>
      <w:r w:rsidRPr="003C2478">
        <w:rPr>
          <w:lang w:val="fr-FR"/>
        </w:rPr>
        <w:t xml:space="preserve"> de Sciensano une liste des indications des annexes 1 et/ou 2 pour lesquelles elle prévoit effectivement d'effectuer des tests NGS. </w:t>
      </w:r>
      <w:r w:rsidR="00EE1AB6" w:rsidRPr="00413C97">
        <w:rPr>
          <w:lang w:val="fr-FR"/>
        </w:rPr>
        <w:t xml:space="preserve">Ces indications doivent être couvertes </w:t>
      </w:r>
      <w:r w:rsidR="00EE1AB6">
        <w:rPr>
          <w:lang w:val="fr-FR"/>
        </w:rPr>
        <w:t>par</w:t>
      </w:r>
      <w:r w:rsidR="00EE1AB6" w:rsidRPr="00413C97">
        <w:rPr>
          <w:lang w:val="fr-FR"/>
        </w:rPr>
        <w:t xml:space="preserve"> l'accréditation tel </w:t>
      </w:r>
      <w:r w:rsidR="00EE1AB6">
        <w:rPr>
          <w:lang w:val="fr-FR"/>
        </w:rPr>
        <w:t>que</w:t>
      </w:r>
      <w:r w:rsidR="00EE1AB6" w:rsidRPr="00413C97">
        <w:rPr>
          <w:lang w:val="fr-FR"/>
        </w:rPr>
        <w:t xml:space="preserve"> défini à l'article 1.1, point 2.</w:t>
      </w:r>
      <w:r w:rsidR="00EE1AB6">
        <w:rPr>
          <w:lang w:val="fr-FR"/>
        </w:rPr>
        <w:t xml:space="preserve"> </w:t>
      </w:r>
      <w:r w:rsidRPr="003C2478">
        <w:rPr>
          <w:lang w:val="fr-FR"/>
        </w:rPr>
        <w:t>Cette liste est cosignée (numériquement) par le coord</w:t>
      </w:r>
      <w:r w:rsidR="002A09C0">
        <w:rPr>
          <w:lang w:val="fr-FR"/>
        </w:rPr>
        <w:t>onnateur</w:t>
      </w:r>
      <w:r w:rsidRPr="003C2478">
        <w:rPr>
          <w:lang w:val="fr-FR"/>
        </w:rPr>
        <w:t xml:space="preserve"> de l'institution à haut volume.</w:t>
      </w:r>
    </w:p>
    <w:p w14:paraId="522DA364" w14:textId="207901CE" w:rsidR="002B667A" w:rsidRPr="006B033E" w:rsidRDefault="00F36EBB" w:rsidP="00407B8C">
      <w:pPr>
        <w:pStyle w:val="ListParagraph"/>
        <w:numPr>
          <w:ilvl w:val="0"/>
          <w:numId w:val="10"/>
        </w:numPr>
        <w:jc w:val="both"/>
        <w:rPr>
          <w:lang w:val="fr-FR"/>
        </w:rPr>
      </w:pPr>
      <w:r w:rsidRPr="006B033E">
        <w:rPr>
          <w:lang w:val="fr-FR"/>
        </w:rPr>
        <w:t xml:space="preserve">L'institution collaboratrice avec des étapes externalisées </w:t>
      </w:r>
      <w:r w:rsidR="002E0EA2" w:rsidRPr="006B033E">
        <w:rPr>
          <w:lang w:val="fr-FR"/>
        </w:rPr>
        <w:t>organise un</w:t>
      </w:r>
      <w:r w:rsidR="006B033E" w:rsidRPr="006B033E">
        <w:rPr>
          <w:lang w:val="fr-FR"/>
        </w:rPr>
        <w:t>e Concertation Technique</w:t>
      </w:r>
      <w:r w:rsidR="00413BAA" w:rsidRPr="006B033E">
        <w:rPr>
          <w:lang w:val="fr-FR"/>
        </w:rPr>
        <w:t xml:space="preserve"> </w:t>
      </w:r>
      <w:r w:rsidR="002E0EA2" w:rsidRPr="006B033E">
        <w:rPr>
          <w:lang w:val="fr-FR"/>
        </w:rPr>
        <w:t xml:space="preserve">au moins une fois par mois. </w:t>
      </w:r>
      <w:r w:rsidR="006B033E" w:rsidRPr="006B033E">
        <w:rPr>
          <w:lang w:val="fr-FR"/>
        </w:rPr>
        <w:t xml:space="preserve">Dans cette Concertation Technique </w:t>
      </w:r>
      <w:r w:rsidR="002E0EA2" w:rsidRPr="006B033E">
        <w:rPr>
          <w:lang w:val="fr-FR"/>
        </w:rPr>
        <w:t xml:space="preserve">tous les échantillons présentant un </w:t>
      </w:r>
      <w:r w:rsidR="001D44DD" w:rsidRPr="006B033E">
        <w:rPr>
          <w:lang w:val="fr-FR"/>
        </w:rPr>
        <w:t>« </w:t>
      </w:r>
      <w:r w:rsidR="002E0EA2" w:rsidRPr="006B033E">
        <w:rPr>
          <w:lang w:val="fr-FR"/>
        </w:rPr>
        <w:t xml:space="preserve">variant </w:t>
      </w:r>
      <w:r w:rsidR="005E2935" w:rsidRPr="006B033E">
        <w:rPr>
          <w:lang w:val="fr-FR"/>
        </w:rPr>
        <w:t>of unknown significance</w:t>
      </w:r>
      <w:r w:rsidR="001D44DD" w:rsidRPr="006B033E">
        <w:rPr>
          <w:lang w:val="fr-FR"/>
        </w:rPr>
        <w:t> »</w:t>
      </w:r>
      <w:r w:rsidR="002E0EA2" w:rsidRPr="006B033E">
        <w:rPr>
          <w:lang w:val="fr-FR"/>
        </w:rPr>
        <w:t xml:space="preserve"> (VUS) dans un biomarqueur du panel minimal pour cette indication, décrit dans les annexes </w:t>
      </w:r>
      <w:r w:rsidR="003C0495" w:rsidRPr="006B033E">
        <w:rPr>
          <w:lang w:val="fr-FR"/>
        </w:rPr>
        <w:t xml:space="preserve">1 </w:t>
      </w:r>
      <w:r w:rsidR="002E0EA2" w:rsidRPr="006B033E">
        <w:rPr>
          <w:lang w:val="fr-FR"/>
        </w:rPr>
        <w:t xml:space="preserve">et </w:t>
      </w:r>
      <w:r w:rsidR="003C0495" w:rsidRPr="006B033E">
        <w:rPr>
          <w:lang w:val="fr-FR"/>
        </w:rPr>
        <w:t>2</w:t>
      </w:r>
      <w:r w:rsidR="002E0EA2" w:rsidRPr="006B033E">
        <w:rPr>
          <w:lang w:val="fr-FR"/>
        </w:rPr>
        <w:t>, et/ou les échantillons présentant un variant dans un biomarqueur potentiellement hér</w:t>
      </w:r>
      <w:r w:rsidR="006B033E" w:rsidRPr="006B033E">
        <w:rPr>
          <w:lang w:val="fr-FR"/>
        </w:rPr>
        <w:t>éditaire, sont discutés</w:t>
      </w:r>
      <w:r w:rsidR="002E0EA2" w:rsidRPr="006B033E">
        <w:rPr>
          <w:lang w:val="fr-FR"/>
        </w:rPr>
        <w:t>. Ce</w:t>
      </w:r>
      <w:r w:rsidR="006B033E" w:rsidRPr="006B033E">
        <w:rPr>
          <w:lang w:val="fr-FR"/>
        </w:rPr>
        <w:t>tte concertation technique</w:t>
      </w:r>
      <w:r w:rsidR="00413BAA" w:rsidRPr="006B033E">
        <w:rPr>
          <w:lang w:val="fr-FR"/>
        </w:rPr>
        <w:t xml:space="preserve"> </w:t>
      </w:r>
      <w:r w:rsidR="002E0EA2" w:rsidRPr="006B033E">
        <w:rPr>
          <w:lang w:val="fr-FR"/>
        </w:rPr>
        <w:t xml:space="preserve">comprend, outre les membres de </w:t>
      </w:r>
      <w:r w:rsidR="005E2935" w:rsidRPr="006B033E">
        <w:rPr>
          <w:lang w:val="fr-FR"/>
        </w:rPr>
        <w:t>l'institution collaboratrice avec des étapes externalisées</w:t>
      </w:r>
      <w:r w:rsidR="002E0EA2" w:rsidRPr="006B033E">
        <w:rPr>
          <w:lang w:val="fr-FR"/>
        </w:rPr>
        <w:t>, le coord</w:t>
      </w:r>
      <w:r w:rsidR="002A09C0">
        <w:rPr>
          <w:lang w:val="fr-FR"/>
        </w:rPr>
        <w:t>onnateur</w:t>
      </w:r>
      <w:r w:rsidR="002E0EA2" w:rsidRPr="006B033E">
        <w:rPr>
          <w:lang w:val="fr-FR"/>
        </w:rPr>
        <w:t xml:space="preserve"> de l'institution </w:t>
      </w:r>
      <w:r w:rsidRPr="006B033E">
        <w:rPr>
          <w:lang w:val="fr-FR"/>
        </w:rPr>
        <w:t>de</w:t>
      </w:r>
      <w:r w:rsidR="002E0EA2" w:rsidRPr="006B033E">
        <w:rPr>
          <w:lang w:val="fr-FR"/>
        </w:rPr>
        <w:t xml:space="preserve"> haut</w:t>
      </w:r>
      <w:r w:rsidRPr="006B033E">
        <w:rPr>
          <w:lang w:val="fr-FR"/>
        </w:rPr>
        <w:t>-</w:t>
      </w:r>
      <w:r w:rsidR="002E0EA2" w:rsidRPr="006B033E">
        <w:rPr>
          <w:lang w:val="fr-FR"/>
        </w:rPr>
        <w:t xml:space="preserve">volume et doit être complété par le généticien </w:t>
      </w:r>
      <w:r w:rsidR="006B033E" w:rsidRPr="006B033E">
        <w:rPr>
          <w:lang w:val="fr-FR"/>
        </w:rPr>
        <w:t xml:space="preserve">clinique coordonnateur </w:t>
      </w:r>
      <w:r w:rsidR="008C2B86">
        <w:rPr>
          <w:lang w:val="fr-FR"/>
        </w:rPr>
        <w:t xml:space="preserve">reconnu </w:t>
      </w:r>
      <w:r w:rsidR="006B033E" w:rsidRPr="006B033E">
        <w:rPr>
          <w:lang w:val="fr-FR"/>
        </w:rPr>
        <w:t xml:space="preserve">ou son délégué, comme </w:t>
      </w:r>
      <w:r w:rsidR="002E0EA2" w:rsidRPr="006B033E">
        <w:rPr>
          <w:lang w:val="fr-FR"/>
        </w:rPr>
        <w:t>décrit à</w:t>
      </w:r>
      <w:r w:rsidR="006B033E" w:rsidRPr="006B033E">
        <w:rPr>
          <w:lang w:val="fr-FR"/>
        </w:rPr>
        <w:t xml:space="preserve"> l’annexe 4, </w:t>
      </w:r>
      <w:r w:rsidR="008C2B86">
        <w:rPr>
          <w:lang w:val="fr-FR"/>
        </w:rPr>
        <w:t xml:space="preserve">« exigences minimales pour un SLA-CGH » </w:t>
      </w:r>
      <w:r w:rsidR="006B033E" w:rsidRPr="006B033E">
        <w:rPr>
          <w:lang w:val="fr-FR"/>
        </w:rPr>
        <w:t xml:space="preserve">point 2 </w:t>
      </w:r>
      <w:r w:rsidR="002E0EA2" w:rsidRPr="006B033E">
        <w:rPr>
          <w:lang w:val="fr-FR"/>
        </w:rPr>
        <w:t xml:space="preserve">pour </w:t>
      </w:r>
      <w:r w:rsidR="006B033E" w:rsidRPr="006B033E">
        <w:rPr>
          <w:lang w:val="fr-FR"/>
        </w:rPr>
        <w:t>discussion</w:t>
      </w:r>
      <w:r w:rsidR="002E0EA2" w:rsidRPr="006B033E">
        <w:rPr>
          <w:lang w:val="fr-FR"/>
        </w:rPr>
        <w:t xml:space="preserve"> des variantes d'un biomarqueur susceptible d'être héréditaire.   </w:t>
      </w:r>
    </w:p>
    <w:p w14:paraId="6E084F49" w14:textId="120CD9B1" w:rsidR="002B667A" w:rsidRPr="003C2478" w:rsidRDefault="002E0EA2" w:rsidP="00407B8C">
      <w:pPr>
        <w:pStyle w:val="ListParagraph"/>
        <w:numPr>
          <w:ilvl w:val="0"/>
          <w:numId w:val="10"/>
        </w:numPr>
        <w:jc w:val="both"/>
        <w:rPr>
          <w:lang w:val="fr-FR"/>
        </w:rPr>
      </w:pPr>
      <w:r w:rsidRPr="003C2478">
        <w:rPr>
          <w:lang w:val="fr-FR"/>
        </w:rPr>
        <w:t xml:space="preserve">Si </w:t>
      </w:r>
      <w:r w:rsidR="00F36EBB">
        <w:rPr>
          <w:lang w:val="fr-FR"/>
        </w:rPr>
        <w:t>l’</w:t>
      </w:r>
      <w:r w:rsidR="00F36EBB" w:rsidRPr="003C2478">
        <w:rPr>
          <w:lang w:val="fr-FR"/>
        </w:rPr>
        <w:t xml:space="preserve">institution </w:t>
      </w:r>
      <w:r w:rsidR="00F36EBB">
        <w:rPr>
          <w:lang w:val="fr-FR"/>
        </w:rPr>
        <w:t xml:space="preserve">de haut-volume </w:t>
      </w:r>
      <w:r w:rsidRPr="003C2478">
        <w:rPr>
          <w:lang w:val="fr-FR"/>
        </w:rPr>
        <w:t xml:space="preserve">comprend un </w:t>
      </w:r>
      <w:r w:rsidR="00F36EBB">
        <w:rPr>
          <w:lang w:val="fr-FR"/>
        </w:rPr>
        <w:t>CGH</w:t>
      </w:r>
      <w:r w:rsidRPr="003C2478">
        <w:rPr>
          <w:lang w:val="fr-FR"/>
        </w:rPr>
        <w:t>, la coopération avec l</w:t>
      </w:r>
      <w:r w:rsidR="00EE16D4">
        <w:rPr>
          <w:lang w:val="fr-FR"/>
        </w:rPr>
        <w:t>e</w:t>
      </w:r>
      <w:r w:rsidRPr="003C2478">
        <w:rPr>
          <w:lang w:val="fr-FR"/>
        </w:rPr>
        <w:t xml:space="preserve"> </w:t>
      </w:r>
      <w:r w:rsidR="00F36EBB">
        <w:rPr>
          <w:lang w:val="fr-FR"/>
        </w:rPr>
        <w:t>CGH</w:t>
      </w:r>
      <w:r w:rsidRPr="003C2478">
        <w:rPr>
          <w:lang w:val="fr-FR"/>
        </w:rPr>
        <w:t xml:space="preserve"> </w:t>
      </w:r>
      <w:r w:rsidR="00E51574" w:rsidRPr="003C2478">
        <w:rPr>
          <w:lang w:val="fr-FR"/>
        </w:rPr>
        <w:t xml:space="preserve">(telle que prévue à la </w:t>
      </w:r>
      <w:r w:rsidR="00E51574">
        <w:fldChar w:fldCharType="begin"/>
      </w:r>
      <w:r w:rsidR="00E51574" w:rsidRPr="003C2478">
        <w:rPr>
          <w:lang w:val="fr-FR"/>
        </w:rPr>
        <w:instrText xml:space="preserve"> REF _Ref160185179 \r \h </w:instrText>
      </w:r>
      <w:r w:rsidR="00C359C5" w:rsidRPr="002C2154">
        <w:rPr>
          <w:lang w:val="fr-BE"/>
        </w:rPr>
        <w:instrText xml:space="preserve"> \* MERGEFORMAT </w:instrText>
      </w:r>
      <w:r w:rsidR="00E51574">
        <w:fldChar w:fldCharType="separate"/>
      </w:r>
      <w:r w:rsidR="00632018">
        <w:rPr>
          <w:lang w:val="fr-FR"/>
        </w:rPr>
        <w:t>Article 1.1</w:t>
      </w:r>
      <w:r w:rsidR="00E51574">
        <w:fldChar w:fldCharType="end"/>
      </w:r>
      <w:r w:rsidR="00E51574" w:rsidRPr="003C2478">
        <w:rPr>
          <w:lang w:val="fr-FR"/>
        </w:rPr>
        <w:t xml:space="preserve">) </w:t>
      </w:r>
      <w:r w:rsidR="00EE16D4">
        <w:rPr>
          <w:lang w:val="fr-FR"/>
        </w:rPr>
        <w:t>peut</w:t>
      </w:r>
      <w:r w:rsidRPr="003C2478">
        <w:rPr>
          <w:lang w:val="fr-FR"/>
        </w:rPr>
        <w:t xml:space="preserve"> être définie dans le même </w:t>
      </w:r>
      <w:r w:rsidR="00197E6F">
        <w:rPr>
          <w:lang w:val="fr-FR"/>
        </w:rPr>
        <w:t>SLA</w:t>
      </w:r>
      <w:r w:rsidRPr="003C2478">
        <w:rPr>
          <w:lang w:val="fr-FR"/>
        </w:rPr>
        <w:t xml:space="preserve"> que </w:t>
      </w:r>
      <w:r w:rsidR="00197E6F">
        <w:rPr>
          <w:lang w:val="fr-FR"/>
        </w:rPr>
        <w:t>le SLA</w:t>
      </w:r>
      <w:r w:rsidRPr="003C2478">
        <w:rPr>
          <w:lang w:val="fr-FR"/>
        </w:rPr>
        <w:t xml:space="preserve"> définissant la coopération avec les étapes externalisées.</w:t>
      </w:r>
    </w:p>
    <w:p w14:paraId="4FD69496" w14:textId="1ABA1747" w:rsidR="002B667A" w:rsidRPr="003C2478" w:rsidRDefault="002E0EA2" w:rsidP="00407B8C">
      <w:pPr>
        <w:pStyle w:val="ListParagraph"/>
        <w:numPr>
          <w:ilvl w:val="0"/>
          <w:numId w:val="10"/>
        </w:numPr>
        <w:jc w:val="both"/>
        <w:rPr>
          <w:lang w:val="fr-FR"/>
        </w:rPr>
      </w:pPr>
      <w:r w:rsidRPr="003C2478">
        <w:rPr>
          <w:lang w:val="fr-FR"/>
        </w:rPr>
        <w:t>L'équipe chargée de la réalisation et de l'interprétation d</w:t>
      </w:r>
      <w:r w:rsidR="005E2935">
        <w:rPr>
          <w:lang w:val="fr-FR"/>
        </w:rPr>
        <w:t xml:space="preserve">u </w:t>
      </w:r>
      <w:r w:rsidRPr="003C2478">
        <w:rPr>
          <w:lang w:val="fr-FR"/>
        </w:rPr>
        <w:t xml:space="preserve">NGS dispose au moins du personnel décrit à l'annexe </w:t>
      </w:r>
      <w:r w:rsidR="003C0495" w:rsidRPr="003C2478">
        <w:rPr>
          <w:lang w:val="fr-FR"/>
        </w:rPr>
        <w:t>3</w:t>
      </w:r>
      <w:r w:rsidRPr="003C2478">
        <w:rPr>
          <w:lang w:val="fr-FR"/>
        </w:rPr>
        <w:t>. Cette équipe peut être composée en partie de membres du personnel d</w:t>
      </w:r>
      <w:r w:rsidR="005E2935">
        <w:rPr>
          <w:lang w:val="fr-FR"/>
        </w:rPr>
        <w:t xml:space="preserve">e l’institution de </w:t>
      </w:r>
      <w:r w:rsidRPr="003C2478">
        <w:rPr>
          <w:lang w:val="fr-FR"/>
        </w:rPr>
        <w:t>haut</w:t>
      </w:r>
      <w:r w:rsidR="005E2935">
        <w:rPr>
          <w:lang w:val="fr-FR"/>
        </w:rPr>
        <w:t>-</w:t>
      </w:r>
      <w:r w:rsidRPr="003C2478">
        <w:rPr>
          <w:lang w:val="fr-FR"/>
        </w:rPr>
        <w:t>volume pour les étapes réalisées dans l</w:t>
      </w:r>
      <w:r w:rsidR="00122DEF" w:rsidRPr="003C2478">
        <w:rPr>
          <w:lang w:val="fr-FR"/>
        </w:rPr>
        <w:t xml:space="preserve">'institution </w:t>
      </w:r>
      <w:r w:rsidR="005E2935">
        <w:rPr>
          <w:lang w:val="fr-FR"/>
        </w:rPr>
        <w:t xml:space="preserve">de </w:t>
      </w:r>
      <w:r w:rsidR="005E2935" w:rsidRPr="003C2478">
        <w:rPr>
          <w:lang w:val="fr-FR"/>
        </w:rPr>
        <w:t>haut</w:t>
      </w:r>
      <w:r w:rsidR="005E2935">
        <w:rPr>
          <w:lang w:val="fr-FR"/>
        </w:rPr>
        <w:t>-</w:t>
      </w:r>
      <w:r w:rsidR="005E2935" w:rsidRPr="003C2478">
        <w:rPr>
          <w:lang w:val="fr-FR"/>
        </w:rPr>
        <w:t>volume</w:t>
      </w:r>
      <w:r w:rsidRPr="003C2478">
        <w:rPr>
          <w:lang w:val="fr-FR"/>
        </w:rPr>
        <w:t>. Le fonctionnement d'une équipe composée de membres des deux institutions doit être décrit dans l</w:t>
      </w:r>
      <w:r w:rsidR="005E2935">
        <w:rPr>
          <w:lang w:val="fr-FR"/>
        </w:rPr>
        <w:t>e SLA</w:t>
      </w:r>
      <w:r w:rsidRPr="003C2478">
        <w:rPr>
          <w:lang w:val="fr-FR"/>
        </w:rPr>
        <w:t>.</w:t>
      </w:r>
    </w:p>
    <w:p w14:paraId="760F1C13" w14:textId="3347F922" w:rsidR="002B667A" w:rsidRPr="003C2478" w:rsidRDefault="002E0EA2" w:rsidP="00407B8C">
      <w:pPr>
        <w:pStyle w:val="ListParagraph"/>
        <w:numPr>
          <w:ilvl w:val="0"/>
          <w:numId w:val="10"/>
        </w:numPr>
        <w:jc w:val="both"/>
        <w:rPr>
          <w:lang w:val="fr-FR"/>
        </w:rPr>
      </w:pPr>
      <w:r w:rsidRPr="003C2478">
        <w:rPr>
          <w:lang w:val="fr-FR"/>
        </w:rPr>
        <w:t xml:space="preserve">Le fonctionnement combiné de l'institution collaboratrice </w:t>
      </w:r>
      <w:r w:rsidR="0044649F" w:rsidRPr="003C2478">
        <w:rPr>
          <w:lang w:val="fr-FR"/>
        </w:rPr>
        <w:t xml:space="preserve">avec des étapes externalisées </w:t>
      </w:r>
      <w:r w:rsidRPr="003C2478">
        <w:rPr>
          <w:lang w:val="fr-FR"/>
        </w:rPr>
        <w:t>et de l</w:t>
      </w:r>
      <w:r w:rsidR="002969D0" w:rsidRPr="003C2478">
        <w:rPr>
          <w:lang w:val="fr-FR"/>
        </w:rPr>
        <w:t xml:space="preserve">'institution </w:t>
      </w:r>
      <w:r w:rsidR="003359BC">
        <w:rPr>
          <w:lang w:val="fr-FR"/>
        </w:rPr>
        <w:t>de</w:t>
      </w:r>
      <w:r w:rsidRPr="003C2478">
        <w:rPr>
          <w:lang w:val="fr-FR"/>
        </w:rPr>
        <w:t xml:space="preserve"> haut</w:t>
      </w:r>
      <w:r w:rsidR="003359BC">
        <w:rPr>
          <w:lang w:val="fr-FR"/>
        </w:rPr>
        <w:t>-</w:t>
      </w:r>
      <w:r w:rsidRPr="003C2478">
        <w:rPr>
          <w:lang w:val="fr-FR"/>
        </w:rPr>
        <w:t xml:space="preserve">volume garantit un </w:t>
      </w:r>
      <w:r w:rsidR="003359BC">
        <w:rPr>
          <w:i/>
          <w:iCs/>
          <w:lang w:val="fr-FR"/>
        </w:rPr>
        <w:t>turn-around-time</w:t>
      </w:r>
      <w:r w:rsidRPr="003C2478">
        <w:rPr>
          <w:i/>
          <w:iCs/>
          <w:lang w:val="fr-FR"/>
        </w:rPr>
        <w:t xml:space="preserve"> </w:t>
      </w:r>
      <w:r w:rsidR="003359BC">
        <w:rPr>
          <w:lang w:val="fr-FR"/>
        </w:rPr>
        <w:t xml:space="preserve">de </w:t>
      </w:r>
      <w:r w:rsidR="003359BC" w:rsidRPr="003C2478">
        <w:rPr>
          <w:lang w:val="fr-FR"/>
        </w:rPr>
        <w:t>maximum</w:t>
      </w:r>
      <w:r w:rsidRPr="003C2478">
        <w:rPr>
          <w:lang w:val="fr-FR"/>
        </w:rPr>
        <w:t xml:space="preserve"> deux semaines pour les tumeurs solides et </w:t>
      </w:r>
      <w:r w:rsidR="003359BC">
        <w:rPr>
          <w:lang w:val="fr-FR"/>
        </w:rPr>
        <w:t xml:space="preserve">de </w:t>
      </w:r>
      <w:r w:rsidR="003359BC" w:rsidRPr="003C2478">
        <w:rPr>
          <w:lang w:val="fr-FR"/>
        </w:rPr>
        <w:t>maximum</w:t>
      </w:r>
      <w:r w:rsidRPr="003C2478">
        <w:rPr>
          <w:lang w:val="fr-FR"/>
        </w:rPr>
        <w:t xml:space="preserve"> trois semaines pour les </w:t>
      </w:r>
      <w:r w:rsidR="009510B8">
        <w:rPr>
          <w:lang w:val="fr-FR"/>
        </w:rPr>
        <w:t>affections</w:t>
      </w:r>
      <w:r w:rsidRPr="003C2478">
        <w:rPr>
          <w:lang w:val="fr-FR"/>
        </w:rPr>
        <w:t xml:space="preserve"> hématologiques (sauf en cas de </w:t>
      </w:r>
      <w:r w:rsidR="00EE16D4">
        <w:rPr>
          <w:lang w:val="fr-FR"/>
        </w:rPr>
        <w:t>« </w:t>
      </w:r>
      <w:r w:rsidRPr="003C2478">
        <w:rPr>
          <w:lang w:val="fr-FR"/>
        </w:rPr>
        <w:t>force majeure</w:t>
      </w:r>
      <w:r w:rsidR="00EE16D4">
        <w:rPr>
          <w:lang w:val="fr-FR"/>
        </w:rPr>
        <w:t> »</w:t>
      </w:r>
      <w:r w:rsidRPr="003C2478">
        <w:rPr>
          <w:lang w:val="fr-FR"/>
        </w:rPr>
        <w:t xml:space="preserve"> ou d</w:t>
      </w:r>
      <w:r w:rsidR="003359BC">
        <w:rPr>
          <w:lang w:val="fr-FR"/>
        </w:rPr>
        <w:t xml:space="preserve">’échec </w:t>
      </w:r>
      <w:r w:rsidRPr="003C2478">
        <w:rPr>
          <w:lang w:val="fr-FR"/>
        </w:rPr>
        <w:t xml:space="preserve">de l'échantillon dans 5 % des cas), à compter </w:t>
      </w:r>
      <w:r w:rsidR="009510B8">
        <w:rPr>
          <w:lang w:val="fr-FR"/>
        </w:rPr>
        <w:t>soit du jour de la réception de l’échantillon</w:t>
      </w:r>
      <w:r w:rsidR="00BD7F51">
        <w:rPr>
          <w:lang w:val="fr-FR"/>
        </w:rPr>
        <w:t xml:space="preserve"> au laboratoire, soit </w:t>
      </w:r>
      <w:r w:rsidRPr="003C2478">
        <w:rPr>
          <w:lang w:val="fr-FR"/>
        </w:rPr>
        <w:t>du jour de la prescription du test NGS (=</w:t>
      </w:r>
      <w:r w:rsidR="00BD7F51">
        <w:rPr>
          <w:lang w:val="fr-FR"/>
        </w:rPr>
        <w:t>le</w:t>
      </w:r>
      <w:r w:rsidRPr="003C2478">
        <w:rPr>
          <w:lang w:val="fr-FR"/>
        </w:rPr>
        <w:t xml:space="preserve"> jour de la décision d'effectuer un NGS) jusqu'au jour de la communication finale du résultat du NGS.</w:t>
      </w:r>
      <w:r w:rsidR="00BD7F51">
        <w:rPr>
          <w:lang w:val="fr-FR"/>
        </w:rPr>
        <w:t xml:space="preserve"> Le SLA décrit le </w:t>
      </w:r>
      <w:r w:rsidR="008C2B86">
        <w:rPr>
          <w:i/>
          <w:iCs/>
          <w:lang w:val="fr-FR"/>
        </w:rPr>
        <w:t>turn-around-time</w:t>
      </w:r>
      <w:r w:rsidR="00BD7F51">
        <w:rPr>
          <w:lang w:val="fr-FR"/>
        </w:rPr>
        <w:t xml:space="preserve"> de toutes les étapes et la responsabilité de chaque institution pour chacune de ces étapes  pour garantir le </w:t>
      </w:r>
      <w:r w:rsidR="008C2B86">
        <w:rPr>
          <w:i/>
          <w:iCs/>
          <w:lang w:val="fr-FR"/>
        </w:rPr>
        <w:t>turn-around-time</w:t>
      </w:r>
      <w:r w:rsidR="00BD7F51">
        <w:rPr>
          <w:lang w:val="fr-FR"/>
        </w:rPr>
        <w:t xml:space="preserve"> complet.</w:t>
      </w:r>
    </w:p>
    <w:p w14:paraId="3CB50016" w14:textId="49EBB2D5" w:rsidR="002B667A" w:rsidRPr="003C2478" w:rsidRDefault="002E0EA2" w:rsidP="00DA757E">
      <w:pPr>
        <w:jc w:val="both"/>
      </w:pPr>
      <w:bookmarkStart w:id="13" w:name="_Hlk158734475"/>
      <w:r w:rsidRPr="003C2478">
        <w:t xml:space="preserve">La </w:t>
      </w:r>
      <w:r w:rsidR="00FB72AB" w:rsidRPr="003C2478">
        <w:t xml:space="preserve">facturation (voir </w:t>
      </w:r>
      <w:r w:rsidR="00FB72AB">
        <w:fldChar w:fldCharType="begin"/>
      </w:r>
      <w:r w:rsidR="00FB72AB" w:rsidRPr="003C2478">
        <w:instrText xml:space="preserve"> REF _Ref127360784 \r \h </w:instrText>
      </w:r>
      <w:r w:rsidR="00C359C5" w:rsidRPr="002C2154">
        <w:rPr>
          <w:lang w:val="fr-BE"/>
        </w:rPr>
        <w:instrText xml:space="preserve"> \* MERGEFORMAT </w:instrText>
      </w:r>
      <w:r w:rsidR="00FB72AB">
        <w:fldChar w:fldCharType="separate"/>
      </w:r>
      <w:r w:rsidR="00632018">
        <w:t>Article 2</w:t>
      </w:r>
      <w:r w:rsidR="00FB72AB">
        <w:fldChar w:fldCharType="end"/>
      </w:r>
      <w:r w:rsidR="00FB72AB" w:rsidRPr="003C2478">
        <w:t>) et l'</w:t>
      </w:r>
      <w:r w:rsidRPr="003C2478">
        <w:t xml:space="preserve">enregistrement éventuel (voir </w:t>
      </w:r>
      <w:r>
        <w:fldChar w:fldCharType="begin"/>
      </w:r>
      <w:r w:rsidRPr="003C2478">
        <w:instrText xml:space="preserve"> REF _Ref127360760 \r \h </w:instrText>
      </w:r>
      <w:r w:rsidR="00C359C5" w:rsidRPr="002C2154">
        <w:rPr>
          <w:lang w:val="fr-BE"/>
        </w:rPr>
        <w:instrText xml:space="preserve"> \* MERGEFORMAT </w:instrText>
      </w:r>
      <w:r>
        <w:fldChar w:fldCharType="separate"/>
      </w:r>
      <w:r w:rsidR="00632018" w:rsidRPr="00632018">
        <w:rPr>
          <w:b/>
          <w:bCs/>
          <w:lang w:val="fr-BE"/>
        </w:rPr>
        <w:t>Error! Reference source not found.</w:t>
      </w:r>
      <w:r>
        <w:fldChar w:fldCharType="end"/>
      </w:r>
      <w:r w:rsidRPr="003C2478">
        <w:t>) sont effectués par l'</w:t>
      </w:r>
      <w:r w:rsidR="00E25BBC">
        <w:t>institution collaboratrice avec des étapes externalisées</w:t>
      </w:r>
      <w:r w:rsidRPr="003C2478">
        <w:t>.</w:t>
      </w:r>
    </w:p>
    <w:p w14:paraId="06D11726" w14:textId="33623D2A" w:rsidR="002B667A" w:rsidRPr="003C2478" w:rsidRDefault="002E0EA2" w:rsidP="00DA757E">
      <w:pPr>
        <w:jc w:val="both"/>
      </w:pPr>
      <w:r w:rsidRPr="003C2478">
        <w:t xml:space="preserve">L'institution </w:t>
      </w:r>
      <w:r w:rsidR="00ED51D7">
        <w:t xml:space="preserve">de haut-volume </w:t>
      </w:r>
      <w:r w:rsidR="00C774E6" w:rsidRPr="003C2478">
        <w:t xml:space="preserve">doit veiller à ce que le personnel de l'institution collaboratrice </w:t>
      </w:r>
      <w:r w:rsidR="008C2B86">
        <w:t>avec</w:t>
      </w:r>
      <w:r w:rsidR="000039B0" w:rsidRPr="003C2478">
        <w:t xml:space="preserve"> les étapes externalisées </w:t>
      </w:r>
      <w:r w:rsidR="00C774E6" w:rsidRPr="003C2478">
        <w:t>soit formé de manière adéquate pour exécuter les étapes de la procédure NGS qui lui sont assignées</w:t>
      </w:r>
      <w:r w:rsidR="000E77C2" w:rsidRPr="003C2478">
        <w:t xml:space="preserve">, définies dans </w:t>
      </w:r>
      <w:r w:rsidR="003359BC">
        <w:t>le SLA</w:t>
      </w:r>
      <w:r w:rsidR="00C774E6" w:rsidRPr="003C2478">
        <w:t xml:space="preserve">. </w:t>
      </w:r>
      <w:r w:rsidRPr="003C2478">
        <w:t xml:space="preserve">L'institution </w:t>
      </w:r>
      <w:r w:rsidR="00ED51D7">
        <w:t xml:space="preserve">de haut-volume </w:t>
      </w:r>
      <w:r w:rsidR="0034345D" w:rsidRPr="003C2478">
        <w:t xml:space="preserve">doit </w:t>
      </w:r>
      <w:r w:rsidR="00C774E6" w:rsidRPr="003C2478">
        <w:t xml:space="preserve">toujours être disponible pour fournir une assistance technique et des conseils </w:t>
      </w:r>
      <w:r w:rsidR="00855CB1" w:rsidRPr="003C2478">
        <w:t xml:space="preserve">à l'institution </w:t>
      </w:r>
      <w:r w:rsidR="003359BC" w:rsidRPr="003C2478">
        <w:t xml:space="preserve">collaboratrice </w:t>
      </w:r>
      <w:r w:rsidR="003359BC" w:rsidRPr="004175CB">
        <w:t>avec des étapes externalisées</w:t>
      </w:r>
      <w:r w:rsidR="00C774E6" w:rsidRPr="003C2478">
        <w:t>.</w:t>
      </w:r>
    </w:p>
    <w:p w14:paraId="1E71C767" w14:textId="73E3E11E" w:rsidR="002B667A" w:rsidRPr="003C2478" w:rsidRDefault="002E0EA2" w:rsidP="00DA757E">
      <w:pPr>
        <w:jc w:val="both"/>
      </w:pPr>
      <w:r w:rsidRPr="003C2478">
        <w:lastRenderedPageBreak/>
        <w:t>Si l'</w:t>
      </w:r>
      <w:r w:rsidR="00E25BBC">
        <w:t xml:space="preserve">institution </w:t>
      </w:r>
      <w:r w:rsidR="003359BC" w:rsidRPr="003C2478">
        <w:t xml:space="preserve">collaboratrice </w:t>
      </w:r>
      <w:r w:rsidR="003359BC" w:rsidRPr="004175CB">
        <w:t xml:space="preserve">avec des étapes externalisées </w:t>
      </w:r>
      <w:r w:rsidRPr="003C2478">
        <w:t xml:space="preserve">n'est formée qu'à l'analyse et à l'interprétation d'un nombre limité d'indications </w:t>
      </w:r>
      <w:r w:rsidR="009F3E91" w:rsidRPr="003C2478">
        <w:t xml:space="preserve">(hémato-)oncologiques </w:t>
      </w:r>
      <w:r w:rsidR="003366B2" w:rsidRPr="003C2478">
        <w:t xml:space="preserve">figurant dans les </w:t>
      </w:r>
      <w:r w:rsidR="0087619A" w:rsidRPr="003C2478">
        <w:t xml:space="preserve">annexes </w:t>
      </w:r>
      <w:r w:rsidR="003C0495" w:rsidRPr="003C2478">
        <w:t xml:space="preserve">1 </w:t>
      </w:r>
      <w:r w:rsidR="003366B2" w:rsidRPr="003C2478">
        <w:t xml:space="preserve">et/ou </w:t>
      </w:r>
      <w:r w:rsidR="003C0495" w:rsidRPr="003C2478">
        <w:t>2</w:t>
      </w:r>
      <w:r w:rsidRPr="003C2478">
        <w:t xml:space="preserve">, cette coopération peut être limitée à ces indications. </w:t>
      </w:r>
      <w:r w:rsidR="00855CB1" w:rsidRPr="003C2478">
        <w:t xml:space="preserve">Cela doit être clairement indiqué dans </w:t>
      </w:r>
      <w:r w:rsidR="003D4842">
        <w:t>le SLA</w:t>
      </w:r>
      <w:r w:rsidR="00855CB1" w:rsidRPr="003C2478">
        <w:t>.</w:t>
      </w:r>
      <w:r w:rsidR="003D4842">
        <w:t xml:space="preserve"> </w:t>
      </w:r>
    </w:p>
    <w:p w14:paraId="0DFB6F8C" w14:textId="7A00D3E2" w:rsidR="002B667A" w:rsidRPr="003C2478" w:rsidRDefault="002E0EA2" w:rsidP="00DA757E">
      <w:pPr>
        <w:jc w:val="both"/>
      </w:pPr>
      <w:r w:rsidRPr="003C2478">
        <w:t xml:space="preserve">La préparation des </w:t>
      </w:r>
      <w:r w:rsidR="00EE16D4">
        <w:t>coupes</w:t>
      </w:r>
      <w:r w:rsidR="00EE16D4" w:rsidRPr="003C2478">
        <w:t xml:space="preserve"> </w:t>
      </w:r>
      <w:r w:rsidRPr="003C2478">
        <w:t xml:space="preserve">n'est pas considérée comme faisant partie de la procédure </w:t>
      </w:r>
      <w:r w:rsidR="003D4842">
        <w:t>NGS</w:t>
      </w:r>
      <w:r w:rsidRPr="003C2478">
        <w:t xml:space="preserve"> dans le cadre de cette convention. </w:t>
      </w:r>
    </w:p>
    <w:p w14:paraId="01F2F906" w14:textId="7993EE93" w:rsidR="002B667A" w:rsidRPr="003C2478" w:rsidRDefault="002E0EA2" w:rsidP="00DA757E">
      <w:pPr>
        <w:jc w:val="both"/>
      </w:pPr>
      <w:r w:rsidRPr="003C2478">
        <w:t xml:space="preserve">Si la </w:t>
      </w:r>
      <w:r w:rsidR="00800016" w:rsidRPr="003C2478">
        <w:t>coopération est modifiée et que l'</w:t>
      </w:r>
      <w:r w:rsidR="00E25BBC">
        <w:t xml:space="preserve">institution collaboratrice avec des étapes externalisées </w:t>
      </w:r>
      <w:r w:rsidRPr="003C2478">
        <w:t xml:space="preserve">effectue toutes les étapes, </w:t>
      </w:r>
      <w:r w:rsidR="00EE16D4">
        <w:t xml:space="preserve">alors </w:t>
      </w:r>
      <w:r w:rsidR="0034345D" w:rsidRPr="003C2478">
        <w:t>l'</w:t>
      </w:r>
      <w:r w:rsidR="00E25BBC">
        <w:t xml:space="preserve">institution collaboratrice avec des étapes externalisées </w:t>
      </w:r>
      <w:r w:rsidR="000039B0" w:rsidRPr="003C2478">
        <w:t xml:space="preserve">doit </w:t>
      </w:r>
      <w:r w:rsidRPr="003C2478">
        <w:t xml:space="preserve">demander </w:t>
      </w:r>
      <w:r w:rsidR="00146DBE" w:rsidRPr="003C2478">
        <w:t xml:space="preserve">à </w:t>
      </w:r>
      <w:r w:rsidR="0026222E" w:rsidRPr="003C2478">
        <w:t>adhérer à la convention en tant qu</w:t>
      </w:r>
      <w:r w:rsidR="008C2B86">
        <w:t>’</w:t>
      </w:r>
      <w:r w:rsidR="0026222E" w:rsidRPr="003C2478">
        <w:t xml:space="preserve"> </w:t>
      </w:r>
      <w:r w:rsidR="00EE16D4">
        <w:t>« </w:t>
      </w:r>
      <w:r w:rsidR="00BD7F51">
        <w:t>institution</w:t>
      </w:r>
      <w:r w:rsidRPr="003C2478">
        <w:t xml:space="preserve"> </w:t>
      </w:r>
      <w:r w:rsidR="00413BAA">
        <w:t>de bas-volume</w:t>
      </w:r>
      <w:r w:rsidR="00EE16D4">
        <w:t> »</w:t>
      </w:r>
      <w:r w:rsidRPr="003C2478">
        <w:t xml:space="preserve"> (</w:t>
      </w:r>
      <w:r w:rsidR="002108C2" w:rsidRPr="003C2478">
        <w:t xml:space="preserve">voir </w:t>
      </w:r>
      <w:r w:rsidR="002108C2">
        <w:fldChar w:fldCharType="begin"/>
      </w:r>
      <w:r w:rsidR="002108C2" w:rsidRPr="003C2478">
        <w:instrText xml:space="preserve"> REF _Ref160184087 \r \h </w:instrText>
      </w:r>
      <w:r w:rsidR="00C359C5" w:rsidRPr="002C2154">
        <w:rPr>
          <w:lang w:val="fr-BE"/>
        </w:rPr>
        <w:instrText xml:space="preserve"> \* MERGEFORMAT </w:instrText>
      </w:r>
      <w:r w:rsidR="002108C2">
        <w:fldChar w:fldCharType="separate"/>
      </w:r>
      <w:r w:rsidR="00632018">
        <w:t>Article 1.3</w:t>
      </w:r>
      <w:r w:rsidR="002108C2">
        <w:fldChar w:fldCharType="end"/>
      </w:r>
      <w:r w:rsidRPr="003C2478">
        <w:t>).</w:t>
      </w:r>
    </w:p>
    <w:bookmarkEnd w:id="13"/>
    <w:p w14:paraId="61480044" w14:textId="39B197A7" w:rsidR="002B667A" w:rsidRPr="003C2478" w:rsidRDefault="002E0EA2" w:rsidP="00DA757E">
      <w:pPr>
        <w:jc w:val="both"/>
      </w:pPr>
      <w:r w:rsidRPr="003C2478">
        <w:t xml:space="preserve">L'institution </w:t>
      </w:r>
      <w:r w:rsidR="00ED51D7">
        <w:t xml:space="preserve">de haut-volume </w:t>
      </w:r>
      <w:r w:rsidRPr="003C2478">
        <w:t xml:space="preserve">cosigne la convention avec l'institution </w:t>
      </w:r>
      <w:r w:rsidR="003D4842" w:rsidRPr="003C2478">
        <w:t xml:space="preserve">collaboratrice </w:t>
      </w:r>
      <w:r w:rsidR="003D4842" w:rsidRPr="004175CB">
        <w:t>avec des étapes externalisées</w:t>
      </w:r>
      <w:r w:rsidRPr="003C2478">
        <w:t>, en signe d'engagement en matière de soutien technique et d'interprétation.</w:t>
      </w:r>
    </w:p>
    <w:p w14:paraId="6E28CFA2" w14:textId="77777777" w:rsidR="00D67013" w:rsidRPr="003C2478" w:rsidRDefault="00D67013" w:rsidP="00DA757E">
      <w:pPr>
        <w:jc w:val="both"/>
      </w:pPr>
    </w:p>
    <w:p w14:paraId="223F2D8A" w14:textId="7B581EDF" w:rsidR="002B667A" w:rsidRPr="003C2478" w:rsidRDefault="002E0EA2" w:rsidP="00DA757E">
      <w:pPr>
        <w:pStyle w:val="Heading2"/>
        <w:jc w:val="both"/>
      </w:pPr>
      <w:bookmarkStart w:id="14" w:name="_Toc215211234"/>
      <w:r w:rsidRPr="003C2478">
        <w:t>Les critères minimaux à respecter par la première partie lorsqu'elle participe à la convention en tant qu</w:t>
      </w:r>
      <w:r w:rsidR="005B393D">
        <w:t>’</w:t>
      </w:r>
      <w:r w:rsidR="00EE16D4">
        <w:t> « </w:t>
      </w:r>
      <w:r w:rsidRPr="003C2478">
        <w:t>association de fait</w:t>
      </w:r>
      <w:r w:rsidR="00EE16D4">
        <w:t> »</w:t>
      </w:r>
      <w:bookmarkEnd w:id="14"/>
    </w:p>
    <w:p w14:paraId="1550FC33" w14:textId="77777777" w:rsidR="00C529A6" w:rsidRPr="003C2478" w:rsidRDefault="00C529A6" w:rsidP="00DA757E">
      <w:pPr>
        <w:pStyle w:val="ListParagraph"/>
        <w:ind w:left="360"/>
        <w:jc w:val="both"/>
        <w:rPr>
          <w:lang w:val="fr-FR"/>
        </w:rPr>
      </w:pPr>
    </w:p>
    <w:p w14:paraId="06B71640" w14:textId="77777777" w:rsidR="002B667A" w:rsidRPr="003C2478" w:rsidRDefault="002E0EA2" w:rsidP="00407B8C">
      <w:pPr>
        <w:pStyle w:val="ListParagraph"/>
        <w:numPr>
          <w:ilvl w:val="0"/>
          <w:numId w:val="13"/>
        </w:numPr>
        <w:jc w:val="both"/>
        <w:rPr>
          <w:lang w:val="fr-FR"/>
        </w:rPr>
      </w:pPr>
      <w:r w:rsidRPr="003C2478">
        <w:rPr>
          <w:lang w:val="fr-FR"/>
        </w:rPr>
        <w:t>L'association de fait est composée d'</w:t>
      </w:r>
      <w:r w:rsidR="00550117" w:rsidRPr="003C2478">
        <w:rPr>
          <w:lang w:val="fr-FR"/>
        </w:rPr>
        <w:t xml:space="preserve">institutions </w:t>
      </w:r>
      <w:r w:rsidR="002C01E2" w:rsidRPr="003C2478">
        <w:rPr>
          <w:lang w:val="fr-FR"/>
        </w:rPr>
        <w:t xml:space="preserve">dont </w:t>
      </w:r>
      <w:r w:rsidR="00E05305" w:rsidRPr="003C2478">
        <w:rPr>
          <w:lang w:val="fr-FR"/>
        </w:rPr>
        <w:t xml:space="preserve">chacune </w:t>
      </w:r>
      <w:r w:rsidR="002C01E2" w:rsidRPr="003C2478">
        <w:rPr>
          <w:lang w:val="fr-FR"/>
        </w:rPr>
        <w:t>répond au moins à l'</w:t>
      </w:r>
      <w:r w:rsidR="00EB2F2E" w:rsidRPr="003C2478">
        <w:rPr>
          <w:lang w:val="fr-FR"/>
        </w:rPr>
        <w:t xml:space="preserve">un des </w:t>
      </w:r>
      <w:r w:rsidR="008C11E5" w:rsidRPr="003C2478">
        <w:rPr>
          <w:lang w:val="fr-FR"/>
        </w:rPr>
        <w:t xml:space="preserve">critères </w:t>
      </w:r>
      <w:r w:rsidR="00EB2F2E" w:rsidRPr="003C2478">
        <w:rPr>
          <w:lang w:val="fr-FR"/>
        </w:rPr>
        <w:t xml:space="preserve">suivants </w:t>
      </w:r>
      <w:r w:rsidRPr="003C2478">
        <w:rPr>
          <w:lang w:val="fr-FR"/>
        </w:rPr>
        <w:t>:</w:t>
      </w:r>
    </w:p>
    <w:p w14:paraId="38DD5384" w14:textId="14B857B0" w:rsidR="002B667A" w:rsidRPr="003C2478" w:rsidRDefault="002E0EA2" w:rsidP="00407B8C">
      <w:pPr>
        <w:pStyle w:val="ListParagraph"/>
        <w:numPr>
          <w:ilvl w:val="1"/>
          <w:numId w:val="5"/>
        </w:numPr>
        <w:ind w:left="851"/>
        <w:jc w:val="both"/>
        <w:rPr>
          <w:lang w:val="fr-FR"/>
        </w:rPr>
      </w:pPr>
      <w:r w:rsidRPr="003C2478">
        <w:rPr>
          <w:lang w:val="fr-FR"/>
        </w:rPr>
        <w:t>Soit répondre aux critères de l'article 1.2</w:t>
      </w:r>
      <w:r w:rsidR="00951F6B">
        <w:rPr>
          <w:lang w:val="fr-FR"/>
        </w:rPr>
        <w:t xml:space="preserve"> ou</w:t>
      </w:r>
      <w:r w:rsidRPr="003C2478">
        <w:rPr>
          <w:lang w:val="fr-FR"/>
        </w:rPr>
        <w:t xml:space="preserve"> </w:t>
      </w:r>
      <w:r>
        <w:fldChar w:fldCharType="begin"/>
      </w:r>
      <w:r w:rsidRPr="003C2478">
        <w:rPr>
          <w:lang w:val="fr-FR"/>
        </w:rPr>
        <w:instrText xml:space="preserve"> REF _Ref160184087 \r \h </w:instrText>
      </w:r>
      <w:r w:rsidR="00C359C5" w:rsidRPr="002C2154">
        <w:rPr>
          <w:lang w:val="fr-BE"/>
        </w:rPr>
        <w:instrText xml:space="preserve"> \* MERGEFORMAT </w:instrText>
      </w:r>
      <w:r>
        <w:fldChar w:fldCharType="separate"/>
      </w:r>
      <w:r w:rsidR="00632018">
        <w:rPr>
          <w:lang w:val="fr-FR"/>
        </w:rPr>
        <w:t>Article 1.3</w:t>
      </w:r>
      <w:r>
        <w:fldChar w:fldCharType="end"/>
      </w:r>
    </w:p>
    <w:p w14:paraId="1DD9C69F" w14:textId="5E54F780" w:rsidR="002B667A" w:rsidRPr="003C2478" w:rsidRDefault="003E6586" w:rsidP="00407B8C">
      <w:pPr>
        <w:pStyle w:val="ListParagraph"/>
        <w:numPr>
          <w:ilvl w:val="1"/>
          <w:numId w:val="5"/>
        </w:numPr>
        <w:ind w:left="851"/>
        <w:jc w:val="both"/>
        <w:rPr>
          <w:lang w:val="fr-FR"/>
        </w:rPr>
      </w:pPr>
      <w:r w:rsidRPr="003C2478">
        <w:rPr>
          <w:lang w:val="fr-FR"/>
        </w:rPr>
        <w:t xml:space="preserve">Soit </w:t>
      </w:r>
      <w:r w:rsidR="00FF4D49" w:rsidRPr="003C2478">
        <w:rPr>
          <w:lang w:val="fr-FR"/>
        </w:rPr>
        <w:t xml:space="preserve">reconnu comme </w:t>
      </w:r>
      <w:r w:rsidRPr="003C2478">
        <w:rPr>
          <w:lang w:val="fr-FR"/>
        </w:rPr>
        <w:t xml:space="preserve">programme de soins oncologiques </w:t>
      </w:r>
      <w:r w:rsidR="00FF4D49" w:rsidRPr="003C2478">
        <w:rPr>
          <w:lang w:val="fr-FR"/>
        </w:rPr>
        <w:t>(</w:t>
      </w:r>
      <w:r w:rsidR="00C64F7C" w:rsidRPr="003C2478">
        <w:rPr>
          <w:i/>
          <w:iCs/>
          <w:lang w:val="fr-FR"/>
        </w:rPr>
        <w:t xml:space="preserve">arrêté royal du 21 mars 2003 </w:t>
      </w:r>
      <w:r w:rsidR="00772BA3" w:rsidRPr="00772BA3">
        <w:rPr>
          <w:i/>
          <w:iCs/>
          <w:lang w:val="fr-FR"/>
        </w:rPr>
        <w:t>fixant les normes auxquelles le programme de soins de base en oncologie et le programme de soins d'oncologie doivent répondre pour être agréés</w:t>
      </w:r>
      <w:r w:rsidR="00C64F7C" w:rsidRPr="003C2478">
        <w:rPr>
          <w:i/>
          <w:iCs/>
          <w:lang w:val="fr-FR"/>
        </w:rPr>
        <w:t>)</w:t>
      </w:r>
    </w:p>
    <w:p w14:paraId="578C146E" w14:textId="1EE49F30" w:rsidR="002B667A" w:rsidRPr="003C2478" w:rsidRDefault="002E0EA2" w:rsidP="00407B8C">
      <w:pPr>
        <w:pStyle w:val="ListParagraph"/>
        <w:numPr>
          <w:ilvl w:val="1"/>
          <w:numId w:val="5"/>
        </w:numPr>
        <w:ind w:left="851"/>
        <w:jc w:val="both"/>
        <w:rPr>
          <w:lang w:val="fr-FR"/>
        </w:rPr>
      </w:pPr>
      <w:r w:rsidRPr="003C2478">
        <w:rPr>
          <w:lang w:val="fr-FR"/>
        </w:rPr>
        <w:t xml:space="preserve">Soit </w:t>
      </w:r>
      <w:r w:rsidR="00FF4D49" w:rsidRPr="003C2478">
        <w:rPr>
          <w:lang w:val="fr-FR"/>
        </w:rPr>
        <w:t xml:space="preserve">reconnu </w:t>
      </w:r>
      <w:r w:rsidRPr="003C2478">
        <w:rPr>
          <w:lang w:val="fr-FR"/>
        </w:rPr>
        <w:t xml:space="preserve">comme programme de soins </w:t>
      </w:r>
      <w:r w:rsidR="00EB2F2E" w:rsidRPr="003C2478">
        <w:rPr>
          <w:lang w:val="fr-FR"/>
        </w:rPr>
        <w:t xml:space="preserve">oncologiques </w:t>
      </w:r>
      <w:r w:rsidR="002C01E2" w:rsidRPr="003C2478">
        <w:rPr>
          <w:lang w:val="fr-FR"/>
        </w:rPr>
        <w:t xml:space="preserve">spécialisés </w:t>
      </w:r>
      <w:r w:rsidR="00EB2F2E" w:rsidRPr="003C2478">
        <w:rPr>
          <w:lang w:val="fr-FR"/>
        </w:rPr>
        <w:t xml:space="preserve">pour le cancer du sein </w:t>
      </w:r>
      <w:r w:rsidR="00FF4D49" w:rsidRPr="003C2478">
        <w:rPr>
          <w:lang w:val="fr-FR"/>
        </w:rPr>
        <w:t>(</w:t>
      </w:r>
      <w:r w:rsidR="00485112" w:rsidRPr="003C2478">
        <w:rPr>
          <w:i/>
          <w:iCs/>
          <w:lang w:val="fr-FR"/>
        </w:rPr>
        <w:t xml:space="preserve">arrêté royal du 27 avril </w:t>
      </w:r>
      <w:r w:rsidR="00772BA3" w:rsidRPr="00772BA3">
        <w:rPr>
          <w:i/>
          <w:iCs/>
          <w:lang w:val="fr-FR"/>
        </w:rPr>
        <w:t>fixant les normes auxquelles le programme coord</w:t>
      </w:r>
      <w:r w:rsidR="002A09C0">
        <w:rPr>
          <w:i/>
          <w:iCs/>
          <w:lang w:val="fr-FR"/>
        </w:rPr>
        <w:t>onnateur</w:t>
      </w:r>
      <w:r w:rsidR="00772BA3" w:rsidRPr="00772BA3">
        <w:rPr>
          <w:i/>
          <w:iCs/>
          <w:lang w:val="fr-FR"/>
        </w:rPr>
        <w:t xml:space="preserve"> de soins oncologiques spécialisé pour le cancer du sein et le programme de soins oncologiques spécialisé pour le cancer du sein doivent satisfaire pour être agréés</w:t>
      </w:r>
      <w:r w:rsidR="00485112" w:rsidRPr="003C2478">
        <w:rPr>
          <w:i/>
          <w:iCs/>
          <w:lang w:val="fr-FR"/>
        </w:rPr>
        <w:t>).</w:t>
      </w:r>
    </w:p>
    <w:p w14:paraId="40D458A7" w14:textId="0B939020" w:rsidR="002B667A" w:rsidRPr="00750FE8" w:rsidRDefault="002E0EA2" w:rsidP="00407B8C">
      <w:pPr>
        <w:pStyle w:val="ListParagraph"/>
        <w:numPr>
          <w:ilvl w:val="0"/>
          <w:numId w:val="13"/>
        </w:numPr>
        <w:jc w:val="both"/>
        <w:rPr>
          <w:lang w:val="fr-FR"/>
        </w:rPr>
      </w:pPr>
      <w:r w:rsidRPr="003C2478">
        <w:rPr>
          <w:lang w:val="fr-FR"/>
        </w:rPr>
        <w:t xml:space="preserve">L'association </w:t>
      </w:r>
      <w:r w:rsidR="00750FE8">
        <w:rPr>
          <w:lang w:val="fr-FR"/>
        </w:rPr>
        <w:t>de fait</w:t>
      </w:r>
      <w:r w:rsidRPr="003C2478">
        <w:rPr>
          <w:lang w:val="fr-FR"/>
        </w:rPr>
        <w:t xml:space="preserve"> comprend au moins une institution qui répond aux critères énoncés à </w:t>
      </w:r>
      <w:r>
        <w:fldChar w:fldCharType="begin"/>
      </w:r>
      <w:r w:rsidRPr="003C2478">
        <w:rPr>
          <w:lang w:val="fr-FR"/>
        </w:rPr>
        <w:instrText xml:space="preserve"> REF _Ref160184177 \r \h </w:instrText>
      </w:r>
      <w:r w:rsidR="00C359C5" w:rsidRPr="002C2154">
        <w:rPr>
          <w:lang w:val="fr-BE"/>
        </w:rPr>
        <w:instrText xml:space="preserve"> \* MERGEFORMAT </w:instrText>
      </w:r>
      <w:r>
        <w:fldChar w:fldCharType="separate"/>
      </w:r>
      <w:r w:rsidR="00632018">
        <w:rPr>
          <w:lang w:val="fr-FR"/>
        </w:rPr>
        <w:t>Article 1.2</w:t>
      </w:r>
      <w:r>
        <w:fldChar w:fldCharType="end"/>
      </w:r>
      <w:r w:rsidR="00E05305" w:rsidRPr="00750FE8">
        <w:rPr>
          <w:lang w:val="fr-FR"/>
        </w:rPr>
        <w:t xml:space="preserve"> pour une institution </w:t>
      </w:r>
      <w:r w:rsidR="00750FE8">
        <w:rPr>
          <w:lang w:val="fr-FR"/>
        </w:rPr>
        <w:t>de haut-</w:t>
      </w:r>
      <w:r w:rsidR="00E05305" w:rsidRPr="00750FE8">
        <w:rPr>
          <w:lang w:val="fr-FR"/>
        </w:rPr>
        <w:t>volume</w:t>
      </w:r>
      <w:r w:rsidRPr="00750FE8">
        <w:rPr>
          <w:lang w:val="fr-FR"/>
        </w:rPr>
        <w:t>.</w:t>
      </w:r>
    </w:p>
    <w:p w14:paraId="2D59CF98" w14:textId="36181D90" w:rsidR="002B667A" w:rsidRPr="003C2478" w:rsidRDefault="002E0EA2" w:rsidP="00407B8C">
      <w:pPr>
        <w:pStyle w:val="ListParagraph"/>
        <w:numPr>
          <w:ilvl w:val="0"/>
          <w:numId w:val="13"/>
        </w:numPr>
        <w:jc w:val="both"/>
        <w:rPr>
          <w:lang w:val="fr-FR"/>
        </w:rPr>
      </w:pPr>
      <w:r w:rsidRPr="003C2478">
        <w:rPr>
          <w:lang w:val="fr-FR"/>
        </w:rPr>
        <w:t xml:space="preserve">La coopération de l'association </w:t>
      </w:r>
      <w:r w:rsidR="004E1DD9">
        <w:rPr>
          <w:lang w:val="fr-FR"/>
        </w:rPr>
        <w:t>du fait</w:t>
      </w:r>
      <w:r w:rsidRPr="003C2478">
        <w:rPr>
          <w:lang w:val="fr-FR"/>
        </w:rPr>
        <w:t xml:space="preserve"> pour la sélection</w:t>
      </w:r>
      <w:r w:rsidR="008B29A2" w:rsidRPr="003C2478">
        <w:rPr>
          <w:lang w:val="fr-FR"/>
        </w:rPr>
        <w:t>, l'</w:t>
      </w:r>
      <w:r w:rsidRPr="003C2478">
        <w:rPr>
          <w:lang w:val="fr-FR"/>
        </w:rPr>
        <w:t xml:space="preserve">envoi, la réalisation et le rapport des tests NGS est définie dans </w:t>
      </w:r>
      <w:r w:rsidR="00042650" w:rsidRPr="003C2478">
        <w:rPr>
          <w:lang w:val="fr-FR"/>
        </w:rPr>
        <w:t xml:space="preserve">un </w:t>
      </w:r>
      <w:r w:rsidR="004E1DD9">
        <w:rPr>
          <w:lang w:val="fr-FR"/>
        </w:rPr>
        <w:t>seule SLA</w:t>
      </w:r>
      <w:r w:rsidR="000B7800" w:rsidRPr="003C2478">
        <w:rPr>
          <w:lang w:val="fr-FR"/>
        </w:rPr>
        <w:t xml:space="preserve">. </w:t>
      </w:r>
      <w:r w:rsidR="00B462A4" w:rsidRPr="003C2478">
        <w:rPr>
          <w:lang w:val="fr-FR"/>
        </w:rPr>
        <w:t xml:space="preserve">Celui-ci décrit également le </w:t>
      </w:r>
      <w:r w:rsidR="004D1421" w:rsidRPr="003C2478">
        <w:rPr>
          <w:lang w:val="fr-FR"/>
        </w:rPr>
        <w:t xml:space="preserve">fonctionnement des institutions qui répondent aux critères d'institution </w:t>
      </w:r>
      <w:r w:rsidR="00ED51D7">
        <w:rPr>
          <w:lang w:val="fr-FR"/>
        </w:rPr>
        <w:t xml:space="preserve">de bas-volume </w:t>
      </w:r>
      <w:r w:rsidR="004D1421" w:rsidRPr="003C2478">
        <w:rPr>
          <w:lang w:val="fr-FR"/>
        </w:rPr>
        <w:t>ou d'</w:t>
      </w:r>
      <w:r w:rsidR="00E25BBC">
        <w:rPr>
          <w:lang w:val="fr-FR"/>
        </w:rPr>
        <w:t xml:space="preserve">institution collaboratrice avec des étapes externalisées </w:t>
      </w:r>
      <w:r w:rsidR="00B462A4" w:rsidRPr="003C2478">
        <w:rPr>
          <w:lang w:val="fr-FR"/>
        </w:rPr>
        <w:t xml:space="preserve">et qui </w:t>
      </w:r>
      <w:r w:rsidR="004D1421" w:rsidRPr="003C2478">
        <w:rPr>
          <w:lang w:val="fr-FR"/>
        </w:rPr>
        <w:t xml:space="preserve">doivent </w:t>
      </w:r>
      <w:r w:rsidR="00AA75D4" w:rsidRPr="003C2478">
        <w:rPr>
          <w:lang w:val="fr-FR"/>
        </w:rPr>
        <w:t xml:space="preserve">répondre aux critères </w:t>
      </w:r>
      <w:r w:rsidR="004D1421" w:rsidRPr="003C2478">
        <w:rPr>
          <w:lang w:val="fr-FR"/>
        </w:rPr>
        <w:t xml:space="preserve">stipulés à l </w:t>
      </w:r>
      <w:r w:rsidR="004D1421">
        <w:fldChar w:fldCharType="begin"/>
      </w:r>
      <w:r w:rsidR="004D1421" w:rsidRPr="003C2478">
        <w:rPr>
          <w:lang w:val="fr-FR"/>
        </w:rPr>
        <w:instrText xml:space="preserve"> REF _Ref160184087 \r \h </w:instrText>
      </w:r>
      <w:r w:rsidR="00C359C5" w:rsidRPr="002C2154">
        <w:rPr>
          <w:lang w:val="fr-BE"/>
        </w:rPr>
        <w:instrText xml:space="preserve"> \* MERGEFORMAT </w:instrText>
      </w:r>
      <w:r w:rsidR="004D1421">
        <w:fldChar w:fldCharType="separate"/>
      </w:r>
      <w:r w:rsidR="00632018">
        <w:rPr>
          <w:lang w:val="fr-FR"/>
        </w:rPr>
        <w:t>Article 1.3</w:t>
      </w:r>
      <w:r w:rsidR="004D1421">
        <w:fldChar w:fldCharType="end"/>
      </w:r>
      <w:r w:rsidR="004D1421" w:rsidRPr="003C2478">
        <w:rPr>
          <w:lang w:val="fr-FR"/>
        </w:rPr>
        <w:t xml:space="preserve"> ou </w:t>
      </w:r>
      <w:r w:rsidR="004D1421">
        <w:fldChar w:fldCharType="begin"/>
      </w:r>
      <w:r w:rsidR="004D1421" w:rsidRPr="003C2478">
        <w:rPr>
          <w:lang w:val="fr-FR"/>
        </w:rPr>
        <w:instrText xml:space="preserve"> REF _Ref160184097 \r \h </w:instrText>
      </w:r>
      <w:r w:rsidR="00C359C5" w:rsidRPr="002C2154">
        <w:rPr>
          <w:lang w:val="fr-BE"/>
        </w:rPr>
        <w:instrText xml:space="preserve"> \* MERGEFORMAT </w:instrText>
      </w:r>
      <w:r w:rsidR="004D1421">
        <w:fldChar w:fldCharType="separate"/>
      </w:r>
      <w:r w:rsidR="00632018">
        <w:rPr>
          <w:lang w:val="fr-FR"/>
        </w:rPr>
        <w:t>Article 1.4</w:t>
      </w:r>
      <w:r w:rsidR="004D1421">
        <w:fldChar w:fldCharType="end"/>
      </w:r>
      <w:r w:rsidR="0031616A" w:rsidRPr="003C2478">
        <w:rPr>
          <w:lang w:val="fr-FR"/>
        </w:rPr>
        <w:t>.</w:t>
      </w:r>
    </w:p>
    <w:p w14:paraId="697DB449" w14:textId="184F1E55" w:rsidR="002B667A" w:rsidRPr="003C2478" w:rsidRDefault="00F67941" w:rsidP="00DA757E">
      <w:pPr>
        <w:jc w:val="both"/>
      </w:pPr>
      <w:r w:rsidRPr="003C2478">
        <w:t xml:space="preserve">La convention avec la deuxième partie sera conclue par une </w:t>
      </w:r>
      <w:r w:rsidR="002E0EA2" w:rsidRPr="003C2478">
        <w:t xml:space="preserve">institution </w:t>
      </w:r>
      <w:r w:rsidR="00ED51D7">
        <w:t xml:space="preserve">de haut-volume </w:t>
      </w:r>
      <w:r w:rsidR="002E0EA2" w:rsidRPr="003C2478">
        <w:t>de l'</w:t>
      </w:r>
      <w:r w:rsidRPr="003C2478">
        <w:t xml:space="preserve">association </w:t>
      </w:r>
      <w:r w:rsidR="004E1DD9">
        <w:t>du fait</w:t>
      </w:r>
      <w:r w:rsidR="00804FB1" w:rsidRPr="003C2478">
        <w:t xml:space="preserve">, agissant en tant que première partie </w:t>
      </w:r>
      <w:r w:rsidR="000B1185" w:rsidRPr="003C2478">
        <w:t>et désignant les personnes de contact</w:t>
      </w:r>
      <w:r w:rsidRPr="003C2478">
        <w:t xml:space="preserve">. </w:t>
      </w:r>
    </w:p>
    <w:p w14:paraId="167A4BF5" w14:textId="0C32EDDB" w:rsidR="002B667A" w:rsidRPr="003C2478" w:rsidRDefault="002E0EA2" w:rsidP="00DA757E">
      <w:pPr>
        <w:jc w:val="both"/>
      </w:pPr>
      <w:r w:rsidRPr="003C2478">
        <w:t xml:space="preserve">La facturation (voir </w:t>
      </w:r>
      <w:r>
        <w:fldChar w:fldCharType="begin"/>
      </w:r>
      <w:r w:rsidRPr="003C2478">
        <w:instrText xml:space="preserve"> REF _Ref127360784 \r \h </w:instrText>
      </w:r>
      <w:r w:rsidR="00C359C5" w:rsidRPr="002C2154">
        <w:rPr>
          <w:lang w:val="fr-BE"/>
        </w:rPr>
        <w:instrText xml:space="preserve"> \* MERGEFORMAT </w:instrText>
      </w:r>
      <w:r>
        <w:fldChar w:fldCharType="separate"/>
      </w:r>
      <w:r w:rsidR="00632018">
        <w:t>Article 2</w:t>
      </w:r>
      <w:r>
        <w:fldChar w:fldCharType="end"/>
      </w:r>
      <w:r w:rsidRPr="003C2478">
        <w:t xml:space="preserve">) et l'enregistrement éventuel (voir </w:t>
      </w:r>
      <w:r>
        <w:fldChar w:fldCharType="begin"/>
      </w:r>
      <w:r w:rsidRPr="003C2478">
        <w:instrText xml:space="preserve"> REF _Ref127360760 \r \h </w:instrText>
      </w:r>
      <w:r w:rsidR="00C359C5" w:rsidRPr="002C2154">
        <w:rPr>
          <w:lang w:val="fr-BE"/>
        </w:rPr>
        <w:instrText xml:space="preserve"> \* MERGEFORMAT </w:instrText>
      </w:r>
      <w:r>
        <w:fldChar w:fldCharType="separate"/>
      </w:r>
      <w:r w:rsidR="00632018" w:rsidRPr="00632018">
        <w:rPr>
          <w:b/>
          <w:bCs/>
          <w:lang w:val="fr-BE"/>
        </w:rPr>
        <w:t>Error! Reference source not found.</w:t>
      </w:r>
      <w:r>
        <w:fldChar w:fldCharType="end"/>
      </w:r>
      <w:r w:rsidRPr="003C2478">
        <w:t xml:space="preserve">) pour les tests NGS effectués par une institution </w:t>
      </w:r>
      <w:r w:rsidR="00ED51D7">
        <w:t xml:space="preserve">de bas-volume </w:t>
      </w:r>
      <w:r w:rsidRPr="003C2478">
        <w:t xml:space="preserve">ou par une institution collaboratrice avec des étapes externalisées </w:t>
      </w:r>
      <w:r w:rsidR="004E1DD9">
        <w:t>s</w:t>
      </w:r>
      <w:r w:rsidR="004E1DD9" w:rsidRPr="004E1DD9">
        <w:t xml:space="preserve">e déroule comme décrit dans </w:t>
      </w:r>
      <w:r w:rsidRPr="003C2478">
        <w:t xml:space="preserve">l </w:t>
      </w:r>
      <w:r>
        <w:fldChar w:fldCharType="begin"/>
      </w:r>
      <w:r w:rsidRPr="003C2478">
        <w:instrText xml:space="preserve"> REF _Ref160184087 \r \h </w:instrText>
      </w:r>
      <w:r w:rsidR="00C359C5" w:rsidRPr="002C2154">
        <w:rPr>
          <w:lang w:val="fr-BE"/>
        </w:rPr>
        <w:instrText xml:space="preserve"> \* MERGEFORMAT </w:instrText>
      </w:r>
      <w:r>
        <w:fldChar w:fldCharType="separate"/>
      </w:r>
      <w:r w:rsidR="00632018">
        <w:t>Article 1.3</w:t>
      </w:r>
      <w:r>
        <w:fldChar w:fldCharType="end"/>
      </w:r>
      <w:r w:rsidRPr="003C2478">
        <w:t xml:space="preserve"> et </w:t>
      </w:r>
      <w:r>
        <w:fldChar w:fldCharType="begin"/>
      </w:r>
      <w:r w:rsidRPr="003C2478">
        <w:instrText xml:space="preserve"> REF _Ref160184097 \r \h </w:instrText>
      </w:r>
      <w:r w:rsidR="00C359C5" w:rsidRPr="002C2154">
        <w:rPr>
          <w:lang w:val="fr-BE"/>
        </w:rPr>
        <w:instrText xml:space="preserve"> \* MERGEFORMAT </w:instrText>
      </w:r>
      <w:r>
        <w:fldChar w:fldCharType="separate"/>
      </w:r>
      <w:r w:rsidR="00632018">
        <w:t>Article 1.4</w:t>
      </w:r>
      <w:r>
        <w:fldChar w:fldCharType="end"/>
      </w:r>
      <w:r w:rsidRPr="003C2478">
        <w:t>.</w:t>
      </w:r>
      <w:r w:rsidR="00C63632" w:rsidRPr="003C2478">
        <w:t xml:space="preserve"> Les institutions de l'association de fait qui ne satisfont pas aux critères de </w:t>
      </w:r>
      <w:r w:rsidR="00C63632">
        <w:fldChar w:fldCharType="begin"/>
      </w:r>
      <w:r w:rsidR="00C63632" w:rsidRPr="003C2478">
        <w:instrText xml:space="preserve"> REF _Ref160184177 \r \h </w:instrText>
      </w:r>
      <w:r w:rsidR="00C359C5" w:rsidRPr="002C2154">
        <w:rPr>
          <w:lang w:val="fr-BE"/>
        </w:rPr>
        <w:instrText xml:space="preserve"> \* MERGEFORMAT </w:instrText>
      </w:r>
      <w:r w:rsidR="00C63632">
        <w:fldChar w:fldCharType="separate"/>
      </w:r>
      <w:r w:rsidR="00632018">
        <w:t>Article 1.2</w:t>
      </w:r>
      <w:r w:rsidR="00C63632">
        <w:fldChar w:fldCharType="end"/>
      </w:r>
      <w:r w:rsidR="00C63632" w:rsidRPr="003C2478">
        <w:t xml:space="preserve">, </w:t>
      </w:r>
      <w:r w:rsidR="00C63632">
        <w:fldChar w:fldCharType="begin"/>
      </w:r>
      <w:r w:rsidR="00C63632" w:rsidRPr="003C2478">
        <w:instrText xml:space="preserve"> REF _Ref160184087 \r \h </w:instrText>
      </w:r>
      <w:r w:rsidR="00C359C5" w:rsidRPr="002C2154">
        <w:rPr>
          <w:lang w:val="fr-BE"/>
        </w:rPr>
        <w:instrText xml:space="preserve"> \* MERGEFORMAT </w:instrText>
      </w:r>
      <w:r w:rsidR="00C63632">
        <w:fldChar w:fldCharType="separate"/>
      </w:r>
      <w:r w:rsidR="00632018">
        <w:t>Article 1.3</w:t>
      </w:r>
      <w:r w:rsidR="00C63632">
        <w:fldChar w:fldCharType="end"/>
      </w:r>
      <w:r w:rsidR="00C63632" w:rsidRPr="003C2478">
        <w:t xml:space="preserve"> ou </w:t>
      </w:r>
      <w:r w:rsidR="00C63632">
        <w:fldChar w:fldCharType="begin"/>
      </w:r>
      <w:r w:rsidR="00C63632" w:rsidRPr="003C2478">
        <w:instrText xml:space="preserve"> REF _Ref160184097 \r \h </w:instrText>
      </w:r>
      <w:r w:rsidR="00C359C5" w:rsidRPr="002C2154">
        <w:rPr>
          <w:lang w:val="fr-BE"/>
        </w:rPr>
        <w:instrText xml:space="preserve"> \* MERGEFORMAT </w:instrText>
      </w:r>
      <w:r w:rsidR="00C63632">
        <w:fldChar w:fldCharType="separate"/>
      </w:r>
      <w:r w:rsidR="00632018">
        <w:t>Article 1.4</w:t>
      </w:r>
      <w:r w:rsidR="00C63632">
        <w:fldChar w:fldCharType="end"/>
      </w:r>
      <w:r w:rsidR="00AF3CCE" w:rsidRPr="00AF3CCE">
        <w:t xml:space="preserve"> </w:t>
      </w:r>
      <w:r w:rsidR="00C82062" w:rsidRPr="003C2478">
        <w:t>ne peuvent pas facturer ou enregistrer des tests NGS.</w:t>
      </w:r>
    </w:p>
    <w:p w14:paraId="7BE6D267" w14:textId="77777777" w:rsidR="003E6586" w:rsidRPr="003C2478" w:rsidRDefault="003E6586" w:rsidP="00DA757E">
      <w:pPr>
        <w:jc w:val="both"/>
      </w:pPr>
    </w:p>
    <w:p w14:paraId="6CC0BE02" w14:textId="3B2CA266" w:rsidR="002B667A" w:rsidRPr="003C2478" w:rsidRDefault="00D22667" w:rsidP="00DA757E">
      <w:pPr>
        <w:pStyle w:val="Heading1"/>
        <w:jc w:val="both"/>
      </w:pPr>
      <w:bookmarkStart w:id="15" w:name="_Toc215211235"/>
      <w:bookmarkStart w:id="16" w:name="_Ref127360784"/>
      <w:r>
        <w:lastRenderedPageBreak/>
        <w:t>Rembours</w:t>
      </w:r>
      <w:r w:rsidR="005B393D">
        <w:t>e</w:t>
      </w:r>
      <w:r>
        <w:t>ments</w:t>
      </w:r>
      <w:r w:rsidR="002E0EA2" w:rsidRPr="003C2478">
        <w:t xml:space="preserve"> </w:t>
      </w:r>
      <w:r w:rsidR="000A5AFB" w:rsidRPr="003C2478">
        <w:t>et règles de non-cumul</w:t>
      </w:r>
      <w:bookmarkEnd w:id="15"/>
      <w:r w:rsidR="000A5AFB" w:rsidRPr="003C2478">
        <w:t xml:space="preserve"> </w:t>
      </w:r>
      <w:bookmarkEnd w:id="16"/>
    </w:p>
    <w:p w14:paraId="4ABDE109" w14:textId="7C8AF69F" w:rsidR="00916F5C" w:rsidRPr="003C2478" w:rsidRDefault="00916F5C" w:rsidP="00916F5C">
      <w:pPr>
        <w:jc w:val="both"/>
      </w:pPr>
      <w:r w:rsidRPr="003C2478">
        <w:t xml:space="preserve">La première partie s'engage, pour les indications figurant aux annexes 1 et 2 de la présente convention pour lesquelles elle réalise des tests NGS, à facturer les codes de la pseudonomenclature figurant dans la présente convention et non </w:t>
      </w:r>
      <w:r>
        <w:t>une combinaison</w:t>
      </w:r>
      <w:r w:rsidRPr="003C2478">
        <w:t xml:space="preserve"> de prestations au titre des articles 33, 33 bis et 33ter de la nomenclature </w:t>
      </w:r>
      <w:r w:rsidRPr="00AD3558">
        <w:t>des prestations de santé</w:t>
      </w:r>
      <w:r w:rsidRPr="003C2478">
        <w:t xml:space="preserve">. </w:t>
      </w:r>
    </w:p>
    <w:p w14:paraId="394641EC" w14:textId="77777777" w:rsidR="002B667A" w:rsidRDefault="002E0EA2" w:rsidP="00DA757E">
      <w:pPr>
        <w:jc w:val="both"/>
      </w:pPr>
      <w:r w:rsidRPr="003C2478">
        <w:t xml:space="preserve">Les annexes </w:t>
      </w:r>
      <w:r w:rsidR="003C0495" w:rsidRPr="003C2478">
        <w:t xml:space="preserve">1 </w:t>
      </w:r>
      <w:r w:rsidR="00D57D90" w:rsidRPr="003C2478">
        <w:t xml:space="preserve">et </w:t>
      </w:r>
      <w:r w:rsidR="003C0495" w:rsidRPr="003C2478">
        <w:t xml:space="preserve">2 </w:t>
      </w:r>
      <w:r w:rsidR="00EC7167" w:rsidRPr="003C2478">
        <w:t xml:space="preserve">contiennent </w:t>
      </w:r>
      <w:r w:rsidR="00150739" w:rsidRPr="003C2478">
        <w:t xml:space="preserve">la liste des indications pour lesquelles un test NGS </w:t>
      </w:r>
      <w:r w:rsidR="007024E2" w:rsidRPr="003C2478">
        <w:t xml:space="preserve">peut être </w:t>
      </w:r>
      <w:r w:rsidR="00475BA6" w:rsidRPr="003C2478">
        <w:t xml:space="preserve">remboursé </w:t>
      </w:r>
      <w:r w:rsidR="001A26BE" w:rsidRPr="003C2478">
        <w:t xml:space="preserve">dans le cadre de la </w:t>
      </w:r>
      <w:r w:rsidR="007024E2" w:rsidRPr="003C2478">
        <w:t xml:space="preserve">présente convention. </w:t>
      </w:r>
      <w:r w:rsidR="00150739" w:rsidRPr="003C2478">
        <w:t xml:space="preserve">Pour chaque indication, un code de pseudonomenclature </w:t>
      </w:r>
      <w:r w:rsidR="00475BA6" w:rsidRPr="003C2478">
        <w:t xml:space="preserve">peut être </w:t>
      </w:r>
      <w:r w:rsidR="00E6359B" w:rsidRPr="003C2478">
        <w:t xml:space="preserve">attesté. Pour chaque </w:t>
      </w:r>
      <w:r w:rsidR="00F5189D" w:rsidRPr="003C2478">
        <w:t xml:space="preserve">code de pseudonomenclature, les </w:t>
      </w:r>
      <w:r w:rsidR="00E6359B" w:rsidRPr="003C2478">
        <w:t xml:space="preserve">annexes </w:t>
      </w:r>
      <w:r w:rsidR="003C0495" w:rsidRPr="003C2478">
        <w:t xml:space="preserve">1 </w:t>
      </w:r>
      <w:r w:rsidR="00390DEF" w:rsidRPr="003C2478">
        <w:t xml:space="preserve">et </w:t>
      </w:r>
      <w:r w:rsidR="003C0495" w:rsidRPr="003C2478">
        <w:t xml:space="preserve">2 </w:t>
      </w:r>
      <w:r w:rsidR="00E6359B" w:rsidRPr="003C2478">
        <w:t xml:space="preserve">définissent </w:t>
      </w:r>
      <w:r w:rsidR="00EC7167" w:rsidRPr="003C2478">
        <w:t xml:space="preserve">l'indication </w:t>
      </w:r>
      <w:r w:rsidR="009A29DC" w:rsidRPr="003C2478">
        <w:t xml:space="preserve">et </w:t>
      </w:r>
      <w:r w:rsidR="00A22C40" w:rsidRPr="003C2478">
        <w:t xml:space="preserve">les </w:t>
      </w:r>
      <w:r w:rsidR="00555F28" w:rsidRPr="003C2478">
        <w:t xml:space="preserve">conditions préalables </w:t>
      </w:r>
      <w:r w:rsidR="00E6359B" w:rsidRPr="003C2478">
        <w:t>qu'</w:t>
      </w:r>
      <w:r w:rsidR="00EC7167" w:rsidRPr="003C2478">
        <w:t xml:space="preserve">un </w:t>
      </w:r>
      <w:r w:rsidR="00D577C9" w:rsidRPr="003C2478">
        <w:t xml:space="preserve">diagnostic moléculaire basé sur un </w:t>
      </w:r>
      <w:r w:rsidR="00EC7167" w:rsidRPr="003C2478">
        <w:t xml:space="preserve">test NGS doit </w:t>
      </w:r>
      <w:r w:rsidR="00E6359B" w:rsidRPr="003C2478">
        <w:t>remplir pour être admis au remboursement</w:t>
      </w:r>
      <w:r w:rsidR="00EC7167" w:rsidRPr="003C2478">
        <w:t xml:space="preserve">. L'annexe </w:t>
      </w:r>
      <w:r w:rsidR="003C0495" w:rsidRPr="003C2478">
        <w:t xml:space="preserve">1 </w:t>
      </w:r>
      <w:r w:rsidR="00EC7167" w:rsidRPr="003C2478">
        <w:t xml:space="preserve">s'applique aux tumeurs solides et l'annexe </w:t>
      </w:r>
      <w:r w:rsidR="003C0495" w:rsidRPr="003C2478">
        <w:t xml:space="preserve">2 </w:t>
      </w:r>
      <w:r w:rsidR="00EC7167" w:rsidRPr="003C2478">
        <w:t>aux tumeurs hématologiques</w:t>
      </w:r>
      <w:r w:rsidR="001729C7" w:rsidRPr="003C2478">
        <w:t xml:space="preserve">. </w:t>
      </w:r>
      <w:r w:rsidR="00E6359B" w:rsidRPr="003C2478">
        <w:t xml:space="preserve">Ces annexes précisent également le </w:t>
      </w:r>
      <w:r w:rsidR="00390DEF" w:rsidRPr="003C2478">
        <w:t xml:space="preserve">montant du remboursement </w:t>
      </w:r>
      <w:r w:rsidR="00E6359B" w:rsidRPr="003C2478">
        <w:t xml:space="preserve">par </w:t>
      </w:r>
      <w:r w:rsidR="00C03D7A" w:rsidRPr="003C2478">
        <w:t>code de pseudonomenclature</w:t>
      </w:r>
      <w:r w:rsidR="00E6359B" w:rsidRPr="003C2478">
        <w:t>.</w:t>
      </w:r>
    </w:p>
    <w:p w14:paraId="2EBD6BF2" w14:textId="77777777" w:rsidR="006A2CBB" w:rsidRDefault="00BA262C" w:rsidP="00DA757E">
      <w:pPr>
        <w:jc w:val="both"/>
      </w:pPr>
      <w:r w:rsidRPr="00BA262C">
        <w:t>Les tests sont prescrits par un médecin spécialiste ou par un pharmacien-biologiste clini</w:t>
      </w:r>
      <w:r>
        <w:t>que</w:t>
      </w:r>
      <w:r w:rsidRPr="00BA262C">
        <w:t xml:space="preserve">. </w:t>
      </w:r>
    </w:p>
    <w:p w14:paraId="132A6CA5" w14:textId="65B438A0" w:rsidR="00BA262C" w:rsidRDefault="00BA262C" w:rsidP="00DA757E">
      <w:pPr>
        <w:jc w:val="both"/>
      </w:pPr>
      <w:r w:rsidRPr="00BA262C">
        <w:t xml:space="preserve">Ces codes de pseudo-nomenclature ne peuvent être </w:t>
      </w:r>
      <w:r w:rsidR="006A2CBB">
        <w:t>attestés</w:t>
      </w:r>
      <w:r w:rsidRPr="00BA262C">
        <w:t xml:space="preserve"> que par un médecin spécialiste en biologie clinique, un </w:t>
      </w:r>
      <w:r w:rsidR="006A2CBB">
        <w:t xml:space="preserve">médecin spécialiste en </w:t>
      </w:r>
      <w:r w:rsidRPr="00BA262C">
        <w:t>anatom</w:t>
      </w:r>
      <w:r w:rsidR="006A2CBB">
        <w:t>ie pathologique</w:t>
      </w:r>
      <w:r w:rsidRPr="00BA262C">
        <w:t>, un médecin spécialiste en génétique, ou par un pharmacien-biologiste clini</w:t>
      </w:r>
      <w:r w:rsidR="006A2CBB">
        <w:t>que</w:t>
      </w:r>
      <w:r w:rsidRPr="00BA262C">
        <w:t>.</w:t>
      </w:r>
    </w:p>
    <w:p w14:paraId="575BC37D" w14:textId="1EDA3409" w:rsidR="002B667A" w:rsidRPr="003C2478" w:rsidRDefault="002E0EA2" w:rsidP="00DA757E">
      <w:pPr>
        <w:jc w:val="both"/>
      </w:pPr>
      <w:r w:rsidRPr="003C2478">
        <w:t xml:space="preserve">Outre le </w:t>
      </w:r>
      <w:r w:rsidR="00577B23" w:rsidRPr="003C2478">
        <w:t xml:space="preserve">remboursement obtenu par l'attestation des codes de la pseudo-nomenclature </w:t>
      </w:r>
      <w:r w:rsidRPr="003C2478">
        <w:t xml:space="preserve">figurant aux annexes </w:t>
      </w:r>
      <w:r w:rsidR="003C0495" w:rsidRPr="003C2478">
        <w:t xml:space="preserve">1 </w:t>
      </w:r>
      <w:r w:rsidR="00577B23" w:rsidRPr="003C2478">
        <w:t xml:space="preserve">et </w:t>
      </w:r>
      <w:r w:rsidR="003C0495" w:rsidRPr="003C2478">
        <w:t>2</w:t>
      </w:r>
      <w:r w:rsidRPr="003C2478">
        <w:t xml:space="preserve">, </w:t>
      </w:r>
      <w:r w:rsidR="00F42E7A" w:rsidRPr="003C2478">
        <w:t xml:space="preserve">aucune autre </w:t>
      </w:r>
      <w:r w:rsidR="00DC284E">
        <w:t>prestation</w:t>
      </w:r>
      <w:r w:rsidR="009F7D24" w:rsidRPr="003C2478">
        <w:t xml:space="preserve"> </w:t>
      </w:r>
      <w:r w:rsidRPr="003C2478">
        <w:t xml:space="preserve">de la convention ou de la nomenclature des </w:t>
      </w:r>
      <w:r w:rsidR="00AD3558" w:rsidRPr="00AD3558">
        <w:t xml:space="preserve">prestations de santé </w:t>
      </w:r>
      <w:r w:rsidR="00F42E7A" w:rsidRPr="003C2478">
        <w:t>ne peut être attestée en sus pour le test NGS effectué</w:t>
      </w:r>
      <w:r w:rsidR="00916F5C">
        <w:t xml:space="preserve"> </w:t>
      </w:r>
      <w:r w:rsidR="00916F5C" w:rsidRPr="00916F5C">
        <w:t>pour les biomarqueurs inclus dans le panel NGS effectivement utilisé, si ce panel est plus étendu que le panel minimum requis</w:t>
      </w:r>
      <w:r w:rsidR="00916F5C">
        <w:t>.</w:t>
      </w:r>
      <w:r w:rsidR="006A2CBB">
        <w:t xml:space="preserve"> Aucun supplément ne peut être facturé pour le test NGS effectué </w:t>
      </w:r>
    </w:p>
    <w:p w14:paraId="4B9DD1DE" w14:textId="6177534B" w:rsidR="00916F5C" w:rsidRDefault="00916F5C" w:rsidP="00DA757E">
      <w:pPr>
        <w:jc w:val="both"/>
      </w:pPr>
      <w:r w:rsidRPr="00916F5C">
        <w:t>Si la première partie contient un Centre de Génétique Humaine (C</w:t>
      </w:r>
      <w:r>
        <w:t>GH</w:t>
      </w:r>
      <w:r w:rsidRPr="00916F5C">
        <w:t xml:space="preserve">), alors la première partie s’engage, pendant la phase d’investigation diagnostique de 3 mois avant à 3 mois après la date de prescription, à ne pas facturer </w:t>
      </w:r>
      <w:r>
        <w:t xml:space="preserve">des prestations de l’article 33 de la nomenclature pour </w:t>
      </w:r>
      <w:r w:rsidRPr="00916F5C">
        <w:t>l’analyse des mutations somatiques dans le tissu tumoral ou</w:t>
      </w:r>
      <w:r>
        <w:t xml:space="preserve"> sur un </w:t>
      </w:r>
      <w:r w:rsidRPr="00916F5C">
        <w:t xml:space="preserve">échantillon cytologique pour les tumeurs solides ou la moelle osseuse ou le sang pour les </w:t>
      </w:r>
      <w:r>
        <w:t>affections</w:t>
      </w:r>
      <w:r w:rsidRPr="00916F5C">
        <w:t xml:space="preserve"> hématologiques.</w:t>
      </w:r>
    </w:p>
    <w:p w14:paraId="7AD5AC38" w14:textId="65721887" w:rsidR="002B667A" w:rsidRPr="003C2478" w:rsidRDefault="002E0EA2" w:rsidP="00DA757E">
      <w:pPr>
        <w:jc w:val="both"/>
      </w:pPr>
      <w:r w:rsidRPr="003C2478">
        <w:t xml:space="preserve">Si une </w:t>
      </w:r>
      <w:r w:rsidR="002A4FC9" w:rsidRPr="003C2478">
        <w:t xml:space="preserve">première </w:t>
      </w:r>
      <w:r w:rsidRPr="003C2478">
        <w:t xml:space="preserve">institution </w:t>
      </w:r>
      <w:r w:rsidR="00AD3558">
        <w:t>de</w:t>
      </w:r>
      <w:r w:rsidRPr="003C2478">
        <w:t xml:space="preserve"> haut</w:t>
      </w:r>
      <w:r w:rsidR="00AD3558">
        <w:t>-</w:t>
      </w:r>
      <w:r w:rsidRPr="003C2478">
        <w:t xml:space="preserve">volume transmet un échantillon à une </w:t>
      </w:r>
      <w:r w:rsidR="002A4FC9" w:rsidRPr="003C2478">
        <w:t xml:space="preserve">deuxième </w:t>
      </w:r>
      <w:r w:rsidRPr="003C2478">
        <w:t xml:space="preserve">institution </w:t>
      </w:r>
      <w:r w:rsidR="00AD3558">
        <w:t xml:space="preserve">de </w:t>
      </w:r>
      <w:r w:rsidRPr="003C2478">
        <w:t>haut</w:t>
      </w:r>
      <w:r w:rsidR="00AD3558">
        <w:t>-</w:t>
      </w:r>
      <w:r w:rsidRPr="003C2478">
        <w:t xml:space="preserve">volume pour </w:t>
      </w:r>
      <w:r w:rsidR="006E6F5D" w:rsidRPr="003C2478">
        <w:t xml:space="preserve">effectuer et interpréter l'analyse </w:t>
      </w:r>
      <w:r w:rsidRPr="003C2478">
        <w:t>NGS</w:t>
      </w:r>
      <w:r w:rsidR="006E6F5D" w:rsidRPr="003C2478">
        <w:t>, la deuxième institution doit facturer et éventuellement enregistrer.</w:t>
      </w:r>
    </w:p>
    <w:p w14:paraId="0B62F6F0" w14:textId="56EC1BC8" w:rsidR="00916F5C" w:rsidRDefault="002E0EA2" w:rsidP="00916F5C">
      <w:pPr>
        <w:jc w:val="both"/>
      </w:pPr>
      <w:r w:rsidRPr="003C2478">
        <w:t>Le test NGS doit être réalisé sur du tissu tumoral</w:t>
      </w:r>
      <w:r w:rsidR="00916F5C">
        <w:t xml:space="preserve"> ou sur un échantillon cytologique pour des tumeurs solides ou sur </w:t>
      </w:r>
      <w:r w:rsidR="00916F5C" w:rsidRPr="00916F5C">
        <w:t xml:space="preserve">la moelle osseuse ou le sang pour les </w:t>
      </w:r>
      <w:r w:rsidR="00916F5C">
        <w:t>affections</w:t>
      </w:r>
      <w:r w:rsidR="00916F5C" w:rsidRPr="00916F5C">
        <w:t xml:space="preserve"> hématologiques.</w:t>
      </w:r>
    </w:p>
    <w:p w14:paraId="723CCC50" w14:textId="2EDA6A09" w:rsidR="002B667A" w:rsidRPr="003C2478" w:rsidRDefault="00916F5C" w:rsidP="00DA757E">
      <w:pPr>
        <w:jc w:val="both"/>
      </w:pPr>
      <w:r>
        <w:t xml:space="preserve"> </w:t>
      </w:r>
      <w:r w:rsidR="009842B6" w:rsidRPr="003C2478">
        <w:t xml:space="preserve">Si le test NGS a été réalisé sur une </w:t>
      </w:r>
      <w:r w:rsidR="00A63874" w:rsidRPr="003C2478">
        <w:t>"</w:t>
      </w:r>
      <w:r w:rsidR="00AD3558" w:rsidRPr="00AD3558">
        <w:rPr>
          <w:i/>
          <w:iCs/>
        </w:rPr>
        <w:t xml:space="preserve"> </w:t>
      </w:r>
      <w:r w:rsidR="00AD3558" w:rsidRPr="003C2478">
        <w:rPr>
          <w:i/>
          <w:iCs/>
        </w:rPr>
        <w:t xml:space="preserve">liquid </w:t>
      </w:r>
      <w:r w:rsidR="009842B6" w:rsidRPr="003C2478">
        <w:rPr>
          <w:i/>
          <w:iCs/>
        </w:rPr>
        <w:t xml:space="preserve">biopsie </w:t>
      </w:r>
      <w:r w:rsidR="00A63874" w:rsidRPr="003C2478">
        <w:t xml:space="preserve">" </w:t>
      </w:r>
      <w:r w:rsidR="002E0EA2" w:rsidRPr="003C2478">
        <w:t>ou sur un échantillon "</w:t>
      </w:r>
      <w:r w:rsidR="00AD3558">
        <w:rPr>
          <w:i/>
          <w:iCs/>
        </w:rPr>
        <w:t>fine needle aspiration</w:t>
      </w:r>
      <w:r w:rsidR="002E0EA2" w:rsidRPr="003C2478">
        <w:t xml:space="preserve">", </w:t>
      </w:r>
      <w:r w:rsidR="00AD3558">
        <w:t>un rembours</w:t>
      </w:r>
      <w:r>
        <w:t>e</w:t>
      </w:r>
      <w:r w:rsidR="00AD3558">
        <w:t>ment</w:t>
      </w:r>
      <w:r w:rsidR="00D728DA" w:rsidRPr="003C2478">
        <w:t xml:space="preserve"> </w:t>
      </w:r>
      <w:r w:rsidR="002E0EA2" w:rsidRPr="003C2478">
        <w:t xml:space="preserve">n'est due que </w:t>
      </w:r>
      <w:r w:rsidR="009842B6" w:rsidRPr="003C2478">
        <w:t>si ce type d'</w:t>
      </w:r>
      <w:r w:rsidR="002E0EA2" w:rsidRPr="003C2478">
        <w:t xml:space="preserve">échantillon </w:t>
      </w:r>
      <w:r w:rsidR="009842B6" w:rsidRPr="003C2478">
        <w:t xml:space="preserve">est explicitement mentionné </w:t>
      </w:r>
      <w:r w:rsidR="0087619A" w:rsidRPr="003C2478">
        <w:t xml:space="preserve">dans les </w:t>
      </w:r>
      <w:r w:rsidR="00555F28" w:rsidRPr="003C2478">
        <w:t>condition</w:t>
      </w:r>
      <w:r w:rsidR="00702CD2">
        <w:t>s</w:t>
      </w:r>
      <w:r>
        <w:t xml:space="preserve"> préalables</w:t>
      </w:r>
      <w:r w:rsidR="00555F28" w:rsidRPr="003C2478">
        <w:t xml:space="preserve"> des </w:t>
      </w:r>
      <w:r w:rsidR="0087619A" w:rsidRPr="003C2478">
        <w:t xml:space="preserve">annexes </w:t>
      </w:r>
      <w:r w:rsidR="003C0495" w:rsidRPr="003C2478">
        <w:t>1 et 2</w:t>
      </w:r>
      <w:r w:rsidR="009842B6" w:rsidRPr="003C2478">
        <w:t>.</w:t>
      </w:r>
    </w:p>
    <w:p w14:paraId="21770F87" w14:textId="5A685D68" w:rsidR="002B667A" w:rsidRPr="003C2478" w:rsidRDefault="002E0EA2" w:rsidP="00DA757E">
      <w:pPr>
        <w:jc w:val="both"/>
      </w:pPr>
      <w:r w:rsidRPr="003C2478">
        <w:t xml:space="preserve">Un </w:t>
      </w:r>
      <w:r w:rsidR="00FB023B" w:rsidRPr="003C2478">
        <w:t xml:space="preserve">code de pseudonomenclature </w:t>
      </w:r>
      <w:r w:rsidRPr="003C2478">
        <w:t xml:space="preserve">peut </w:t>
      </w:r>
      <w:r w:rsidR="00287B9D" w:rsidRPr="003C2478">
        <w:t xml:space="preserve">être </w:t>
      </w:r>
      <w:r w:rsidR="00FB023B" w:rsidRPr="003C2478">
        <w:t xml:space="preserve">attesté une fois par </w:t>
      </w:r>
      <w:r w:rsidR="000B142E" w:rsidRPr="003C2478">
        <w:t xml:space="preserve">période de 12 mois. La </w:t>
      </w:r>
      <w:r w:rsidR="00CD7D14" w:rsidRPr="003C2478">
        <w:t xml:space="preserve">date de prescription du test NGS compte comme date d'attestabilité. Les annexes </w:t>
      </w:r>
      <w:r w:rsidR="003C0495" w:rsidRPr="003C2478">
        <w:t xml:space="preserve">1 et 2 </w:t>
      </w:r>
      <w:r w:rsidR="00CD7D14" w:rsidRPr="003C2478">
        <w:t xml:space="preserve">contiennent des codes de </w:t>
      </w:r>
      <w:r w:rsidR="00702CD2" w:rsidRPr="003C2478">
        <w:t xml:space="preserve">pseudonomenclature </w:t>
      </w:r>
      <w:r w:rsidR="00CD7D14" w:rsidRPr="003C2478">
        <w:t xml:space="preserve">distincts qui peuvent être attestés </w:t>
      </w:r>
      <w:r w:rsidR="005B5204" w:rsidRPr="003C2478">
        <w:t xml:space="preserve">pour certaines indications spécifiques </w:t>
      </w:r>
      <w:r w:rsidR="00CD7D14" w:rsidRPr="003C2478">
        <w:t xml:space="preserve">en cas </w:t>
      </w:r>
      <w:r w:rsidR="001C4129">
        <w:t xml:space="preserve"> de rechute </w:t>
      </w:r>
      <w:r w:rsidR="00C27E75">
        <w:t>endéans un an</w:t>
      </w:r>
      <w:r w:rsidR="003C1F1C" w:rsidRPr="003C2478">
        <w:t xml:space="preserve">. </w:t>
      </w:r>
    </w:p>
    <w:p w14:paraId="6F9B6842" w14:textId="70D455C4" w:rsidR="002B667A" w:rsidRPr="003C2478" w:rsidRDefault="002E0EA2" w:rsidP="00DA757E">
      <w:pPr>
        <w:jc w:val="both"/>
      </w:pPr>
      <w:r w:rsidRPr="003C2478">
        <w:lastRenderedPageBreak/>
        <w:t xml:space="preserve">La phase d'investigation diagnostique s'étend de trois mois avant à trois mois après </w:t>
      </w:r>
      <w:r w:rsidR="0025005E" w:rsidRPr="003C2478">
        <w:t xml:space="preserve">la </w:t>
      </w:r>
      <w:r w:rsidRPr="003C2478">
        <w:t xml:space="preserve">date de prescription du test NGS. Les </w:t>
      </w:r>
      <w:r w:rsidR="003A755A" w:rsidRPr="003C2478">
        <w:t xml:space="preserve">tests </w:t>
      </w:r>
      <w:r w:rsidR="00EF1BC7" w:rsidRPr="003C2478">
        <w:t xml:space="preserve">moléculaires </w:t>
      </w:r>
      <w:r w:rsidR="003A755A" w:rsidRPr="003C2478">
        <w:t>préliminaires</w:t>
      </w:r>
      <w:r w:rsidR="00C27E75">
        <w:rPr>
          <w:rStyle w:val="FootnoteReference"/>
        </w:rPr>
        <w:footnoteReference w:id="1"/>
      </w:r>
      <w:r w:rsidR="003A755A" w:rsidRPr="003C2478">
        <w:t xml:space="preserve"> ou complémentaires</w:t>
      </w:r>
      <w:r w:rsidR="0025005E">
        <w:rPr>
          <w:rStyle w:val="FootnoteReference"/>
        </w:rPr>
        <w:footnoteReference w:id="2"/>
      </w:r>
      <w:r w:rsidR="0025005E" w:rsidRPr="003C2478">
        <w:t xml:space="preserve"> prescrits </w:t>
      </w:r>
      <w:r w:rsidR="003A755A" w:rsidRPr="003C2478">
        <w:t xml:space="preserve">et réalisés au cours de cette </w:t>
      </w:r>
      <w:r w:rsidR="00CD7D14" w:rsidRPr="003C2478">
        <w:t xml:space="preserve">phase d'investigation diagnostique </w:t>
      </w:r>
      <w:r w:rsidR="0025005E" w:rsidRPr="003C2478">
        <w:rPr>
          <w:u w:val="single"/>
        </w:rPr>
        <w:t xml:space="preserve">ne </w:t>
      </w:r>
      <w:r w:rsidR="003A755A" w:rsidRPr="003C2478">
        <w:t xml:space="preserve">peuvent être attestés par la nomenclature </w:t>
      </w:r>
      <w:r w:rsidR="0025005E" w:rsidRPr="003C2478">
        <w:rPr>
          <w:u w:val="single"/>
        </w:rPr>
        <w:t xml:space="preserve">que </w:t>
      </w:r>
      <w:r w:rsidR="0025005E" w:rsidRPr="003C2478">
        <w:t xml:space="preserve">si les </w:t>
      </w:r>
      <w:r w:rsidR="0087619A" w:rsidRPr="003C2478">
        <w:t xml:space="preserve">annexes </w:t>
      </w:r>
      <w:r w:rsidR="003C0495" w:rsidRPr="003C2478">
        <w:t xml:space="preserve">1 et 2 </w:t>
      </w:r>
      <w:r w:rsidR="00CD7D14" w:rsidRPr="003C2478">
        <w:t>ne contiennent pas de règle</w:t>
      </w:r>
      <w:r w:rsidR="003C1F1C" w:rsidRPr="003C2478">
        <w:t xml:space="preserve">(s) </w:t>
      </w:r>
      <w:r w:rsidR="00CD7D14" w:rsidRPr="003C2478">
        <w:t>non cumulative(s) pour ce</w:t>
      </w:r>
      <w:r w:rsidR="0025005E" w:rsidRPr="003C2478">
        <w:t xml:space="preserve">(s) </w:t>
      </w:r>
      <w:r w:rsidR="00CD7D14" w:rsidRPr="003C2478">
        <w:t>code</w:t>
      </w:r>
      <w:r w:rsidR="0025005E" w:rsidRPr="003C2478">
        <w:t xml:space="preserve">(s) </w:t>
      </w:r>
      <w:r w:rsidR="00CD7D14" w:rsidRPr="003C2478">
        <w:t>de la nomenclature</w:t>
      </w:r>
      <w:r w:rsidR="003A755A" w:rsidRPr="003C2478">
        <w:t xml:space="preserve">. </w:t>
      </w:r>
    </w:p>
    <w:p w14:paraId="2DD93D73" w14:textId="77777777" w:rsidR="002B667A" w:rsidRPr="003C2478" w:rsidRDefault="002E0EA2" w:rsidP="00DA757E">
      <w:pPr>
        <w:jc w:val="both"/>
      </w:pPr>
      <w:r w:rsidRPr="003C2478">
        <w:t>Si</w:t>
      </w:r>
      <w:r w:rsidR="00EB6289" w:rsidRPr="003C2478">
        <w:t xml:space="preserve">, pour une indication, un </w:t>
      </w:r>
      <w:r w:rsidR="00CD7D14" w:rsidRPr="003C2478">
        <w:t>code de</w:t>
      </w:r>
      <w:r w:rsidR="00EB6289" w:rsidRPr="003C2478">
        <w:t xml:space="preserve"> pseudonomenclature </w:t>
      </w:r>
      <w:r w:rsidR="006E3E0E" w:rsidRPr="003C2478">
        <w:t xml:space="preserve">est fourni </w:t>
      </w:r>
      <w:r w:rsidR="00EB6289" w:rsidRPr="003C2478">
        <w:t xml:space="preserve">pour un test NGS et </w:t>
      </w:r>
      <w:r w:rsidR="00287B9D" w:rsidRPr="003C2478">
        <w:t xml:space="preserve">un </w:t>
      </w:r>
      <w:r w:rsidR="00EB6289" w:rsidRPr="003C2478">
        <w:t xml:space="preserve">test RNASeq et que le panel minimal de biomarqueurs </w:t>
      </w:r>
      <w:r w:rsidR="00CD7D14" w:rsidRPr="003C2478">
        <w:t xml:space="preserve">pour les deux </w:t>
      </w:r>
      <w:r w:rsidR="00EF1BC7" w:rsidRPr="003C2478">
        <w:t xml:space="preserve">codes de pseudonomenclature </w:t>
      </w:r>
      <w:r w:rsidR="006E3E0E" w:rsidRPr="003C2478">
        <w:t xml:space="preserve">peut </w:t>
      </w:r>
      <w:r w:rsidR="00EB6289" w:rsidRPr="003C2478">
        <w:t xml:space="preserve">être analysé </w:t>
      </w:r>
      <w:r w:rsidRPr="003C2478">
        <w:t xml:space="preserve">en un seul test </w:t>
      </w:r>
      <w:r w:rsidR="00EF1BC7" w:rsidRPr="003C2478">
        <w:t xml:space="preserve">(par exemple par </w:t>
      </w:r>
      <w:r w:rsidR="00EB014E" w:rsidRPr="003C2478">
        <w:t>un test CGP</w:t>
      </w:r>
      <w:r w:rsidR="003C1F1C" w:rsidRPr="003C2478">
        <w:t xml:space="preserve">, </w:t>
      </w:r>
      <w:r w:rsidR="00EB014E" w:rsidRPr="003C2478">
        <w:t>"comprehensive genomic profiling</w:t>
      </w:r>
      <w:r w:rsidR="005E0428" w:rsidRPr="003C2478">
        <w:t>"</w:t>
      </w:r>
      <w:r w:rsidR="00EF1BC7" w:rsidRPr="003C2478">
        <w:t>)</w:t>
      </w:r>
      <w:r w:rsidR="00EB6289" w:rsidRPr="003C2478">
        <w:t xml:space="preserve">, les </w:t>
      </w:r>
      <w:r w:rsidRPr="003C2478">
        <w:t xml:space="preserve">deux </w:t>
      </w:r>
      <w:r w:rsidR="005E0428" w:rsidRPr="003C2478">
        <w:t xml:space="preserve">codes de </w:t>
      </w:r>
      <w:r w:rsidR="00EB7CA0" w:rsidRPr="003C2478">
        <w:t xml:space="preserve">pseudonomenclature </w:t>
      </w:r>
      <w:r w:rsidRPr="003C2478">
        <w:t>peuvent être attestés pour ce seul test</w:t>
      </w:r>
      <w:r w:rsidR="002F77A3" w:rsidRPr="003C2478">
        <w:t xml:space="preserve">, pour autant que toutes les conditions préalables énoncées aux annexes </w:t>
      </w:r>
      <w:r w:rsidR="003C0495" w:rsidRPr="003C2478">
        <w:t xml:space="preserve">1 et 2 </w:t>
      </w:r>
      <w:r w:rsidR="002F77A3" w:rsidRPr="003C2478">
        <w:t>soient remplies.</w:t>
      </w:r>
    </w:p>
    <w:p w14:paraId="66DFD69A" w14:textId="0CADEC75" w:rsidR="004649D0" w:rsidRDefault="004649D0" w:rsidP="00DA757E">
      <w:pPr>
        <w:jc w:val="both"/>
      </w:pPr>
      <w:r w:rsidRPr="004649D0">
        <w:t xml:space="preserve">Le montant des remboursements mentionnés </w:t>
      </w:r>
      <w:r>
        <w:t xml:space="preserve">en </w:t>
      </w:r>
      <w:r w:rsidRPr="004649D0">
        <w:t xml:space="preserve">annexes 1 et 2 </w:t>
      </w:r>
      <w:r w:rsidR="00AA412F">
        <w:t>est</w:t>
      </w:r>
      <w:r w:rsidRPr="004649D0">
        <w:t xml:space="preserve"> indexé chaque année au 1</w:t>
      </w:r>
      <w:r w:rsidRPr="00AA412F">
        <w:rPr>
          <w:vertAlign w:val="superscript"/>
        </w:rPr>
        <w:t>er</w:t>
      </w:r>
      <w:r w:rsidR="00AA412F">
        <w:t xml:space="preserve"> </w:t>
      </w:r>
      <w:r w:rsidRPr="004649D0">
        <w:t xml:space="preserve">janvier </w:t>
      </w:r>
      <w:r w:rsidR="00AA412F">
        <w:t xml:space="preserve">conformément à l’indexation relative à </w:t>
      </w:r>
      <w:r w:rsidR="00AA412F" w:rsidRPr="00AA412F">
        <w:t>l'indice santé lissé</w:t>
      </w:r>
      <w:r w:rsidR="00AA412F">
        <w:t xml:space="preserve"> déterminée en vertu de l’article 207bis </w:t>
      </w:r>
      <w:r w:rsidRPr="004649D0">
        <w:t>de la loi sur l’assurance obligatoire des soins médicaux</w:t>
      </w:r>
      <w:r>
        <w:t xml:space="preserve"> et invalidités</w:t>
      </w:r>
      <w:r w:rsidR="00AA412F">
        <w:t>,</w:t>
      </w:r>
      <w:r>
        <w:t xml:space="preserve"> coordonnée le 14 juillet 1994.</w:t>
      </w:r>
    </w:p>
    <w:p w14:paraId="749A1957" w14:textId="74F805E6" w:rsidR="00396BE2" w:rsidRPr="003C2478" w:rsidRDefault="00900839" w:rsidP="00DA757E">
      <w:pPr>
        <w:jc w:val="both"/>
      </w:pPr>
      <w:r w:rsidRPr="00900839">
        <w:t xml:space="preserve">La Commission nationale médico-mutualiste décide </w:t>
      </w:r>
      <w:r w:rsidR="003A7CBC" w:rsidRPr="003A7CBC">
        <w:t>de l'emploi de la masse d'indexation</w:t>
      </w:r>
      <w:r w:rsidRPr="00900839">
        <w:t xml:space="preserve">. </w:t>
      </w:r>
      <w:r w:rsidR="002E0EA2" w:rsidRPr="003C2478">
        <w:t xml:space="preserve">Les </w:t>
      </w:r>
      <w:r w:rsidR="00793A7A" w:rsidRPr="003C2478">
        <w:t xml:space="preserve">annexes </w:t>
      </w:r>
      <w:r w:rsidR="003C0495" w:rsidRPr="003C2478">
        <w:t xml:space="preserve">1 et 2 </w:t>
      </w:r>
      <w:r w:rsidR="00D94DB7">
        <w:t>a</w:t>
      </w:r>
      <w:r w:rsidR="002E0EA2" w:rsidRPr="003C2478">
        <w:t xml:space="preserve">daptés seront mis à la disposition de </w:t>
      </w:r>
      <w:r w:rsidR="00C56F95" w:rsidRPr="003C2478">
        <w:t xml:space="preserve">la </w:t>
      </w:r>
      <w:r w:rsidR="002E0EA2" w:rsidRPr="003C2478">
        <w:t>personne de contact de la première partie et rendus publiques sur le site internet de l'INAMI dans le mois qui suit un nouveau calcul du remboursement</w:t>
      </w:r>
      <w:r w:rsidR="007F3CEB" w:rsidRPr="003C2478">
        <w:t>.</w:t>
      </w:r>
    </w:p>
    <w:p w14:paraId="22D522F9" w14:textId="731439C1" w:rsidR="00CE7DF0" w:rsidRPr="003C2478" w:rsidRDefault="00CE7DF0" w:rsidP="00DA757E">
      <w:pPr>
        <w:jc w:val="both"/>
      </w:pPr>
    </w:p>
    <w:p w14:paraId="4D2C6EB6" w14:textId="0695F999" w:rsidR="002B667A" w:rsidRDefault="002E0EA2" w:rsidP="00DA757E">
      <w:pPr>
        <w:pStyle w:val="Heading1"/>
        <w:jc w:val="both"/>
      </w:pPr>
      <w:bookmarkStart w:id="17" w:name="_Toc215211236"/>
      <w:r>
        <w:t>Adapt</w:t>
      </w:r>
      <w:r w:rsidR="00396BE2">
        <w:t>ation</w:t>
      </w:r>
      <w:r>
        <w:t xml:space="preserve"> </w:t>
      </w:r>
      <w:r w:rsidR="00FB21A0">
        <w:t>d</w:t>
      </w:r>
      <w:r>
        <w:t xml:space="preserve">es </w:t>
      </w:r>
      <w:r w:rsidR="0087619A">
        <w:t xml:space="preserve">annexes </w:t>
      </w:r>
      <w:r w:rsidR="003C0495" w:rsidRPr="003C0495">
        <w:t>1 et 2</w:t>
      </w:r>
      <w:bookmarkEnd w:id="17"/>
    </w:p>
    <w:p w14:paraId="3CA02C23" w14:textId="3E0D372E" w:rsidR="002B667A" w:rsidRPr="003C2478" w:rsidRDefault="002E0EA2" w:rsidP="00DA757E">
      <w:pPr>
        <w:jc w:val="both"/>
      </w:pPr>
      <w:r w:rsidRPr="003C2478">
        <w:t xml:space="preserve">La première partie peut proposer des </w:t>
      </w:r>
      <w:r w:rsidR="00396BE2">
        <w:t>adaptations</w:t>
      </w:r>
      <w:r w:rsidRPr="003C2478">
        <w:t xml:space="preserve"> et des ajouts aux annexes </w:t>
      </w:r>
      <w:r w:rsidR="003C0495" w:rsidRPr="003C2478">
        <w:t xml:space="preserve">1 </w:t>
      </w:r>
      <w:r w:rsidR="001D0999" w:rsidRPr="003C2478">
        <w:t xml:space="preserve">et/ou </w:t>
      </w:r>
      <w:r w:rsidR="003C0495" w:rsidRPr="003C2478">
        <w:t xml:space="preserve">2 </w:t>
      </w:r>
      <w:r w:rsidR="001079BD" w:rsidRPr="003C2478">
        <w:t xml:space="preserve">par l'intermédiaire de </w:t>
      </w:r>
      <w:r w:rsidR="00FB023B" w:rsidRPr="003C2478">
        <w:t xml:space="preserve">la </w:t>
      </w:r>
      <w:r w:rsidRPr="00FE1CBB">
        <w:rPr>
          <w:i/>
          <w:iCs/>
        </w:rPr>
        <w:t xml:space="preserve">Commission </w:t>
      </w:r>
      <w:r w:rsidR="00FE1CBB" w:rsidRPr="00FE1CBB">
        <w:rPr>
          <w:i/>
          <w:iCs/>
        </w:rPr>
        <w:t>Personalised Medicine</w:t>
      </w:r>
      <w:r w:rsidRPr="003C2478">
        <w:t xml:space="preserve"> (ComPerMed)</w:t>
      </w:r>
      <w:r>
        <w:rPr>
          <w:rStyle w:val="FootnoteReference"/>
        </w:rPr>
        <w:footnoteReference w:id="3"/>
      </w:r>
      <w:r w:rsidRPr="003C2478">
        <w:t>, un conseil consultatif pour l'utilité clinique en (hémato-) oncologie</w:t>
      </w:r>
      <w:r w:rsidR="00402B89" w:rsidRPr="003C2478">
        <w:t xml:space="preserve">. Les propositions sont </w:t>
      </w:r>
      <w:r w:rsidR="00FE1CBB">
        <w:t>mo</w:t>
      </w:r>
      <w:r w:rsidR="00FB21A0">
        <w:t>t</w:t>
      </w:r>
      <w:r w:rsidR="00FE1CBB">
        <w:t>ivées</w:t>
      </w:r>
      <w:r w:rsidR="00402B89" w:rsidRPr="003C2478">
        <w:t xml:space="preserve"> par </w:t>
      </w:r>
      <w:r w:rsidR="001079BD" w:rsidRPr="003C2478">
        <w:t>le ComPerMed sur la base d'</w:t>
      </w:r>
      <w:r w:rsidR="00402B89" w:rsidRPr="003C2478">
        <w:t>études cliniques publiées et de lignes directrices internationales</w:t>
      </w:r>
      <w:r w:rsidR="001D0999" w:rsidRPr="003C2478">
        <w:t xml:space="preserve">, avec </w:t>
      </w:r>
      <w:r w:rsidR="00402B89" w:rsidRPr="003C2478">
        <w:t xml:space="preserve">une estimation du nombre de tests supplémentaires </w:t>
      </w:r>
      <w:r w:rsidR="001D0999" w:rsidRPr="003C2478">
        <w:t xml:space="preserve">et du budget </w:t>
      </w:r>
      <w:r w:rsidR="00C05B47" w:rsidRPr="003C2478">
        <w:t>nécessaire</w:t>
      </w:r>
      <w:r w:rsidR="00AF6C94" w:rsidRPr="003C2478">
        <w:t>.</w:t>
      </w:r>
    </w:p>
    <w:p w14:paraId="4F63932B" w14:textId="68948A65" w:rsidR="002B667A" w:rsidRPr="003C2478" w:rsidRDefault="00AF6C94" w:rsidP="00DA757E">
      <w:pPr>
        <w:jc w:val="both"/>
      </w:pPr>
      <w:r w:rsidRPr="003C2478">
        <w:t xml:space="preserve">Une fois par an, </w:t>
      </w:r>
      <w:r w:rsidR="002E0EA2" w:rsidRPr="003C2478">
        <w:t xml:space="preserve">la ComPerMed transmettra </w:t>
      </w:r>
      <w:r w:rsidR="00FB023B" w:rsidRPr="003C2478">
        <w:t xml:space="preserve">les propositions approuvées au </w:t>
      </w:r>
      <w:r w:rsidR="00D96991" w:rsidRPr="003C2478">
        <w:t xml:space="preserve">Service </w:t>
      </w:r>
      <w:r w:rsidR="00FE1CBB" w:rsidRPr="00FE1CBB">
        <w:t>des soins de santé</w:t>
      </w:r>
      <w:r w:rsidR="00FE1CBB">
        <w:t xml:space="preserve"> </w:t>
      </w:r>
      <w:r w:rsidR="00D96991" w:rsidRPr="003C2478">
        <w:t xml:space="preserve">via l'adresse électronique pour le suivi du contenu de la présente convention (voir p1). La </w:t>
      </w:r>
      <w:r w:rsidR="00C05B47" w:rsidRPr="003C2478">
        <w:t xml:space="preserve">seconde partie </w:t>
      </w:r>
      <w:r w:rsidR="00733C3D" w:rsidRPr="003C2478">
        <w:t xml:space="preserve">étudiera les </w:t>
      </w:r>
      <w:r w:rsidR="00FE1CBB">
        <w:t>adaptations</w:t>
      </w:r>
      <w:r w:rsidR="00733C3D" w:rsidRPr="003C2478">
        <w:t xml:space="preserve"> ou </w:t>
      </w:r>
      <w:r w:rsidR="00FE1CBB">
        <w:t>ajouts</w:t>
      </w:r>
      <w:r w:rsidR="00733C3D" w:rsidRPr="003C2478">
        <w:t xml:space="preserve"> et </w:t>
      </w:r>
      <w:r w:rsidR="00D96991" w:rsidRPr="003C2478">
        <w:t xml:space="preserve">soumettra </w:t>
      </w:r>
      <w:r w:rsidR="00733C3D" w:rsidRPr="003C2478">
        <w:t xml:space="preserve">une </w:t>
      </w:r>
      <w:r w:rsidR="00D96991" w:rsidRPr="003C2478">
        <w:t>proposition motivée au Comité d</w:t>
      </w:r>
      <w:r w:rsidR="00FB21A0">
        <w:t>e l’</w:t>
      </w:r>
      <w:r w:rsidR="00D96991" w:rsidRPr="003C2478">
        <w:t xml:space="preserve">assurance sur la base </w:t>
      </w:r>
      <w:r w:rsidR="00733C3D" w:rsidRPr="003C2478">
        <w:t>d'arguments scientifiques et budgétaires</w:t>
      </w:r>
      <w:r w:rsidR="0067785E" w:rsidRPr="003C2478">
        <w:t xml:space="preserve">. </w:t>
      </w:r>
    </w:p>
    <w:p w14:paraId="3A11C9D7" w14:textId="7D7A8153" w:rsidR="002B667A" w:rsidRPr="003C2478" w:rsidRDefault="002E0EA2" w:rsidP="00DA757E">
      <w:pPr>
        <w:jc w:val="both"/>
      </w:pPr>
      <w:r w:rsidRPr="003C2478">
        <w:t>Après la signature</w:t>
      </w:r>
      <w:r w:rsidR="009168B8">
        <w:t xml:space="preserve"> </w:t>
      </w:r>
      <w:r w:rsidR="00FB21A0">
        <w:t>d’un avenant</w:t>
      </w:r>
      <w:r w:rsidR="006E2ECC" w:rsidRPr="003C2478">
        <w:t xml:space="preserve">, la </w:t>
      </w:r>
      <w:r w:rsidRPr="003C2478">
        <w:t xml:space="preserve">première partie </w:t>
      </w:r>
      <w:r w:rsidR="001D0999" w:rsidRPr="003C2478">
        <w:t xml:space="preserve">s'engage à </w:t>
      </w:r>
      <w:r w:rsidR="00D728DA" w:rsidRPr="003C2478">
        <w:t xml:space="preserve">apporter </w:t>
      </w:r>
      <w:r w:rsidRPr="003C2478">
        <w:t xml:space="preserve">les ajustements </w:t>
      </w:r>
      <w:r w:rsidR="00D728DA" w:rsidRPr="003C2478">
        <w:t xml:space="preserve">nécessaires </w:t>
      </w:r>
      <w:r w:rsidR="006E2ECC" w:rsidRPr="003C2478">
        <w:t xml:space="preserve">aux panels de gènes </w:t>
      </w:r>
      <w:r w:rsidRPr="003C2478">
        <w:t xml:space="preserve">dans un délai de </w:t>
      </w:r>
      <w:r w:rsidR="00CC0819" w:rsidRPr="003C2478">
        <w:t xml:space="preserve">six </w:t>
      </w:r>
      <w:r w:rsidRPr="003C2478">
        <w:t>mois.</w:t>
      </w:r>
    </w:p>
    <w:p w14:paraId="70491FB2" w14:textId="4051F02B" w:rsidR="00BF0CB6" w:rsidRPr="003C2478" w:rsidRDefault="00BF0CB6" w:rsidP="00DA757E">
      <w:pPr>
        <w:jc w:val="both"/>
      </w:pPr>
    </w:p>
    <w:p w14:paraId="57790230" w14:textId="4C4670CB" w:rsidR="002B667A" w:rsidRDefault="00FE1CBB" w:rsidP="00DA757E">
      <w:pPr>
        <w:pStyle w:val="Heading1"/>
        <w:jc w:val="both"/>
      </w:pPr>
      <w:bookmarkStart w:id="18" w:name="_Toc215211237"/>
      <w:r>
        <w:t>Enregistrement</w:t>
      </w:r>
      <w:bookmarkEnd w:id="18"/>
    </w:p>
    <w:p w14:paraId="7035A72A" w14:textId="57648322" w:rsidR="002B667A" w:rsidRPr="003C2478" w:rsidRDefault="00BE5657" w:rsidP="00DA757E">
      <w:pPr>
        <w:jc w:val="both"/>
      </w:pPr>
      <w:r w:rsidRPr="003C2478">
        <w:t xml:space="preserve">Les annexes </w:t>
      </w:r>
      <w:r w:rsidR="003C0495" w:rsidRPr="003C2478">
        <w:t xml:space="preserve">1 et 2 </w:t>
      </w:r>
      <w:r w:rsidRPr="003C2478">
        <w:t xml:space="preserve">listent plusieurs </w:t>
      </w:r>
      <w:r w:rsidR="007A26FA" w:rsidRPr="003C2478">
        <w:t xml:space="preserve">biomarqueurs associés à </w:t>
      </w:r>
      <w:r w:rsidR="003142D9" w:rsidRPr="003C2478">
        <w:t xml:space="preserve">une spécialité pharmaceutique inscrite au </w:t>
      </w:r>
      <w:r w:rsidR="003142D9" w:rsidRPr="003C2478">
        <w:rPr>
          <w:i/>
          <w:iCs/>
        </w:rPr>
        <w:t xml:space="preserve">chapitre VIII de l'arrêté royal du 1er février 2018 </w:t>
      </w:r>
      <w:r w:rsidR="00EC1680" w:rsidRPr="00EC1680">
        <w:rPr>
          <w:i/>
          <w:iCs/>
        </w:rPr>
        <w:t xml:space="preserve">fixant les procédures, délais et conditions en matière d'intervention de l'assurance obligatoire soins de santé et indemnités dans le coût des spécialités </w:t>
      </w:r>
      <w:r w:rsidR="00EC1680" w:rsidRPr="00EC1680">
        <w:rPr>
          <w:i/>
          <w:iCs/>
        </w:rPr>
        <w:lastRenderedPageBreak/>
        <w:t>pharmaceutique</w:t>
      </w:r>
      <w:r w:rsidR="003142D9" w:rsidRPr="003C2478">
        <w:rPr>
          <w:i/>
          <w:iCs/>
        </w:rPr>
        <w:t>s</w:t>
      </w:r>
      <w:r w:rsidR="003142D9" w:rsidRPr="003C2478">
        <w:t xml:space="preserve">. Ces biomarqueurs </w:t>
      </w:r>
      <w:r w:rsidR="00B8067E" w:rsidRPr="003C2478">
        <w:t xml:space="preserve">sont décrits </w:t>
      </w:r>
      <w:r w:rsidR="003142D9" w:rsidRPr="003C2478">
        <w:t xml:space="preserve">dans la </w:t>
      </w:r>
      <w:r w:rsidR="00E265EB" w:rsidRPr="003C2478">
        <w:t xml:space="preserve">liste </w:t>
      </w:r>
      <w:r w:rsidR="003142D9" w:rsidRPr="003C2478">
        <w:t>C de ce chapitre VIII</w:t>
      </w:r>
      <w:r w:rsidR="00EB244C">
        <w:rPr>
          <w:rStyle w:val="FootnoteReference"/>
        </w:rPr>
        <w:footnoteReference w:id="4"/>
      </w:r>
      <w:r w:rsidR="003142D9" w:rsidRPr="003C2478">
        <w:t xml:space="preserve"> et sont </w:t>
      </w:r>
      <w:r w:rsidR="00A67B06" w:rsidRPr="003C2478">
        <w:t>liés aux prestations de l'article 33ter de la nomenclature</w:t>
      </w:r>
      <w:r w:rsidR="00EB244C">
        <w:rPr>
          <w:rStyle w:val="FootnoteReference"/>
        </w:rPr>
        <w:footnoteReference w:id="5"/>
      </w:r>
      <w:r w:rsidR="003142D9" w:rsidRPr="003C2478">
        <w:t xml:space="preserve">. </w:t>
      </w:r>
    </w:p>
    <w:p w14:paraId="792865D4" w14:textId="62F15422" w:rsidR="002B667A" w:rsidRPr="003C2478" w:rsidRDefault="002E0EA2" w:rsidP="00DA757E">
      <w:pPr>
        <w:jc w:val="both"/>
      </w:pPr>
      <w:r w:rsidRPr="003C2478">
        <w:t xml:space="preserve">Le remboursement de ces spécialités pharmaceutiques est subordonné (en application de l'article 9ter de la </w:t>
      </w:r>
      <w:r w:rsidR="00EC1680" w:rsidRPr="00EC1680">
        <w:rPr>
          <w:i/>
          <w:iCs/>
        </w:rPr>
        <w:t>Loi relative à l'assurance obligatoire soins de santé et indemnités coordonnée le 14 juillet 1994</w:t>
      </w:r>
      <w:r w:rsidRPr="003C2478">
        <w:t xml:space="preserve">) à </w:t>
      </w:r>
      <w:r w:rsidR="00EC1680">
        <w:t>l’enregistrement</w:t>
      </w:r>
      <w:r w:rsidRPr="003C2478">
        <w:t xml:space="preserve"> du résultat du test </w:t>
      </w:r>
      <w:r w:rsidR="0043154D" w:rsidRPr="003C2478">
        <w:t xml:space="preserve">pour ce biomarqueur </w:t>
      </w:r>
      <w:r w:rsidRPr="003C2478">
        <w:t>dans le registre Healthdata "PITTER".</w:t>
      </w:r>
    </w:p>
    <w:p w14:paraId="1DD764FD" w14:textId="1F941816" w:rsidR="002B667A" w:rsidRPr="003C2478" w:rsidRDefault="002E0EA2" w:rsidP="00DA757E">
      <w:pPr>
        <w:jc w:val="both"/>
      </w:pPr>
      <w:r w:rsidRPr="003C2478">
        <w:t>L</w:t>
      </w:r>
      <w:r w:rsidR="008B1E06">
        <w:t>es prestations de l</w:t>
      </w:r>
      <w:r w:rsidRPr="003C2478">
        <w:t xml:space="preserve">'article 33ter </w:t>
      </w:r>
      <w:r w:rsidR="00C014F9" w:rsidRPr="003C2478">
        <w:t>ne peu</w:t>
      </w:r>
      <w:r w:rsidR="00FB21A0">
        <w:t>vent</w:t>
      </w:r>
      <w:r w:rsidR="00C014F9" w:rsidRPr="003C2478">
        <w:t xml:space="preserve"> être attesté pour un test NGS en raison des règles de non cumul des annexes </w:t>
      </w:r>
      <w:r w:rsidR="003C0495" w:rsidRPr="003C2478">
        <w:t>1 et 2</w:t>
      </w:r>
      <w:r w:rsidR="00C014F9" w:rsidRPr="003C2478">
        <w:t xml:space="preserve">. </w:t>
      </w:r>
      <w:r w:rsidR="002A206E" w:rsidRPr="003C2478">
        <w:t xml:space="preserve">Toutefois, l'enregistrement dans PITTER des résultats de tests de biomarqueurs associés à une spécialité pharmaceutique remboursable reste une condition pour obtenir le </w:t>
      </w:r>
      <w:r w:rsidR="00D728DA" w:rsidRPr="003C2478">
        <w:t xml:space="preserve">remboursement </w:t>
      </w:r>
      <w:r w:rsidR="00F35C33" w:rsidRPr="003C2478">
        <w:t xml:space="preserve">dans le cadre de </w:t>
      </w:r>
      <w:r w:rsidR="002A206E" w:rsidRPr="003C2478">
        <w:t xml:space="preserve">cette convention. Les annexes </w:t>
      </w:r>
      <w:r w:rsidR="003C0495" w:rsidRPr="003C2478">
        <w:t xml:space="preserve">1 et 2 </w:t>
      </w:r>
      <w:r w:rsidR="002A206E" w:rsidRPr="003C2478">
        <w:t xml:space="preserve">énumèrent </w:t>
      </w:r>
      <w:r w:rsidR="00FB21A0" w:rsidRPr="003C2478">
        <w:t xml:space="preserve">par indication </w:t>
      </w:r>
      <w:r w:rsidR="002A206E" w:rsidRPr="003C2478">
        <w:t xml:space="preserve">les biomarqueurs qui doivent être enregistrés dans le </w:t>
      </w:r>
      <w:r w:rsidR="00F35C33" w:rsidRPr="003C2478">
        <w:t>registre PITTER</w:t>
      </w:r>
      <w:r w:rsidR="002A206E" w:rsidRPr="003C2478">
        <w:t xml:space="preserve">. </w:t>
      </w:r>
    </w:p>
    <w:p w14:paraId="6B49F1D5" w14:textId="5A0C19A7" w:rsidR="002B667A" w:rsidRPr="003C2478" w:rsidRDefault="002E0EA2" w:rsidP="00DA757E">
      <w:pPr>
        <w:jc w:val="both"/>
      </w:pPr>
      <w:r w:rsidRPr="003C2478">
        <w:t xml:space="preserve">Les résultats </w:t>
      </w:r>
      <w:r w:rsidR="00B8067E" w:rsidRPr="003C2478">
        <w:t xml:space="preserve">obtenus lors de la </w:t>
      </w:r>
      <w:r w:rsidR="00654676" w:rsidRPr="003C2478">
        <w:t>réalisation d'</w:t>
      </w:r>
      <w:r w:rsidR="00B8067E" w:rsidRPr="003C2478">
        <w:t xml:space="preserve">un NGS ou d'un RNA-seq </w:t>
      </w:r>
      <w:r w:rsidR="0088740B" w:rsidRPr="003C2478">
        <w:t xml:space="preserve">pour les </w:t>
      </w:r>
      <w:r w:rsidR="00E265EB" w:rsidRPr="003C2478">
        <w:t xml:space="preserve">indications pour lesquelles aucun biomarqueur n'est inclus dans la </w:t>
      </w:r>
      <w:r w:rsidR="003C78DE" w:rsidRPr="003C2478">
        <w:t xml:space="preserve">liste C du chapitre VIII </w:t>
      </w:r>
      <w:r w:rsidR="00E265EB" w:rsidRPr="003C2478">
        <w:t xml:space="preserve">ne </w:t>
      </w:r>
      <w:r w:rsidRPr="003C2478">
        <w:t xml:space="preserve">doivent </w:t>
      </w:r>
      <w:r w:rsidR="00E265EB" w:rsidRPr="003C2478">
        <w:t xml:space="preserve">pas être enregistrés. </w:t>
      </w:r>
    </w:p>
    <w:p w14:paraId="1EB4A52A" w14:textId="77777777" w:rsidR="00C52953" w:rsidRPr="003C2478" w:rsidRDefault="00C52953" w:rsidP="00DA757E">
      <w:pPr>
        <w:jc w:val="both"/>
      </w:pPr>
    </w:p>
    <w:p w14:paraId="0ECF73DD" w14:textId="77777777" w:rsidR="002B667A" w:rsidRDefault="00BF0CB6" w:rsidP="00DA757E">
      <w:pPr>
        <w:pStyle w:val="Heading1"/>
        <w:jc w:val="both"/>
      </w:pPr>
      <w:bookmarkStart w:id="19" w:name="_Toc215211238"/>
      <w:r>
        <w:t>Exigences de qualité</w:t>
      </w:r>
      <w:bookmarkEnd w:id="19"/>
    </w:p>
    <w:p w14:paraId="479CA5F3" w14:textId="77777777" w:rsidR="002B667A" w:rsidRPr="003C2478" w:rsidRDefault="002E0EA2" w:rsidP="00DA757E">
      <w:pPr>
        <w:jc w:val="both"/>
      </w:pPr>
      <w:r w:rsidRPr="003C2478">
        <w:t xml:space="preserve">La première partie </w:t>
      </w:r>
      <w:r w:rsidR="00D728DA" w:rsidRPr="003C2478">
        <w:t xml:space="preserve">respecte </w:t>
      </w:r>
      <w:r w:rsidR="00C014F9" w:rsidRPr="003C2478">
        <w:t xml:space="preserve">les </w:t>
      </w:r>
      <w:r w:rsidR="00BF0CB6" w:rsidRPr="003C2478">
        <w:t xml:space="preserve">critères de qualité définis par Belac pour les analyses NGS </w:t>
      </w:r>
      <w:r w:rsidR="00F51FF2" w:rsidRPr="003C2478">
        <w:t>dans le document BELAC 2-405-NGS</w:t>
      </w:r>
      <w:r w:rsidR="00F51FF2">
        <w:rPr>
          <w:rStyle w:val="FootnoteReference"/>
        </w:rPr>
        <w:footnoteReference w:id="6"/>
      </w:r>
      <w:r w:rsidR="00BF0CB6" w:rsidRPr="003C2478">
        <w:t xml:space="preserve"> , qui doivent être décrits dans des </w:t>
      </w:r>
      <w:r w:rsidR="001D411C" w:rsidRPr="003C2478">
        <w:t xml:space="preserve">protocoles de </w:t>
      </w:r>
      <w:r w:rsidR="00BF0CB6" w:rsidRPr="003C2478">
        <w:t xml:space="preserve">laboratoire validés. </w:t>
      </w:r>
      <w:r w:rsidR="00BB399F" w:rsidRPr="003C2478">
        <w:t>L'</w:t>
      </w:r>
      <w:r w:rsidR="005D4B43" w:rsidRPr="003C2478">
        <w:t>institution prépare un rapport pour chaque échantillon analysé</w:t>
      </w:r>
      <w:r w:rsidR="00134EF8" w:rsidRPr="003C2478">
        <w:t xml:space="preserve">, </w:t>
      </w:r>
      <w:r w:rsidR="005D4B43" w:rsidRPr="003C2478">
        <w:t>le soumet au prescripteur et est donc responsable de sa bonne exécution et de son rapport.</w:t>
      </w:r>
    </w:p>
    <w:p w14:paraId="457641BC" w14:textId="61C7E736" w:rsidR="002B667A" w:rsidRPr="003C2478" w:rsidRDefault="002E0EA2" w:rsidP="00DA757E">
      <w:pPr>
        <w:jc w:val="both"/>
      </w:pPr>
      <w:r w:rsidRPr="003C2478">
        <w:t>L</w:t>
      </w:r>
      <w:r w:rsidR="008B1E06">
        <w:t>e SLA</w:t>
      </w:r>
      <w:r w:rsidRPr="003C2478">
        <w:t xml:space="preserve"> entre </w:t>
      </w:r>
      <w:r w:rsidR="005D4B43" w:rsidRPr="003C2478">
        <w:t xml:space="preserve">une institution </w:t>
      </w:r>
      <w:r w:rsidR="00ED51D7">
        <w:t xml:space="preserve">de bas-volume </w:t>
      </w:r>
      <w:r w:rsidR="005D4B43" w:rsidRPr="003C2478">
        <w:t xml:space="preserve">et une institution </w:t>
      </w:r>
      <w:r w:rsidR="00257B99">
        <w:t>de haut-volume</w:t>
      </w:r>
      <w:r w:rsidR="005D4B43" w:rsidRPr="003C2478">
        <w:t xml:space="preserve"> ou l</w:t>
      </w:r>
      <w:r w:rsidR="008B1E06">
        <w:t>e SLA</w:t>
      </w:r>
      <w:r w:rsidR="005D4B43" w:rsidRPr="003C2478">
        <w:t xml:space="preserve"> entre une institution </w:t>
      </w:r>
      <w:r w:rsidR="008B1E06" w:rsidRPr="003C2478">
        <w:t xml:space="preserve">collaboratrice </w:t>
      </w:r>
      <w:r w:rsidR="008B1E06" w:rsidRPr="004175CB">
        <w:t xml:space="preserve">avec des étapes externalisées </w:t>
      </w:r>
      <w:r w:rsidRPr="003C2478">
        <w:t xml:space="preserve">et </w:t>
      </w:r>
      <w:r w:rsidR="005D4B43" w:rsidRPr="003C2478">
        <w:t xml:space="preserve">une institution </w:t>
      </w:r>
      <w:r w:rsidR="00257B99">
        <w:t>de haut-volume</w:t>
      </w:r>
      <w:r w:rsidRPr="003C2478">
        <w:t xml:space="preserve"> définit la manière dont </w:t>
      </w:r>
      <w:r w:rsidR="005D4B43" w:rsidRPr="003C2478">
        <w:t xml:space="preserve">l'institution </w:t>
      </w:r>
      <w:r w:rsidR="00257B99">
        <w:t>de haut-volume</w:t>
      </w:r>
      <w:r w:rsidR="005D4B43" w:rsidRPr="003C2478">
        <w:t xml:space="preserve"> </w:t>
      </w:r>
      <w:r w:rsidR="0011574C">
        <w:t>donne un soutien à ce</w:t>
      </w:r>
      <w:r w:rsidRPr="003C2478">
        <w:t xml:space="preserve"> que ce rapport </w:t>
      </w:r>
      <w:r w:rsidR="0011574C">
        <w:t>soit</w:t>
      </w:r>
      <w:r w:rsidRPr="003C2478">
        <w:t xml:space="preserve"> correct et complet (par exemple, </w:t>
      </w:r>
      <w:r w:rsidR="00212AE4" w:rsidRPr="003C2478">
        <w:t xml:space="preserve">par une formation continue, par </w:t>
      </w:r>
      <w:r w:rsidRPr="003C2478">
        <w:t xml:space="preserve">le contrôle d'un pourcentage de rapports fixé dans </w:t>
      </w:r>
      <w:r w:rsidR="008B1E06">
        <w:t>le SLA</w:t>
      </w:r>
      <w:r w:rsidRPr="003C2478">
        <w:t xml:space="preserve">, par la disponibilité d'une assistance et/ou la participation à la préparation du rapport, ...). </w:t>
      </w:r>
    </w:p>
    <w:p w14:paraId="64C4B318" w14:textId="53ACD865" w:rsidR="002B667A" w:rsidRPr="003C2478" w:rsidRDefault="002E0EA2" w:rsidP="00DA757E">
      <w:pPr>
        <w:jc w:val="both"/>
      </w:pPr>
      <w:r w:rsidRPr="003C2478">
        <w:t xml:space="preserve">Au début de la convention, la première partie soumettra à la seconde partie et </w:t>
      </w:r>
      <w:r w:rsidR="00D5283F" w:rsidRPr="003C2478">
        <w:t xml:space="preserve">au </w:t>
      </w:r>
      <w:r w:rsidR="00FB21A0">
        <w:t>« </w:t>
      </w:r>
      <w:r w:rsidR="004E1429" w:rsidRPr="003C2478">
        <w:t>Service</w:t>
      </w:r>
      <w:r w:rsidR="004E1429">
        <w:t xml:space="preserve"> </w:t>
      </w:r>
      <w:r w:rsidR="004E1429" w:rsidRPr="00CF255B">
        <w:t xml:space="preserve">Qualité des </w:t>
      </w:r>
      <w:r w:rsidR="004E1429">
        <w:t>L</w:t>
      </w:r>
      <w:r w:rsidR="004E1429" w:rsidRPr="00CF255B">
        <w:t>aboratoires</w:t>
      </w:r>
      <w:r w:rsidR="00FB21A0">
        <w:t> »</w:t>
      </w:r>
      <w:r w:rsidR="00B00842" w:rsidRPr="003C2478">
        <w:t xml:space="preserve"> </w:t>
      </w:r>
      <w:r w:rsidRPr="003C2478">
        <w:t xml:space="preserve">de Sciensano </w:t>
      </w:r>
      <w:r w:rsidR="00AF7928" w:rsidRPr="003C2478">
        <w:t>une liste d'</w:t>
      </w:r>
      <w:r w:rsidRPr="003C2478">
        <w:t>indications pour lesquelles des tests NGS sont effectivement réalisés</w:t>
      </w:r>
      <w:r w:rsidR="00812F42" w:rsidRPr="003C2478">
        <w:t xml:space="preserve">, </w:t>
      </w:r>
      <w:r w:rsidR="00282565" w:rsidRPr="003C2478">
        <w:t>ainsi qu'</w:t>
      </w:r>
      <w:r w:rsidR="00812F42" w:rsidRPr="003C2478">
        <w:t>une liste de biomarqueurs testés avec leur panel de gènes.</w:t>
      </w:r>
    </w:p>
    <w:p w14:paraId="69178BD7" w14:textId="37032383" w:rsidR="002B667A" w:rsidRPr="003C2478" w:rsidRDefault="002E0EA2" w:rsidP="00DA757E">
      <w:pPr>
        <w:jc w:val="both"/>
      </w:pPr>
      <w:r w:rsidRPr="003C2478">
        <w:t>L'</w:t>
      </w:r>
      <w:r w:rsidR="00AD4CFF" w:rsidRPr="003C2478">
        <w:t xml:space="preserve">institution </w:t>
      </w:r>
      <w:r w:rsidR="001F2CC4" w:rsidRPr="003C2478">
        <w:t xml:space="preserve">doit participer </w:t>
      </w:r>
      <w:r w:rsidR="00A30461" w:rsidRPr="003C2478">
        <w:t xml:space="preserve">aux </w:t>
      </w:r>
      <w:r w:rsidR="001F2CC4" w:rsidRPr="003C2478">
        <w:t>évaluations externes de la qualité (</w:t>
      </w:r>
      <w:r w:rsidR="0038237D" w:rsidRPr="003C2478">
        <w:t>EE</w:t>
      </w:r>
      <w:r w:rsidR="004E1429">
        <w:t>Q</w:t>
      </w:r>
      <w:r w:rsidR="001F2CC4" w:rsidRPr="003C2478">
        <w:t xml:space="preserve">) organisées par le </w:t>
      </w:r>
      <w:r w:rsidR="00FB21A0">
        <w:t>« </w:t>
      </w:r>
      <w:r w:rsidR="004E1429" w:rsidRPr="003C2478">
        <w:t>Service</w:t>
      </w:r>
      <w:r w:rsidR="004E1429">
        <w:t xml:space="preserve"> </w:t>
      </w:r>
      <w:r w:rsidR="004E1429" w:rsidRPr="00CF255B">
        <w:t xml:space="preserve">Qualité des </w:t>
      </w:r>
      <w:r w:rsidR="004E1429">
        <w:t>L</w:t>
      </w:r>
      <w:r w:rsidR="004E1429" w:rsidRPr="00CF255B">
        <w:t>aboratoires</w:t>
      </w:r>
      <w:r w:rsidR="00FB21A0">
        <w:t> »</w:t>
      </w:r>
      <w:r w:rsidR="001F2CC4" w:rsidRPr="003C2478">
        <w:t>de Sciensano dans le cadre de la présente convention</w:t>
      </w:r>
      <w:r w:rsidR="0032441A" w:rsidRPr="003C2478">
        <w:t xml:space="preserve">. </w:t>
      </w:r>
      <w:r w:rsidR="00937FD8" w:rsidRPr="003C2478">
        <w:t>Si l'échantillon de l'EE</w:t>
      </w:r>
      <w:r w:rsidR="004E1429">
        <w:t>Q</w:t>
      </w:r>
      <w:r w:rsidR="00937FD8" w:rsidRPr="003C2478">
        <w:t xml:space="preserve"> provient d'une indication pour laquelle la première partie a indiqué qu'elle n'effectue pas de tests NGS à cette fin, la première partie ne doit pas participer à cette EE</w:t>
      </w:r>
      <w:r w:rsidR="004E1429">
        <w:t>Q</w:t>
      </w:r>
      <w:r w:rsidR="00937FD8" w:rsidRPr="003C2478">
        <w:t>.</w:t>
      </w:r>
    </w:p>
    <w:p w14:paraId="475C9511" w14:textId="3D48B555" w:rsidR="002B667A" w:rsidRPr="003C2478" w:rsidRDefault="002E0EA2" w:rsidP="00DA757E">
      <w:pPr>
        <w:jc w:val="both"/>
      </w:pPr>
      <w:r w:rsidRPr="003C2478">
        <w:t xml:space="preserve">Une </w:t>
      </w:r>
      <w:r w:rsidR="00E25BBC">
        <w:t xml:space="preserve">institution collaboratrice avec des étapes externalisées </w:t>
      </w:r>
      <w:r w:rsidRPr="003C2478">
        <w:t>doit mettre en œuvre intégralement et/ou externaliser toutes les étapes d'une EE</w:t>
      </w:r>
      <w:r w:rsidR="004E1429">
        <w:t>Q</w:t>
      </w:r>
      <w:r w:rsidR="00A30461" w:rsidRPr="003C2478">
        <w:t xml:space="preserve">. </w:t>
      </w:r>
    </w:p>
    <w:p w14:paraId="45CF7E79" w14:textId="66287BF3" w:rsidR="002B667A" w:rsidRPr="003C2478" w:rsidRDefault="002E0EA2" w:rsidP="00DA757E">
      <w:pPr>
        <w:jc w:val="both"/>
      </w:pPr>
      <w:r w:rsidRPr="003C2478">
        <w:lastRenderedPageBreak/>
        <w:t xml:space="preserve">Les </w:t>
      </w:r>
      <w:r w:rsidR="001F2CC4" w:rsidRPr="003C2478">
        <w:t xml:space="preserve">résultats </w:t>
      </w:r>
      <w:r w:rsidR="00D728DA" w:rsidRPr="003C2478">
        <w:t xml:space="preserve">de ces contrôles de qualité externes </w:t>
      </w:r>
      <w:r w:rsidRPr="003C2478">
        <w:t xml:space="preserve">doivent </w:t>
      </w:r>
      <w:r w:rsidR="00D728DA" w:rsidRPr="003C2478">
        <w:t xml:space="preserve">être </w:t>
      </w:r>
      <w:r w:rsidR="00864567" w:rsidRPr="003C2478">
        <w:t xml:space="preserve">soumis </w:t>
      </w:r>
      <w:r w:rsidR="00937FD8" w:rsidRPr="003C2478">
        <w:t xml:space="preserve">au </w:t>
      </w:r>
      <w:r w:rsidR="00FB21A0">
        <w:t>« </w:t>
      </w:r>
      <w:r w:rsidR="004E1429" w:rsidRPr="003C2478">
        <w:t>Service</w:t>
      </w:r>
      <w:r w:rsidR="004E1429">
        <w:t xml:space="preserve"> </w:t>
      </w:r>
      <w:r w:rsidR="004E1429" w:rsidRPr="00CF255B">
        <w:t xml:space="preserve">Qualité des </w:t>
      </w:r>
      <w:r w:rsidR="004E1429">
        <w:t>L</w:t>
      </w:r>
      <w:r w:rsidR="004E1429" w:rsidRPr="00CF255B">
        <w:t>aboratoires</w:t>
      </w:r>
      <w:r w:rsidR="00FB21A0">
        <w:t> »</w:t>
      </w:r>
      <w:r w:rsidR="00937FD8" w:rsidRPr="003C2478">
        <w:t xml:space="preserve"> </w:t>
      </w:r>
      <w:r w:rsidR="00D728DA" w:rsidRPr="003C2478">
        <w:t xml:space="preserve">de Sciensano </w:t>
      </w:r>
      <w:r w:rsidR="001F2CC4" w:rsidRPr="003C2478">
        <w:t xml:space="preserve">dans les délais imposés </w:t>
      </w:r>
      <w:r w:rsidR="006D64EC" w:rsidRPr="003C2478">
        <w:t xml:space="preserve">par </w:t>
      </w:r>
      <w:r w:rsidR="00D728DA" w:rsidRPr="003C2478">
        <w:t>Sciensano</w:t>
      </w:r>
      <w:r w:rsidR="001F2CC4" w:rsidRPr="003C2478">
        <w:t xml:space="preserve">. </w:t>
      </w:r>
    </w:p>
    <w:p w14:paraId="78E378E7" w14:textId="07BD9744" w:rsidR="000C1402" w:rsidRPr="003C2478" w:rsidRDefault="000C1402" w:rsidP="00DA757E">
      <w:pPr>
        <w:jc w:val="both"/>
      </w:pPr>
      <w:r w:rsidRPr="00753338">
        <w:t>Si aucun résultat n'a été fourni dans le délai imposé ou si les résultats transmis s'écartent des résultats attendus et que le laboratoire ne soumet pas à Sciensano, dans le délai fixé, une analyse des causes accompagnée</w:t>
      </w:r>
      <w:r w:rsidRPr="000C1402">
        <w:t xml:space="preserve"> de mesures correctives et/ou d'adaptations du système de qualité, la seconde partie se réserve le droit de suspendre </w:t>
      </w:r>
      <w:r w:rsidR="004C1945">
        <w:t xml:space="preserve">cette convention </w:t>
      </w:r>
      <w:r w:rsidRPr="000C1402">
        <w:t xml:space="preserve">temporairement ou </w:t>
      </w:r>
      <w:r w:rsidRPr="003C2478">
        <w:t xml:space="preserve">d'y mettre fin </w:t>
      </w:r>
      <w:r w:rsidRPr="000C1402">
        <w:t>(article 10). Ces erreurs de contrôle de qualité doivent être détectées et traitées selon les différentes procédures prévues par le système de qualité du laboratoire. Le laboratoire fournira à Sciensano toutes les informations et preuves de traitement nécessaires à cet égard.</w:t>
      </w:r>
    </w:p>
    <w:p w14:paraId="131E7245" w14:textId="77777777" w:rsidR="00F92345" w:rsidRPr="003C2478" w:rsidRDefault="00F92345" w:rsidP="00C359C5">
      <w:pPr>
        <w:jc w:val="both"/>
        <w:rPr>
          <w:color w:val="000000" w:themeColor="text1"/>
          <w:sz w:val="24"/>
          <w:szCs w:val="24"/>
        </w:rPr>
      </w:pPr>
    </w:p>
    <w:p w14:paraId="11145B7B" w14:textId="4DF333EA" w:rsidR="002B667A" w:rsidRDefault="002E0EA2" w:rsidP="00CA7C26">
      <w:pPr>
        <w:pStyle w:val="Heading1"/>
        <w:jc w:val="both"/>
      </w:pPr>
      <w:bookmarkStart w:id="20" w:name="_Toc215211239"/>
      <w:r>
        <w:t xml:space="preserve">Utilisation des </w:t>
      </w:r>
      <w:r w:rsidR="00ED5B7A">
        <w:t>rembours</w:t>
      </w:r>
      <w:r w:rsidR="00277DFA">
        <w:t>e</w:t>
      </w:r>
      <w:r w:rsidR="00ED5B7A">
        <w:t>ments</w:t>
      </w:r>
      <w:r w:rsidRPr="009F711F">
        <w:t xml:space="preserve"> </w:t>
      </w:r>
      <w:r w:rsidR="00287B9D">
        <w:t>:</w:t>
      </w:r>
      <w:bookmarkEnd w:id="20"/>
      <w:r w:rsidR="00287B9D">
        <w:t xml:space="preserve"> </w:t>
      </w:r>
    </w:p>
    <w:p w14:paraId="55064790" w14:textId="77777777" w:rsidR="002B667A" w:rsidRDefault="002E0EA2" w:rsidP="00CA7C26">
      <w:pPr>
        <w:jc w:val="both"/>
      </w:pPr>
      <w:r w:rsidRPr="003C2478">
        <w:t xml:space="preserve">La première partie s'engage à n'utiliser les ressources financières versées par l'INAMI (deuxième partie) </w:t>
      </w:r>
      <w:r w:rsidR="00342FAF" w:rsidRPr="003C2478">
        <w:t xml:space="preserve">par l'intermédiaire des institutions d'assurance </w:t>
      </w:r>
      <w:r w:rsidRPr="003C2478">
        <w:t xml:space="preserve">que dans le cadre de la présente convention. </w:t>
      </w:r>
    </w:p>
    <w:p w14:paraId="7CBF2472" w14:textId="77777777" w:rsidR="00ED5B7A" w:rsidRPr="003C2478" w:rsidRDefault="00ED5B7A" w:rsidP="00CA7C26">
      <w:pPr>
        <w:jc w:val="both"/>
      </w:pPr>
    </w:p>
    <w:p w14:paraId="6CF43CE5" w14:textId="4612E91A" w:rsidR="002B667A" w:rsidRDefault="002E0EA2" w:rsidP="00CA7C26">
      <w:pPr>
        <w:pStyle w:val="Heading1"/>
        <w:jc w:val="both"/>
      </w:pPr>
      <w:bookmarkStart w:id="21" w:name="_Toc215211240"/>
      <w:r>
        <w:t xml:space="preserve">Responsabilité </w:t>
      </w:r>
      <w:r w:rsidR="00ED5B7A">
        <w:t xml:space="preserve">civile </w:t>
      </w:r>
      <w:r w:rsidRPr="009F711F">
        <w:t>:</w:t>
      </w:r>
      <w:bookmarkEnd w:id="21"/>
      <w:r w:rsidRPr="009F711F">
        <w:t xml:space="preserve"> </w:t>
      </w:r>
    </w:p>
    <w:p w14:paraId="764B0B1C" w14:textId="4BE61203" w:rsidR="00ED5B7A" w:rsidRPr="00ED5B7A" w:rsidRDefault="00ED5B7A" w:rsidP="00C359C5">
      <w:pPr>
        <w:jc w:val="both"/>
        <w:rPr>
          <w:color w:val="000000" w:themeColor="text1"/>
          <w:sz w:val="24"/>
          <w:szCs w:val="24"/>
          <w:lang w:val="fr-BE"/>
        </w:rPr>
      </w:pPr>
      <w:r w:rsidRPr="009F711F">
        <w:rPr>
          <w:color w:val="000000" w:themeColor="text1"/>
          <w:sz w:val="24"/>
          <w:szCs w:val="24"/>
          <w:lang w:val="fr"/>
        </w:rPr>
        <w:t>L'exécution de la présente convention ne peut</w:t>
      </w:r>
      <w:r>
        <w:rPr>
          <w:color w:val="000000" w:themeColor="text1"/>
          <w:sz w:val="24"/>
          <w:szCs w:val="24"/>
          <w:lang w:val="fr"/>
        </w:rPr>
        <w:t xml:space="preserve"> </w:t>
      </w:r>
      <w:r w:rsidRPr="009F711F">
        <w:rPr>
          <w:color w:val="000000" w:themeColor="text1"/>
          <w:sz w:val="24"/>
          <w:szCs w:val="24"/>
          <w:lang w:val="fr"/>
        </w:rPr>
        <w:t xml:space="preserve">en aucun cas engager </w:t>
      </w:r>
      <w:r>
        <w:rPr>
          <w:color w:val="000000" w:themeColor="text1"/>
          <w:sz w:val="24"/>
          <w:szCs w:val="24"/>
          <w:lang w:val="fr"/>
        </w:rPr>
        <w:t>l</w:t>
      </w:r>
      <w:r w:rsidRPr="009F711F">
        <w:rPr>
          <w:color w:val="000000" w:themeColor="text1"/>
          <w:sz w:val="24"/>
          <w:szCs w:val="24"/>
          <w:lang w:val="fr"/>
        </w:rPr>
        <w:t xml:space="preserve">a responsabilité </w:t>
      </w:r>
      <w:r>
        <w:rPr>
          <w:color w:val="000000" w:themeColor="text1"/>
          <w:sz w:val="24"/>
          <w:szCs w:val="24"/>
          <w:lang w:val="fr"/>
        </w:rPr>
        <w:t xml:space="preserve">de l’INAMI (la seconde partie) </w:t>
      </w:r>
      <w:r w:rsidRPr="009F711F">
        <w:rPr>
          <w:color w:val="000000" w:themeColor="text1"/>
          <w:sz w:val="24"/>
          <w:szCs w:val="24"/>
          <w:lang w:val="fr"/>
        </w:rPr>
        <w:t>pour tout accident ou, de manière générale, tout dommage causé aux personnes et biens qui résultent directement ou indirectement de la présente convention.</w:t>
      </w:r>
    </w:p>
    <w:p w14:paraId="409E44CC" w14:textId="77777777" w:rsidR="009B7389" w:rsidRPr="003C2478" w:rsidRDefault="009B7389" w:rsidP="00CA7C26">
      <w:pPr>
        <w:jc w:val="both"/>
      </w:pPr>
    </w:p>
    <w:p w14:paraId="20A0E608" w14:textId="49885E18" w:rsidR="002B667A" w:rsidRPr="003C2478" w:rsidRDefault="002E0EA2" w:rsidP="00CA7C26">
      <w:pPr>
        <w:pStyle w:val="Heading1"/>
        <w:jc w:val="both"/>
      </w:pPr>
      <w:bookmarkStart w:id="22" w:name="_Toc215211241"/>
      <w:r w:rsidRPr="003C2478">
        <w:t xml:space="preserve">Suivi et évaluation des </w:t>
      </w:r>
      <w:r w:rsidR="00ED5B7A">
        <w:t>prestations</w:t>
      </w:r>
      <w:r w:rsidRPr="003C2478">
        <w:t xml:space="preserve"> fournies par les laboratoires NGS dans le cadre de la </w:t>
      </w:r>
      <w:r w:rsidR="00287B9D" w:rsidRPr="003C2478">
        <w:t xml:space="preserve">convention </w:t>
      </w:r>
      <w:r w:rsidRPr="003C2478">
        <w:t>:</w:t>
      </w:r>
      <w:bookmarkEnd w:id="22"/>
    </w:p>
    <w:p w14:paraId="57A57B93" w14:textId="77777777" w:rsidR="002B667A" w:rsidRPr="003C2478" w:rsidRDefault="002E0EA2" w:rsidP="00CA7C26">
      <w:pPr>
        <w:jc w:val="both"/>
      </w:pPr>
      <w:r w:rsidRPr="003C2478">
        <w:t>L'</w:t>
      </w:r>
      <w:r w:rsidR="00114538" w:rsidRPr="003C2478">
        <w:t xml:space="preserve">institution soumet </w:t>
      </w:r>
      <w:r w:rsidRPr="003C2478">
        <w:t xml:space="preserve">à la seconde partie, au plus tard le 1er </w:t>
      </w:r>
      <w:r w:rsidR="004E6886" w:rsidRPr="003C2478">
        <w:t xml:space="preserve">juillet de </w:t>
      </w:r>
      <w:r w:rsidRPr="003C2478">
        <w:t xml:space="preserve">chaque année, un rapport annuel portant au </w:t>
      </w:r>
      <w:r w:rsidR="00727215" w:rsidRPr="003C2478">
        <w:t>moins</w:t>
      </w:r>
      <w:r w:rsidRPr="003C2478">
        <w:t xml:space="preserve"> sur les éléments suivants :</w:t>
      </w:r>
    </w:p>
    <w:p w14:paraId="028298DD" w14:textId="5EDEEECC" w:rsidR="002B667A" w:rsidRPr="003C2478" w:rsidRDefault="002E0EA2" w:rsidP="00407B8C">
      <w:pPr>
        <w:pStyle w:val="ListParagraph"/>
        <w:numPr>
          <w:ilvl w:val="0"/>
          <w:numId w:val="14"/>
        </w:numPr>
        <w:jc w:val="both"/>
        <w:rPr>
          <w:lang w:val="fr-FR"/>
        </w:rPr>
      </w:pPr>
      <w:r w:rsidRPr="003C2478">
        <w:rPr>
          <w:lang w:val="fr-FR"/>
        </w:rPr>
        <w:t xml:space="preserve">Toute modification </w:t>
      </w:r>
      <w:r w:rsidR="00FB21A0">
        <w:rPr>
          <w:lang w:val="fr-FR"/>
        </w:rPr>
        <w:t xml:space="preserve">éventuelle </w:t>
      </w:r>
      <w:r w:rsidRPr="003C2478">
        <w:rPr>
          <w:lang w:val="fr-FR"/>
        </w:rPr>
        <w:t>de la composition de l'équipe et la justification que les exigences de l'annexe 3 sont toujours respectées.</w:t>
      </w:r>
    </w:p>
    <w:p w14:paraId="672EFD52" w14:textId="61F227D6" w:rsidR="002B667A" w:rsidRPr="003C2478" w:rsidRDefault="002E0EA2" w:rsidP="00407B8C">
      <w:pPr>
        <w:pStyle w:val="ListParagraph"/>
        <w:numPr>
          <w:ilvl w:val="0"/>
          <w:numId w:val="14"/>
        </w:numPr>
        <w:jc w:val="both"/>
        <w:rPr>
          <w:lang w:val="fr-FR"/>
        </w:rPr>
      </w:pPr>
      <w:r w:rsidRPr="003C2478">
        <w:rPr>
          <w:lang w:val="fr-FR"/>
        </w:rPr>
        <w:t>Tout ajustement</w:t>
      </w:r>
      <w:r w:rsidR="00E60DFF">
        <w:rPr>
          <w:lang w:val="fr-FR"/>
        </w:rPr>
        <w:t xml:space="preserve"> éventuel </w:t>
      </w:r>
      <w:r w:rsidRPr="003C2478">
        <w:rPr>
          <w:lang w:val="fr-FR"/>
        </w:rPr>
        <w:t xml:space="preserve"> </w:t>
      </w:r>
      <w:r w:rsidR="00ED5B7A">
        <w:rPr>
          <w:lang w:val="fr-FR"/>
        </w:rPr>
        <w:t>du SLA</w:t>
      </w:r>
      <w:r w:rsidR="00FB21A0">
        <w:rPr>
          <w:lang w:val="fr-FR"/>
        </w:rPr>
        <w:t xml:space="preserve"> </w:t>
      </w:r>
      <w:r w:rsidRPr="003C2478">
        <w:rPr>
          <w:lang w:val="fr-FR"/>
        </w:rPr>
        <w:t xml:space="preserve">et la justification que les exigences de l'annexe </w:t>
      </w:r>
      <w:r w:rsidR="003C0495" w:rsidRPr="003C2478">
        <w:rPr>
          <w:lang w:val="fr-FR"/>
        </w:rPr>
        <w:t>4 sont toujours respectées</w:t>
      </w:r>
      <w:r w:rsidR="00D5283F" w:rsidRPr="003C2478">
        <w:rPr>
          <w:lang w:val="fr-FR"/>
        </w:rPr>
        <w:t>.</w:t>
      </w:r>
    </w:p>
    <w:p w14:paraId="10B924FC" w14:textId="77777777" w:rsidR="002B667A" w:rsidRPr="003C2478" w:rsidRDefault="002E0EA2" w:rsidP="00407B8C">
      <w:pPr>
        <w:pStyle w:val="ListParagraph"/>
        <w:numPr>
          <w:ilvl w:val="0"/>
          <w:numId w:val="14"/>
        </w:numPr>
        <w:jc w:val="both"/>
        <w:rPr>
          <w:lang w:val="fr-FR"/>
        </w:rPr>
      </w:pPr>
      <w:r w:rsidRPr="003C2478">
        <w:rPr>
          <w:lang w:val="fr-FR"/>
        </w:rPr>
        <w:t xml:space="preserve">Ajustements éventuels de la </w:t>
      </w:r>
      <w:r w:rsidR="00FB1497" w:rsidRPr="003C2478">
        <w:rPr>
          <w:lang w:val="fr-FR"/>
        </w:rPr>
        <w:t xml:space="preserve">liste des </w:t>
      </w:r>
      <w:r w:rsidRPr="003C2478">
        <w:rPr>
          <w:lang w:val="fr-FR"/>
        </w:rPr>
        <w:t xml:space="preserve">indications </w:t>
      </w:r>
      <w:r w:rsidR="00D5283F" w:rsidRPr="003C2478">
        <w:rPr>
          <w:lang w:val="fr-FR"/>
        </w:rPr>
        <w:t>testées</w:t>
      </w:r>
      <w:r w:rsidRPr="003C2478">
        <w:rPr>
          <w:lang w:val="fr-FR"/>
        </w:rPr>
        <w:t xml:space="preserve">. </w:t>
      </w:r>
    </w:p>
    <w:p w14:paraId="29CC9B22" w14:textId="44185BD3" w:rsidR="002B667A" w:rsidRPr="003C2478" w:rsidRDefault="002E0EA2" w:rsidP="00407B8C">
      <w:pPr>
        <w:pStyle w:val="ListParagraph"/>
        <w:numPr>
          <w:ilvl w:val="0"/>
          <w:numId w:val="14"/>
        </w:numPr>
        <w:jc w:val="both"/>
        <w:rPr>
          <w:lang w:val="fr-FR"/>
        </w:rPr>
      </w:pPr>
      <w:r w:rsidRPr="003C2478">
        <w:rPr>
          <w:lang w:val="fr-FR"/>
        </w:rPr>
        <w:t xml:space="preserve">Toute modification </w:t>
      </w:r>
      <w:r w:rsidR="00E60DFF">
        <w:rPr>
          <w:lang w:val="fr-FR"/>
        </w:rPr>
        <w:t xml:space="preserve">éventuelle </w:t>
      </w:r>
      <w:r w:rsidRPr="003C2478">
        <w:rPr>
          <w:lang w:val="fr-FR"/>
        </w:rPr>
        <w:t xml:space="preserve">des biomarqueurs présents dans les panels de gènes utilisés et la confirmation que cela répond toujours aux critères minimaux fixés dans les annexes </w:t>
      </w:r>
      <w:r w:rsidR="00CF75A0" w:rsidRPr="003C2478">
        <w:rPr>
          <w:lang w:val="fr-FR"/>
        </w:rPr>
        <w:t>1 et 2</w:t>
      </w:r>
      <w:r w:rsidRPr="003C2478">
        <w:rPr>
          <w:lang w:val="fr-FR"/>
        </w:rPr>
        <w:t>.</w:t>
      </w:r>
    </w:p>
    <w:p w14:paraId="29683B0C" w14:textId="289A70FE" w:rsidR="002B667A" w:rsidRPr="003C2478" w:rsidRDefault="002E0EA2" w:rsidP="00407B8C">
      <w:pPr>
        <w:pStyle w:val="ListParagraph"/>
        <w:numPr>
          <w:ilvl w:val="0"/>
          <w:numId w:val="14"/>
        </w:numPr>
        <w:jc w:val="both"/>
        <w:rPr>
          <w:lang w:val="fr-FR"/>
        </w:rPr>
      </w:pPr>
      <w:r w:rsidRPr="003C2478">
        <w:rPr>
          <w:lang w:val="fr-FR"/>
        </w:rPr>
        <w:t xml:space="preserve">Une institution </w:t>
      </w:r>
      <w:r w:rsidR="00D862DA">
        <w:rPr>
          <w:lang w:val="fr-FR"/>
        </w:rPr>
        <w:t>de</w:t>
      </w:r>
      <w:r w:rsidRPr="003C2478">
        <w:rPr>
          <w:lang w:val="fr-FR"/>
        </w:rPr>
        <w:t xml:space="preserve"> haut</w:t>
      </w:r>
      <w:r w:rsidR="00D862DA">
        <w:rPr>
          <w:lang w:val="fr-FR"/>
        </w:rPr>
        <w:t>-</w:t>
      </w:r>
      <w:r w:rsidRPr="003C2478">
        <w:rPr>
          <w:lang w:val="fr-FR"/>
        </w:rPr>
        <w:t xml:space="preserve">volume qui collabore avec une ou plusieurs institutions </w:t>
      </w:r>
      <w:r w:rsidR="00ED51D7">
        <w:rPr>
          <w:lang w:val="fr-FR"/>
        </w:rPr>
        <w:t xml:space="preserve">de bas-volume </w:t>
      </w:r>
      <w:r w:rsidRPr="003C2478">
        <w:rPr>
          <w:lang w:val="fr-FR"/>
        </w:rPr>
        <w:t xml:space="preserve">ou avec une ou plusieurs institutions </w:t>
      </w:r>
      <w:r w:rsidR="00D862DA">
        <w:rPr>
          <w:lang w:val="fr-FR"/>
        </w:rPr>
        <w:t>collaboratrices</w:t>
      </w:r>
      <w:r w:rsidRPr="003C2478">
        <w:rPr>
          <w:lang w:val="fr-FR"/>
        </w:rPr>
        <w:t xml:space="preserve"> avec des étapes externalisées </w:t>
      </w:r>
      <w:r w:rsidR="007D1B10" w:rsidRPr="003C2478">
        <w:rPr>
          <w:lang w:val="fr-FR"/>
        </w:rPr>
        <w:t xml:space="preserve">prépare un rapport d'activité décrivant </w:t>
      </w:r>
      <w:r w:rsidR="00C205A5" w:rsidRPr="003C2478">
        <w:rPr>
          <w:lang w:val="fr-FR"/>
        </w:rPr>
        <w:t xml:space="preserve">comment la qualité technique et clinique des analyses complètes a été assurée par </w:t>
      </w:r>
      <w:r w:rsidR="007D1B10" w:rsidRPr="003C2478">
        <w:rPr>
          <w:lang w:val="fr-FR"/>
        </w:rPr>
        <w:t xml:space="preserve">ces institutions </w:t>
      </w:r>
      <w:r w:rsidR="00C205A5" w:rsidRPr="003C2478">
        <w:rPr>
          <w:lang w:val="fr-FR"/>
        </w:rPr>
        <w:t>au cours de l'année écoulée</w:t>
      </w:r>
      <w:r w:rsidR="007D1B10" w:rsidRPr="003C2478">
        <w:rPr>
          <w:lang w:val="fr-FR"/>
        </w:rPr>
        <w:t>.</w:t>
      </w:r>
    </w:p>
    <w:p w14:paraId="1EAE1114" w14:textId="77777777" w:rsidR="002B667A" w:rsidRPr="003C2478" w:rsidRDefault="002E0EA2" w:rsidP="00CA7C26">
      <w:pPr>
        <w:jc w:val="both"/>
      </w:pPr>
      <w:r w:rsidRPr="003C2478">
        <w:t>La seconde partie se réserve le droit de demander des rapports supplémentaires pour démontrer le respect des critères établis dans la présente convention.</w:t>
      </w:r>
    </w:p>
    <w:p w14:paraId="16D1FE51" w14:textId="10BA887B" w:rsidR="002B667A" w:rsidRPr="003C2478" w:rsidRDefault="002E0EA2" w:rsidP="00CA7C26">
      <w:pPr>
        <w:jc w:val="both"/>
      </w:pPr>
      <w:r w:rsidRPr="003C2478">
        <w:lastRenderedPageBreak/>
        <w:t xml:space="preserve">Un comité </w:t>
      </w:r>
      <w:r w:rsidR="00D862DA">
        <w:t>de pilotage</w:t>
      </w:r>
      <w:r w:rsidRPr="003C2478">
        <w:t xml:space="preserve"> </w:t>
      </w:r>
      <w:r w:rsidR="001C5BC0" w:rsidRPr="003C2478">
        <w:t xml:space="preserve">sera </w:t>
      </w:r>
      <w:r w:rsidRPr="003C2478">
        <w:t xml:space="preserve">convoqué annuellement et </w:t>
      </w:r>
      <w:r w:rsidR="001C5BC0" w:rsidRPr="003C2478">
        <w:t xml:space="preserve">discutera des </w:t>
      </w:r>
      <w:r w:rsidRPr="003C2478">
        <w:t xml:space="preserve">activités des </w:t>
      </w:r>
      <w:r w:rsidR="00D2300B" w:rsidRPr="003C2478">
        <w:t>institutions adhérant à cette convention</w:t>
      </w:r>
      <w:r w:rsidRPr="003C2478">
        <w:t xml:space="preserve">. Ce comité </w:t>
      </w:r>
      <w:r w:rsidR="00D862DA">
        <w:t>de pilotage</w:t>
      </w:r>
      <w:r w:rsidRPr="003C2478">
        <w:t xml:space="preserve"> </w:t>
      </w:r>
      <w:r w:rsidR="00D2300B" w:rsidRPr="003C2478">
        <w:t xml:space="preserve">est composé </w:t>
      </w:r>
      <w:r w:rsidRPr="003C2478">
        <w:t xml:space="preserve">de délégués des </w:t>
      </w:r>
      <w:r w:rsidR="00D2300B" w:rsidRPr="003C2478">
        <w:t xml:space="preserve">institutions adhérentes </w:t>
      </w:r>
      <w:r w:rsidRPr="003C2478">
        <w:t xml:space="preserve">(maximum 2 par </w:t>
      </w:r>
      <w:r w:rsidR="00D862DA">
        <w:t>institution de</w:t>
      </w:r>
      <w:r w:rsidR="00F772CE" w:rsidRPr="003C2478">
        <w:t xml:space="preserve"> haut</w:t>
      </w:r>
      <w:r w:rsidR="00D862DA">
        <w:t>-</w:t>
      </w:r>
      <w:r w:rsidR="00F772CE" w:rsidRPr="003C2478">
        <w:t>volume</w:t>
      </w:r>
      <w:r w:rsidR="00D2300B" w:rsidRPr="003C2478">
        <w:t xml:space="preserve">, maximum 1 par institution </w:t>
      </w:r>
      <w:r w:rsidR="00ED51D7">
        <w:t xml:space="preserve">de bas-volume </w:t>
      </w:r>
      <w:r w:rsidR="00D2300B" w:rsidRPr="003C2478">
        <w:t xml:space="preserve">ou institution </w:t>
      </w:r>
      <w:r w:rsidR="00F772CE" w:rsidRPr="003C2478">
        <w:t xml:space="preserve">collaboratrice avec </w:t>
      </w:r>
      <w:r w:rsidR="000039B0" w:rsidRPr="003C2478">
        <w:t>des étapes externalisées</w:t>
      </w:r>
      <w:r w:rsidRPr="003C2478">
        <w:t xml:space="preserve">), de représentants des </w:t>
      </w:r>
      <w:r w:rsidR="00D862DA">
        <w:t>organis</w:t>
      </w:r>
      <w:r w:rsidR="004C1945">
        <w:t>mes</w:t>
      </w:r>
      <w:r w:rsidRPr="003C2478">
        <w:t xml:space="preserve"> </w:t>
      </w:r>
      <w:r w:rsidR="004C1945">
        <w:t>assureurs</w:t>
      </w:r>
      <w:r w:rsidRPr="003C2478">
        <w:t xml:space="preserve">, </w:t>
      </w:r>
      <w:r w:rsidR="00287B9D" w:rsidRPr="003C2478">
        <w:t xml:space="preserve">du </w:t>
      </w:r>
      <w:r w:rsidRPr="003C2478">
        <w:t>Comité d</w:t>
      </w:r>
      <w:r w:rsidR="00D862DA">
        <w:t>e l</w:t>
      </w:r>
      <w:r w:rsidRPr="003C2478">
        <w:t>'assurance, du Centre du Cancer</w:t>
      </w:r>
      <w:r w:rsidR="005136AE" w:rsidRPr="003C2478">
        <w:t>, du Registre du Cancer</w:t>
      </w:r>
      <w:r w:rsidR="001C5BC0" w:rsidRPr="003C2478">
        <w:t>, du KCE</w:t>
      </w:r>
      <w:r w:rsidR="00342FAF" w:rsidRPr="003C2478">
        <w:t xml:space="preserve">, du SPF </w:t>
      </w:r>
      <w:r w:rsidR="00931C25" w:rsidRPr="003C2478">
        <w:t xml:space="preserve">Santé Publique </w:t>
      </w:r>
      <w:r w:rsidRPr="003C2478">
        <w:t>et de l'INAMI.</w:t>
      </w:r>
    </w:p>
    <w:p w14:paraId="6F8D29A8" w14:textId="0B01468E" w:rsidR="00E460C8" w:rsidRPr="00604A93" w:rsidRDefault="00E460C8" w:rsidP="002E0801">
      <w:pPr>
        <w:jc w:val="both"/>
        <w:rPr>
          <w:lang w:val="fr-BE"/>
        </w:rPr>
      </w:pPr>
      <w:r w:rsidRPr="00604A93">
        <w:rPr>
          <w:lang w:val="fr-BE"/>
        </w:rPr>
        <w:t xml:space="preserve">Tous les 2 ans, le Service procédera à une évaluation avec analyse des données de </w:t>
      </w:r>
      <w:r w:rsidR="00CA7C26">
        <w:rPr>
          <w:lang w:val="fr-BE"/>
        </w:rPr>
        <w:t>la convention</w:t>
      </w:r>
      <w:r w:rsidRPr="00604A93">
        <w:rPr>
          <w:lang w:val="fr-BE"/>
        </w:rPr>
        <w:t xml:space="preserve"> et soumettra les résultats de l'analyse aux organismes appropriés. </w:t>
      </w:r>
    </w:p>
    <w:p w14:paraId="51A49BB0" w14:textId="77777777" w:rsidR="009B7389" w:rsidRPr="00604A93" w:rsidRDefault="009B7389" w:rsidP="00CA7C26">
      <w:pPr>
        <w:jc w:val="both"/>
        <w:rPr>
          <w:lang w:val="fr-BE"/>
        </w:rPr>
      </w:pPr>
    </w:p>
    <w:p w14:paraId="111618EF" w14:textId="77777777" w:rsidR="002B667A" w:rsidRPr="003C2478" w:rsidRDefault="002E0EA2" w:rsidP="00CA7C26">
      <w:pPr>
        <w:pStyle w:val="Heading1"/>
        <w:jc w:val="both"/>
      </w:pPr>
      <w:bookmarkStart w:id="23" w:name="_Toc215211242"/>
      <w:r w:rsidRPr="003C2478">
        <w:t>Compétence en cas de litige :</w:t>
      </w:r>
      <w:bookmarkEnd w:id="23"/>
      <w:r w:rsidRPr="003C2478">
        <w:t xml:space="preserve"> </w:t>
      </w:r>
    </w:p>
    <w:p w14:paraId="63704855" w14:textId="5A592AFA" w:rsidR="009B7389" w:rsidRDefault="00D862DA" w:rsidP="00CA7C26">
      <w:pPr>
        <w:jc w:val="both"/>
      </w:pPr>
      <w:r w:rsidRPr="00D862DA">
        <w:t>Tout litige relatif à la présente convention est du ressort exclusif des tribunaux de Bruxelles.</w:t>
      </w:r>
    </w:p>
    <w:p w14:paraId="1198894E" w14:textId="77777777" w:rsidR="00D862DA" w:rsidRPr="003C2478" w:rsidRDefault="00D862DA" w:rsidP="00CA7C26">
      <w:pPr>
        <w:jc w:val="both"/>
      </w:pPr>
    </w:p>
    <w:p w14:paraId="524CDD0A" w14:textId="77777777" w:rsidR="002B667A" w:rsidRDefault="002E0EA2" w:rsidP="00CA7C26">
      <w:pPr>
        <w:pStyle w:val="Heading1"/>
        <w:jc w:val="both"/>
      </w:pPr>
      <w:bookmarkStart w:id="24" w:name="_Ref152755745"/>
      <w:bookmarkStart w:id="25" w:name="_Toc215211243"/>
      <w:r w:rsidRPr="009F711F">
        <w:t>Délais de préavis :</w:t>
      </w:r>
      <w:bookmarkEnd w:id="24"/>
      <w:bookmarkEnd w:id="25"/>
    </w:p>
    <w:p w14:paraId="65842824" w14:textId="77777777" w:rsidR="00D862DA" w:rsidRPr="004C1945" w:rsidRDefault="00D862DA" w:rsidP="00C359C5">
      <w:pPr>
        <w:jc w:val="both"/>
      </w:pPr>
      <w:r w:rsidRPr="004C1945">
        <w:t xml:space="preserve">Les deux parties peuvent mettre un terme à la convention sous réserve d’un délai de préavis de de trois mois qui prend effet le premier jour du mois suivant la date d'envoi de la lettre recommandée motivée. </w:t>
      </w:r>
    </w:p>
    <w:p w14:paraId="521641BB" w14:textId="77777777" w:rsidR="002B667A" w:rsidRPr="003C2478" w:rsidRDefault="002E0EA2" w:rsidP="00CA7C26">
      <w:pPr>
        <w:jc w:val="both"/>
      </w:pPr>
      <w:r w:rsidRPr="003C2478">
        <w:t xml:space="preserve">La seconde partie peut suspendre immédiatement la convention s'il est établi que les conditions de la convention ne sont plus remplies par la première partie. La suspension s'applique jusqu'à ce que la première </w:t>
      </w:r>
      <w:r w:rsidR="00B75CDE" w:rsidRPr="003C2478">
        <w:t>partie</w:t>
      </w:r>
      <w:r w:rsidRPr="003C2478">
        <w:t xml:space="preserve"> ait démontré à </w:t>
      </w:r>
      <w:r w:rsidR="00B75CDE" w:rsidRPr="003C2478">
        <w:t xml:space="preserve">la </w:t>
      </w:r>
      <w:r w:rsidR="0026736D" w:rsidRPr="003C2478">
        <w:t xml:space="preserve">seconde </w:t>
      </w:r>
      <w:r w:rsidRPr="003C2478">
        <w:t xml:space="preserve">que les conditions sont à </w:t>
      </w:r>
      <w:r w:rsidR="00B75CDE" w:rsidRPr="003C2478">
        <w:t>nouveau remplies</w:t>
      </w:r>
      <w:r w:rsidRPr="003C2478">
        <w:t xml:space="preserve">. </w:t>
      </w:r>
    </w:p>
    <w:p w14:paraId="3AE480D2" w14:textId="0CABB0B8" w:rsidR="002B667A" w:rsidRPr="003C2478" w:rsidRDefault="002E0EA2" w:rsidP="00CA7C26">
      <w:pPr>
        <w:jc w:val="both"/>
      </w:pPr>
      <w:r w:rsidRPr="003C2478">
        <w:t xml:space="preserve">Si la coopération entre une institution </w:t>
      </w:r>
      <w:r w:rsidR="00ED51D7">
        <w:t xml:space="preserve">de haut-volume </w:t>
      </w:r>
      <w:r w:rsidRPr="003C2478">
        <w:t xml:space="preserve">et une institution </w:t>
      </w:r>
      <w:r w:rsidR="00ED51D7">
        <w:t xml:space="preserve">de bas-volume </w:t>
      </w:r>
      <w:r w:rsidRPr="003C2478">
        <w:t xml:space="preserve">ou la </w:t>
      </w:r>
      <w:r w:rsidR="00114538" w:rsidRPr="003C2478">
        <w:t xml:space="preserve">coopération entre une institution </w:t>
      </w:r>
      <w:r w:rsidR="00ED51D7">
        <w:t xml:space="preserve">de haut-volume </w:t>
      </w:r>
      <w:r w:rsidR="00114538" w:rsidRPr="003C2478">
        <w:t xml:space="preserve">et </w:t>
      </w:r>
      <w:r w:rsidRPr="003C2478">
        <w:t xml:space="preserve">une </w:t>
      </w:r>
      <w:r w:rsidR="00E25BBC">
        <w:t>institution collaboratrice avec des étapes externalisées</w:t>
      </w:r>
      <w:r w:rsidR="000039B0" w:rsidRPr="003C2478">
        <w:t xml:space="preserve"> </w:t>
      </w:r>
      <w:r w:rsidRPr="003C2478">
        <w:t xml:space="preserve">est interrompue, la seconde partie en sera informée. La convention </w:t>
      </w:r>
      <w:r w:rsidR="00C74BA0" w:rsidRPr="003C2478">
        <w:t xml:space="preserve">avec </w:t>
      </w:r>
      <w:r w:rsidR="00AF33E1">
        <w:t>l’institution</w:t>
      </w:r>
      <w:r w:rsidR="00C74BA0" w:rsidRPr="003C2478">
        <w:t xml:space="preserve"> </w:t>
      </w:r>
      <w:r w:rsidR="00ED51D7">
        <w:t xml:space="preserve">de bas-volume </w:t>
      </w:r>
      <w:r w:rsidR="00C74BA0" w:rsidRPr="003C2478">
        <w:t xml:space="preserve">ou </w:t>
      </w:r>
      <w:r w:rsidR="00AF33E1">
        <w:t>l’institution</w:t>
      </w:r>
      <w:r w:rsidR="00C74BA0" w:rsidRPr="003C2478">
        <w:t xml:space="preserve"> </w:t>
      </w:r>
      <w:r w:rsidR="003D241F">
        <w:t>collaboratrice</w:t>
      </w:r>
      <w:r w:rsidR="00C74BA0" w:rsidRPr="003C2478">
        <w:t xml:space="preserve"> avec des étapes </w:t>
      </w:r>
      <w:r w:rsidR="000039B0" w:rsidRPr="003C2478">
        <w:t xml:space="preserve">externalisées </w:t>
      </w:r>
      <w:r w:rsidRPr="003C2478">
        <w:t>sera alors résiliée à compter de la date de fin de cette coopération.</w:t>
      </w:r>
    </w:p>
    <w:p w14:paraId="0D8DCC06" w14:textId="77777777" w:rsidR="009B7389" w:rsidRPr="003C2478" w:rsidRDefault="009B7389" w:rsidP="00CA7C26">
      <w:pPr>
        <w:jc w:val="both"/>
      </w:pPr>
    </w:p>
    <w:p w14:paraId="1680A025" w14:textId="77777777" w:rsidR="00C80826" w:rsidRDefault="00C80826">
      <w:pPr>
        <w:rPr>
          <w:b/>
          <w:bCs/>
        </w:rPr>
      </w:pPr>
      <w:r>
        <w:rPr>
          <w:b/>
          <w:bCs/>
        </w:rPr>
        <w:br w:type="page"/>
      </w:r>
    </w:p>
    <w:p w14:paraId="6B2EC29E" w14:textId="0AC3F47F" w:rsidR="002B667A" w:rsidRPr="003C2478" w:rsidRDefault="002E0EA2" w:rsidP="00CA7C26">
      <w:pPr>
        <w:jc w:val="both"/>
        <w:rPr>
          <w:b/>
          <w:bCs/>
        </w:rPr>
      </w:pPr>
      <w:r w:rsidRPr="003C2478">
        <w:rPr>
          <w:b/>
          <w:bCs/>
        </w:rPr>
        <w:lastRenderedPageBreak/>
        <w:t xml:space="preserve">Cette convention est valable à partir </w:t>
      </w:r>
      <w:r w:rsidRPr="002F6778">
        <w:rPr>
          <w:b/>
          <w:bCs/>
        </w:rPr>
        <w:t>de</w:t>
      </w:r>
      <w:r w:rsidR="002F6778" w:rsidRPr="002F6778">
        <w:rPr>
          <w:b/>
          <w:bCs/>
        </w:rPr>
        <w:t xml:space="preserve"> </w:t>
      </w:r>
      <w:r w:rsidR="002F6778" w:rsidRPr="00603CCB">
        <w:rPr>
          <w:b/>
          <w:bCs/>
        </w:rPr>
        <w:t>…..… / …..… / ……..</w:t>
      </w:r>
    </w:p>
    <w:p w14:paraId="7BED086D" w14:textId="77777777" w:rsidR="002B667A" w:rsidRPr="00C80826" w:rsidRDefault="002E0EA2" w:rsidP="00C359C5">
      <w:pPr>
        <w:jc w:val="both"/>
        <w:rPr>
          <w:b/>
          <w:color w:val="000000" w:themeColor="text1"/>
        </w:rPr>
      </w:pPr>
      <w:r w:rsidRPr="003C2478">
        <w:rPr>
          <w:rFonts w:ascii="Tahoma" w:hAnsi="Tahoma" w:cs="Tahoma"/>
          <w:sz w:val="16"/>
          <w:szCs w:val="16"/>
          <w:lang w:eastAsia="nl-BE"/>
        </w:rPr>
        <w:br/>
      </w:r>
      <w:r w:rsidRPr="00C80826">
        <w:rPr>
          <w:b/>
          <w:color w:val="000000" w:themeColor="text1"/>
        </w:rPr>
        <w:t xml:space="preserve">Les </w:t>
      </w:r>
      <w:r w:rsidR="00CF75A0" w:rsidRPr="00C80826">
        <w:rPr>
          <w:b/>
          <w:color w:val="000000" w:themeColor="text1"/>
        </w:rPr>
        <w:t xml:space="preserve">4 </w:t>
      </w:r>
      <w:r w:rsidRPr="00C80826">
        <w:rPr>
          <w:b/>
          <w:color w:val="000000" w:themeColor="text1"/>
        </w:rPr>
        <w:t>annexes font partie intégrante de cette convention</w:t>
      </w:r>
    </w:p>
    <w:p w14:paraId="713D942F" w14:textId="77777777" w:rsidR="00172440" w:rsidRPr="00C80826" w:rsidRDefault="00172440" w:rsidP="00C359C5">
      <w:pPr>
        <w:jc w:val="both"/>
        <w:rPr>
          <w:b/>
          <w:color w:val="000000" w:themeColor="text1"/>
        </w:rPr>
      </w:pPr>
    </w:p>
    <w:p w14:paraId="4F69467E" w14:textId="77777777" w:rsidR="002B667A" w:rsidRPr="00C80826" w:rsidRDefault="002E0EA2" w:rsidP="00C359C5">
      <w:pPr>
        <w:jc w:val="both"/>
        <w:rPr>
          <w:b/>
          <w:color w:val="000000" w:themeColor="text1"/>
        </w:rPr>
      </w:pPr>
      <w:r w:rsidRPr="00C80826">
        <w:rPr>
          <w:b/>
          <w:color w:val="000000" w:themeColor="text1"/>
        </w:rPr>
        <w:t>Ce document est signé numériquement par toutes les parties.</w:t>
      </w:r>
    </w:p>
    <w:p w14:paraId="66279C1A" w14:textId="77777777" w:rsidR="009B7389" w:rsidRPr="003C2478" w:rsidRDefault="009B7389" w:rsidP="00C359C5">
      <w:pPr>
        <w:ind w:left="720"/>
        <w:jc w:val="both"/>
        <w:rPr>
          <w:b/>
          <w:color w:val="000000" w:themeColor="text1"/>
          <w:sz w:val="24"/>
          <w:szCs w:val="24"/>
        </w:rPr>
      </w:pPr>
    </w:p>
    <w:p w14:paraId="47DD3260" w14:textId="77777777" w:rsidR="009B7389" w:rsidRPr="003C2478" w:rsidRDefault="009B7389" w:rsidP="00C359C5">
      <w:pPr>
        <w:ind w:left="720"/>
        <w:jc w:val="both"/>
        <w:rPr>
          <w:b/>
          <w:color w:val="000000" w:themeColor="text1"/>
          <w:sz w:val="24"/>
          <w:szCs w:val="24"/>
        </w:rPr>
      </w:pPr>
    </w:p>
    <w:p w14:paraId="0820C56E" w14:textId="77777777" w:rsidR="009B7389" w:rsidRPr="003C2478" w:rsidRDefault="009B7389" w:rsidP="00C359C5">
      <w:pPr>
        <w:ind w:left="720"/>
        <w:jc w:val="both"/>
        <w:rPr>
          <w:b/>
          <w:color w:val="000000" w:themeColor="text1"/>
          <w:sz w:val="24"/>
          <w:szCs w:val="24"/>
        </w:rPr>
      </w:pPr>
    </w:p>
    <w:p w14:paraId="14C22438" w14:textId="77777777" w:rsidR="002B667A" w:rsidRPr="003C2478" w:rsidRDefault="002E0EA2" w:rsidP="00C359C5">
      <w:pPr>
        <w:jc w:val="both"/>
        <w:rPr>
          <w:b/>
          <w:color w:val="000000" w:themeColor="text1"/>
          <w:sz w:val="24"/>
          <w:szCs w:val="24"/>
        </w:rPr>
      </w:pPr>
      <w:r w:rsidRPr="003C2478">
        <w:rPr>
          <w:b/>
          <w:color w:val="000000" w:themeColor="text1"/>
          <w:sz w:val="24"/>
          <w:szCs w:val="24"/>
        </w:rPr>
        <w:t>Pour la première partie,</w:t>
      </w:r>
      <w:r w:rsidRPr="003C2478">
        <w:rPr>
          <w:b/>
          <w:color w:val="000000" w:themeColor="text1"/>
          <w:sz w:val="24"/>
          <w:szCs w:val="24"/>
        </w:rPr>
        <w:tab/>
      </w:r>
      <w:r w:rsidRPr="003C2478">
        <w:rPr>
          <w:b/>
          <w:color w:val="000000" w:themeColor="text1"/>
          <w:sz w:val="24"/>
          <w:szCs w:val="24"/>
        </w:rPr>
        <w:tab/>
      </w:r>
      <w:r w:rsidRPr="003C2478">
        <w:rPr>
          <w:b/>
          <w:color w:val="000000" w:themeColor="text1"/>
          <w:sz w:val="24"/>
          <w:szCs w:val="24"/>
        </w:rPr>
        <w:tab/>
      </w:r>
      <w:r w:rsidRPr="003C2478">
        <w:rPr>
          <w:b/>
          <w:color w:val="000000" w:themeColor="text1"/>
          <w:sz w:val="24"/>
          <w:szCs w:val="24"/>
        </w:rPr>
        <w:tab/>
        <w:t xml:space="preserve">Pour la deuxième partie , </w:t>
      </w:r>
    </w:p>
    <w:p w14:paraId="5A2D7FB8" w14:textId="77777777" w:rsidR="009B7389" w:rsidRPr="003C2478" w:rsidRDefault="009B7389" w:rsidP="00C359C5">
      <w:pPr>
        <w:ind w:left="720"/>
        <w:jc w:val="both"/>
        <w:rPr>
          <w:b/>
          <w:color w:val="000000" w:themeColor="text1"/>
          <w:sz w:val="24"/>
          <w:szCs w:val="24"/>
        </w:rPr>
      </w:pPr>
    </w:p>
    <w:p w14:paraId="1E898A4A" w14:textId="77777777" w:rsidR="009B7389" w:rsidRPr="003C2478" w:rsidRDefault="009B7389" w:rsidP="00C359C5">
      <w:pPr>
        <w:ind w:left="720"/>
        <w:jc w:val="both"/>
        <w:rPr>
          <w:b/>
          <w:color w:val="000000" w:themeColor="text1"/>
          <w:sz w:val="24"/>
          <w:szCs w:val="24"/>
        </w:rPr>
      </w:pPr>
    </w:p>
    <w:p w14:paraId="1D8B078F" w14:textId="77777777" w:rsidR="009B7389" w:rsidRPr="003C2478" w:rsidRDefault="009B7389" w:rsidP="00C359C5">
      <w:pPr>
        <w:ind w:left="720"/>
        <w:jc w:val="both"/>
        <w:rPr>
          <w:b/>
          <w:color w:val="000000" w:themeColor="text1"/>
          <w:sz w:val="24"/>
          <w:szCs w:val="24"/>
        </w:rPr>
      </w:pPr>
    </w:p>
    <w:p w14:paraId="76F44704" w14:textId="529DE7CE" w:rsidR="002B667A" w:rsidRPr="003C2478" w:rsidRDefault="003406B3" w:rsidP="00C359C5">
      <w:pPr>
        <w:tabs>
          <w:tab w:val="left" w:pos="4253"/>
        </w:tabs>
        <w:spacing w:after="0"/>
        <w:jc w:val="both"/>
        <w:rPr>
          <w:rFonts w:ascii="Calibri" w:eastAsia="Calibri" w:hAnsi="Calibri" w:cs="Times New Roman"/>
        </w:rPr>
      </w:pPr>
      <w:sdt>
        <w:sdtPr>
          <w:rPr>
            <w:b/>
            <w:color w:val="000000" w:themeColor="text1"/>
          </w:rPr>
          <w:id w:val="-1404436048"/>
          <w:placeholder>
            <w:docPart w:val="2FC8C75ABD97480EB63CEEFDB6376F9F"/>
          </w:placeholder>
        </w:sdtPr>
        <w:sdtEndPr/>
        <w:sdtContent>
          <w:sdt>
            <w:sdtPr>
              <w:rPr>
                <w:color w:val="000000" w:themeColor="text1"/>
                <w:sz w:val="24"/>
                <w:szCs w:val="24"/>
              </w:rPr>
              <w:id w:val="-162478026"/>
              <w:placeholder>
                <w:docPart w:val="98460385A5654A54AB63931EB28309C1"/>
              </w:placeholder>
              <w:showingPlcHdr/>
            </w:sdtPr>
            <w:sdtEndPr/>
            <w:sdtContent>
              <w:r w:rsidR="009B7389" w:rsidRPr="003C2478">
                <w:rPr>
                  <w:rStyle w:val="PlaceholderText"/>
                  <w:color w:val="0070C0"/>
                </w:rPr>
                <w:t>Cliquez ou tapez ici pour saisir le texte.</w:t>
              </w:r>
            </w:sdtContent>
          </w:sdt>
        </w:sdtContent>
      </w:sdt>
      <w:r w:rsidR="009B7389" w:rsidRPr="003C2478">
        <w:rPr>
          <w:b/>
          <w:color w:val="000000" w:themeColor="text1"/>
        </w:rPr>
        <w:tab/>
      </w:r>
      <w:r w:rsidR="00B867EE">
        <w:rPr>
          <w:b/>
          <w:color w:val="000000" w:themeColor="text1"/>
        </w:rPr>
        <w:tab/>
      </w:r>
      <w:r w:rsidR="009B7389" w:rsidRPr="003C2478">
        <w:rPr>
          <w:rFonts w:ascii="Calibri" w:eastAsia="Calibri" w:hAnsi="Calibri" w:cs="Times New Roman"/>
        </w:rPr>
        <w:t xml:space="preserve">Monsieur </w:t>
      </w:r>
      <w:r w:rsidR="00EB5635" w:rsidRPr="003C2478">
        <w:rPr>
          <w:rFonts w:ascii="Calibri" w:eastAsia="Calibri" w:hAnsi="Calibri" w:cs="Times New Roman"/>
        </w:rPr>
        <w:t>Mickaël Daubie</w:t>
      </w:r>
    </w:p>
    <w:p w14:paraId="14555A05" w14:textId="0ED29C69" w:rsidR="002B667A" w:rsidRPr="003C2478" w:rsidRDefault="003406B3" w:rsidP="00C359C5">
      <w:pPr>
        <w:tabs>
          <w:tab w:val="left" w:pos="4253"/>
        </w:tabs>
        <w:spacing w:after="0"/>
        <w:jc w:val="both"/>
        <w:rPr>
          <w:rFonts w:ascii="Calibri" w:eastAsia="Calibri" w:hAnsi="Calibri" w:cs="Times New Roman"/>
        </w:rPr>
      </w:pPr>
      <w:sdt>
        <w:sdtPr>
          <w:rPr>
            <w:rFonts w:ascii="Calibri" w:eastAsia="Calibri" w:hAnsi="Calibri" w:cs="Times New Roman"/>
          </w:rPr>
          <w:id w:val="1162505689"/>
          <w:placeholder>
            <w:docPart w:val="2FC8C75ABD97480EB63CEEFDB6376F9F"/>
          </w:placeholder>
        </w:sdtPr>
        <w:sdtEndPr/>
        <w:sdtContent>
          <w:sdt>
            <w:sdtPr>
              <w:rPr>
                <w:color w:val="000000" w:themeColor="text1"/>
                <w:sz w:val="24"/>
                <w:szCs w:val="24"/>
              </w:rPr>
              <w:id w:val="1136059051"/>
              <w:placeholder>
                <w:docPart w:val="B5FED52C538F4EFBAC5219150BB73D66"/>
              </w:placeholder>
              <w:showingPlcHdr/>
            </w:sdtPr>
            <w:sdtEndPr/>
            <w:sdtContent>
              <w:r w:rsidR="009B7389" w:rsidRPr="003C2478">
                <w:rPr>
                  <w:rStyle w:val="PlaceholderText"/>
                  <w:color w:val="0070C0"/>
                </w:rPr>
                <w:t>Cliquez ou tapez ici pour saisir le texte.</w:t>
              </w:r>
            </w:sdtContent>
          </w:sdt>
        </w:sdtContent>
      </w:sdt>
      <w:r w:rsidR="009B7389" w:rsidRPr="003C2478">
        <w:rPr>
          <w:rFonts w:ascii="Calibri" w:eastAsia="Calibri" w:hAnsi="Calibri" w:cs="Times New Roman"/>
        </w:rPr>
        <w:tab/>
      </w:r>
      <w:r w:rsidR="00B867EE">
        <w:rPr>
          <w:rFonts w:ascii="Calibri" w:eastAsia="Calibri" w:hAnsi="Calibri" w:cs="Times New Roman"/>
        </w:rPr>
        <w:tab/>
      </w:r>
      <w:r w:rsidR="009B7389" w:rsidRPr="003C2478">
        <w:rPr>
          <w:rFonts w:ascii="Calibri" w:eastAsia="Calibri" w:hAnsi="Calibri" w:cs="Times New Roman"/>
        </w:rPr>
        <w:t xml:space="preserve">Directeur général </w:t>
      </w:r>
    </w:p>
    <w:p w14:paraId="1208E4F0" w14:textId="093E9BE8" w:rsidR="009B7389" w:rsidRPr="003C2478" w:rsidRDefault="009B7389" w:rsidP="00CA7C26">
      <w:pPr>
        <w:jc w:val="both"/>
      </w:pPr>
    </w:p>
    <w:p w14:paraId="41EFD8E4" w14:textId="2801EC7A" w:rsidR="00654676" w:rsidRPr="003C2478" w:rsidRDefault="00654676" w:rsidP="00CA7C26">
      <w:pPr>
        <w:jc w:val="both"/>
      </w:pPr>
    </w:p>
    <w:p w14:paraId="296B2525" w14:textId="3E0EF944" w:rsidR="002B667A" w:rsidRPr="003C2478" w:rsidRDefault="002E0EA2" w:rsidP="00CA7C26">
      <w:pPr>
        <w:jc w:val="both"/>
      </w:pPr>
      <w:r w:rsidRPr="003C2478">
        <w:t>En cas d'inscription en tant qu'</w:t>
      </w:r>
      <w:r w:rsidR="00AF33E1">
        <w:t xml:space="preserve"> </w:t>
      </w:r>
      <w:r w:rsidRPr="003C2478">
        <w:t>"</w:t>
      </w:r>
      <w:r w:rsidR="00AF33E1" w:rsidRPr="00AF33E1">
        <w:t xml:space="preserve"> institution </w:t>
      </w:r>
      <w:r w:rsidR="00413BAA">
        <w:t>de bas-volume</w:t>
      </w:r>
      <w:r w:rsidRPr="003C2478">
        <w:t>" ou en tant qu'</w:t>
      </w:r>
      <w:r w:rsidR="00AF33E1">
        <w:t xml:space="preserve"> </w:t>
      </w:r>
      <w:r w:rsidRPr="003C2478">
        <w:t>"</w:t>
      </w:r>
      <w:r w:rsidR="00AF33E1" w:rsidRPr="00AF33E1">
        <w:t xml:space="preserve"> institution </w:t>
      </w:r>
      <w:r w:rsidR="00AF33E1">
        <w:t>collaboratrice</w:t>
      </w:r>
      <w:r w:rsidRPr="003C2478">
        <w:t xml:space="preserve"> avec des étapes externalisées", l'</w:t>
      </w:r>
      <w:r w:rsidR="00AF33E1">
        <w:t xml:space="preserve"> </w:t>
      </w:r>
      <w:r w:rsidRPr="003C2478">
        <w:t>"</w:t>
      </w:r>
      <w:r w:rsidR="00AF33E1" w:rsidRPr="00A802D7">
        <w:t xml:space="preserve"> </w:t>
      </w:r>
      <w:r w:rsidR="00AF33E1" w:rsidRPr="00AF33E1">
        <w:t xml:space="preserve">institution </w:t>
      </w:r>
      <w:r w:rsidR="00AF33E1">
        <w:t>de</w:t>
      </w:r>
      <w:r w:rsidRPr="003C2478">
        <w:t xml:space="preserve"> </w:t>
      </w:r>
      <w:r w:rsidR="00AF33E1">
        <w:t>haut-</w:t>
      </w:r>
      <w:r w:rsidRPr="003C2478">
        <w:t xml:space="preserve">volume" avec lequel une </w:t>
      </w:r>
      <w:r w:rsidR="00AF33E1">
        <w:t xml:space="preserve">collaboration </w:t>
      </w:r>
      <w:r w:rsidR="009D0F17" w:rsidRPr="003C2478">
        <w:t xml:space="preserve">a </w:t>
      </w:r>
      <w:r w:rsidRPr="003C2478">
        <w:t xml:space="preserve">été mise </w:t>
      </w:r>
      <w:r w:rsidR="009D0F17" w:rsidRPr="003C2478">
        <w:t xml:space="preserve">en place </w:t>
      </w:r>
      <w:r w:rsidRPr="003C2478">
        <w:t xml:space="preserve">doit également signer : </w:t>
      </w:r>
    </w:p>
    <w:p w14:paraId="0E7CC02E" w14:textId="203867DB" w:rsidR="002B667A" w:rsidRPr="003C2478" w:rsidRDefault="002E0EA2" w:rsidP="00C359C5">
      <w:pPr>
        <w:jc w:val="both"/>
        <w:rPr>
          <w:b/>
          <w:color w:val="000000" w:themeColor="text1"/>
          <w:sz w:val="24"/>
          <w:szCs w:val="24"/>
        </w:rPr>
      </w:pPr>
      <w:r w:rsidRPr="003C2478">
        <w:rPr>
          <w:b/>
          <w:color w:val="000000" w:themeColor="text1"/>
          <w:sz w:val="24"/>
          <w:szCs w:val="24"/>
        </w:rPr>
        <w:t>Pour l</w:t>
      </w:r>
      <w:r w:rsidR="00D57FAB">
        <w:rPr>
          <w:b/>
          <w:color w:val="000000" w:themeColor="text1"/>
          <w:sz w:val="24"/>
          <w:szCs w:val="24"/>
        </w:rPr>
        <w:t>’</w:t>
      </w:r>
      <w:r w:rsidRPr="003C2478">
        <w:rPr>
          <w:b/>
          <w:color w:val="000000" w:themeColor="text1"/>
          <w:sz w:val="24"/>
          <w:szCs w:val="24"/>
        </w:rPr>
        <w:t xml:space="preserve"> "</w:t>
      </w:r>
      <w:r w:rsidR="00AF33E1" w:rsidRPr="00AF33E1">
        <w:t xml:space="preserve"> </w:t>
      </w:r>
      <w:r w:rsidR="00AF33E1" w:rsidRPr="00AF33E1">
        <w:rPr>
          <w:b/>
          <w:color w:val="000000" w:themeColor="text1"/>
          <w:sz w:val="24"/>
          <w:szCs w:val="24"/>
        </w:rPr>
        <w:t xml:space="preserve">institution </w:t>
      </w:r>
      <w:r w:rsidR="00AF33E1">
        <w:rPr>
          <w:b/>
          <w:color w:val="000000" w:themeColor="text1"/>
          <w:sz w:val="24"/>
          <w:szCs w:val="24"/>
        </w:rPr>
        <w:t>de</w:t>
      </w:r>
      <w:r w:rsidRPr="003C2478">
        <w:rPr>
          <w:b/>
          <w:color w:val="000000" w:themeColor="text1"/>
          <w:sz w:val="24"/>
          <w:szCs w:val="24"/>
        </w:rPr>
        <w:t xml:space="preserve"> haut</w:t>
      </w:r>
      <w:r w:rsidR="00AF33E1">
        <w:rPr>
          <w:b/>
          <w:color w:val="000000" w:themeColor="text1"/>
          <w:sz w:val="24"/>
          <w:szCs w:val="24"/>
        </w:rPr>
        <w:t>-</w:t>
      </w:r>
      <w:r w:rsidRPr="003C2478">
        <w:rPr>
          <w:b/>
          <w:color w:val="000000" w:themeColor="text1"/>
          <w:sz w:val="24"/>
          <w:szCs w:val="24"/>
        </w:rPr>
        <w:t xml:space="preserve">volume", </w:t>
      </w:r>
    </w:p>
    <w:p w14:paraId="3B774BED" w14:textId="77777777" w:rsidR="009D0F17" w:rsidRPr="003C2478" w:rsidRDefault="009D0F17" w:rsidP="00C359C5">
      <w:pPr>
        <w:ind w:left="720"/>
        <w:jc w:val="both"/>
        <w:rPr>
          <w:b/>
          <w:color w:val="000000" w:themeColor="text1"/>
          <w:sz w:val="24"/>
          <w:szCs w:val="24"/>
        </w:rPr>
      </w:pPr>
    </w:p>
    <w:p w14:paraId="6AA89EBC" w14:textId="77777777" w:rsidR="009D0F17" w:rsidRPr="003C2478" w:rsidRDefault="009D0F17" w:rsidP="00C359C5">
      <w:pPr>
        <w:ind w:left="720"/>
        <w:jc w:val="both"/>
        <w:rPr>
          <w:b/>
          <w:color w:val="000000" w:themeColor="text1"/>
          <w:sz w:val="24"/>
          <w:szCs w:val="24"/>
        </w:rPr>
      </w:pPr>
    </w:p>
    <w:p w14:paraId="61DE71C1" w14:textId="77777777" w:rsidR="009D0F17" w:rsidRPr="003C2478" w:rsidRDefault="009D0F17" w:rsidP="00C359C5">
      <w:pPr>
        <w:ind w:left="720"/>
        <w:jc w:val="both"/>
        <w:rPr>
          <w:b/>
          <w:color w:val="000000" w:themeColor="text1"/>
          <w:sz w:val="24"/>
          <w:szCs w:val="24"/>
        </w:rPr>
      </w:pPr>
    </w:p>
    <w:p w14:paraId="62E55FFA" w14:textId="77777777" w:rsidR="002B667A" w:rsidRPr="003C2478" w:rsidRDefault="003406B3" w:rsidP="00C359C5">
      <w:pPr>
        <w:tabs>
          <w:tab w:val="left" w:pos="4253"/>
        </w:tabs>
        <w:spacing w:after="0"/>
        <w:jc w:val="both"/>
        <w:rPr>
          <w:rFonts w:ascii="Calibri" w:eastAsia="Calibri" w:hAnsi="Calibri" w:cs="Times New Roman"/>
        </w:rPr>
      </w:pPr>
      <w:sdt>
        <w:sdtPr>
          <w:rPr>
            <w:b/>
            <w:color w:val="000000" w:themeColor="text1"/>
          </w:rPr>
          <w:id w:val="984737995"/>
          <w:placeholder>
            <w:docPart w:val="FD72D61072384AD6BD00CC57A5FE8A49"/>
          </w:placeholder>
        </w:sdtPr>
        <w:sdtEndPr/>
        <w:sdtContent>
          <w:sdt>
            <w:sdtPr>
              <w:rPr>
                <w:color w:val="000000" w:themeColor="text1"/>
                <w:sz w:val="24"/>
                <w:szCs w:val="24"/>
              </w:rPr>
              <w:id w:val="293253110"/>
              <w:placeholder>
                <w:docPart w:val="CB515811E6964E35AF328337C201D024"/>
              </w:placeholder>
              <w:showingPlcHdr/>
            </w:sdtPr>
            <w:sdtEndPr/>
            <w:sdtContent>
              <w:r w:rsidR="009D0F17" w:rsidRPr="003C2478">
                <w:rPr>
                  <w:rStyle w:val="PlaceholderText"/>
                  <w:color w:val="0070C0"/>
                </w:rPr>
                <w:t>Cliquez ou tapez ici pour saisir le texte.</w:t>
              </w:r>
            </w:sdtContent>
          </w:sdt>
        </w:sdtContent>
      </w:sdt>
    </w:p>
    <w:p w14:paraId="149FEDAA" w14:textId="77777777" w:rsidR="002B667A" w:rsidRPr="003C2478" w:rsidRDefault="003406B3" w:rsidP="00C359C5">
      <w:pPr>
        <w:tabs>
          <w:tab w:val="left" w:pos="4253"/>
        </w:tabs>
        <w:spacing w:after="0"/>
        <w:jc w:val="both"/>
        <w:rPr>
          <w:rFonts w:ascii="Calibri" w:eastAsia="Calibri" w:hAnsi="Calibri" w:cs="Times New Roman"/>
        </w:rPr>
      </w:pPr>
      <w:sdt>
        <w:sdtPr>
          <w:rPr>
            <w:rFonts w:ascii="Calibri" w:eastAsia="Calibri" w:hAnsi="Calibri" w:cs="Times New Roman"/>
          </w:rPr>
          <w:id w:val="-505219715"/>
          <w:placeholder>
            <w:docPart w:val="FD72D61072384AD6BD00CC57A5FE8A49"/>
          </w:placeholder>
        </w:sdtPr>
        <w:sdtEndPr/>
        <w:sdtContent>
          <w:sdt>
            <w:sdtPr>
              <w:rPr>
                <w:color w:val="000000" w:themeColor="text1"/>
                <w:sz w:val="24"/>
                <w:szCs w:val="24"/>
              </w:rPr>
              <w:id w:val="709694253"/>
              <w:placeholder>
                <w:docPart w:val="986233A6BD6141D691CE4A4E135FF2FD"/>
              </w:placeholder>
              <w:showingPlcHdr/>
            </w:sdtPr>
            <w:sdtEndPr/>
            <w:sdtContent>
              <w:r w:rsidR="009D0F17" w:rsidRPr="003C2478">
                <w:rPr>
                  <w:rStyle w:val="PlaceholderText"/>
                  <w:color w:val="0070C0"/>
                </w:rPr>
                <w:t>Cliquez ou tapez ici pour saisir le texte.</w:t>
              </w:r>
            </w:sdtContent>
          </w:sdt>
        </w:sdtContent>
      </w:sdt>
      <w:r w:rsidR="009D0F17" w:rsidRPr="003C2478">
        <w:rPr>
          <w:rFonts w:ascii="Calibri" w:eastAsia="Calibri" w:hAnsi="Calibri" w:cs="Times New Roman"/>
        </w:rPr>
        <w:t xml:space="preserve"> </w:t>
      </w:r>
    </w:p>
    <w:p w14:paraId="32D75158" w14:textId="7E846FFC" w:rsidR="009D0F17" w:rsidRPr="00974334" w:rsidRDefault="009D0F17" w:rsidP="00974334"/>
    <w:sectPr w:rsidR="009D0F17" w:rsidRPr="00974334" w:rsidSect="00D41DA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EAC" w14:textId="77777777" w:rsidR="007A26FA" w:rsidRDefault="007A26FA" w:rsidP="00CC10F4">
      <w:pPr>
        <w:spacing w:after="0" w:line="240" w:lineRule="auto"/>
      </w:pPr>
      <w:r>
        <w:separator/>
      </w:r>
    </w:p>
  </w:endnote>
  <w:endnote w:type="continuationSeparator" w:id="0">
    <w:p w14:paraId="2248913B" w14:textId="77777777" w:rsidR="007A26FA" w:rsidRDefault="007A26FA" w:rsidP="00C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7955"/>
      <w:docPartObj>
        <w:docPartGallery w:val="Page Numbers (Bottom of Page)"/>
        <w:docPartUnique/>
      </w:docPartObj>
    </w:sdtPr>
    <w:sdtEndPr>
      <w:rPr>
        <w:noProof/>
      </w:rPr>
    </w:sdtEndPr>
    <w:sdtContent>
      <w:p w14:paraId="629D07B6" w14:textId="77777777" w:rsidR="002B667A" w:rsidRDefault="002E0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53536" w14:textId="77777777" w:rsidR="009B7389" w:rsidRDefault="009B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73A" w14:textId="77777777" w:rsidR="007A26FA" w:rsidRDefault="007A26FA" w:rsidP="00CC10F4">
      <w:pPr>
        <w:spacing w:after="0" w:line="240" w:lineRule="auto"/>
      </w:pPr>
      <w:r>
        <w:separator/>
      </w:r>
    </w:p>
  </w:footnote>
  <w:footnote w:type="continuationSeparator" w:id="0">
    <w:p w14:paraId="2BBF03C0" w14:textId="77777777" w:rsidR="007A26FA" w:rsidRDefault="007A26FA" w:rsidP="00CC10F4">
      <w:pPr>
        <w:spacing w:after="0" w:line="240" w:lineRule="auto"/>
      </w:pPr>
      <w:r>
        <w:continuationSeparator/>
      </w:r>
    </w:p>
  </w:footnote>
  <w:footnote w:id="1">
    <w:p w14:paraId="1CEB2B21" w14:textId="07637F4A" w:rsidR="00C27E75" w:rsidRPr="00C27E75" w:rsidRDefault="00C27E75">
      <w:pPr>
        <w:pStyle w:val="FootnoteText"/>
      </w:pPr>
      <w:r>
        <w:rPr>
          <w:rStyle w:val="FootnoteReference"/>
        </w:rPr>
        <w:footnoteRef/>
      </w:r>
      <w:r>
        <w:t xml:space="preserve"> </w:t>
      </w:r>
      <w:r w:rsidRPr="003C2478">
        <w:t>Préliminaire</w:t>
      </w:r>
      <w:r>
        <w:t>s</w:t>
      </w:r>
      <w:r w:rsidRPr="003C2478">
        <w:t xml:space="preserve"> = précédant le test NGS</w:t>
      </w:r>
    </w:p>
  </w:footnote>
  <w:footnote w:id="2">
    <w:p w14:paraId="05991504" w14:textId="666BEBBD" w:rsidR="002B667A" w:rsidRPr="003C2478" w:rsidRDefault="002E0EA2" w:rsidP="00C27E75">
      <w:pPr>
        <w:pStyle w:val="FootnoteText"/>
      </w:pPr>
      <w:r>
        <w:rPr>
          <w:rStyle w:val="FootnoteReference"/>
        </w:rPr>
        <w:footnoteRef/>
      </w:r>
      <w:r w:rsidRPr="003C2478">
        <w:t xml:space="preserve"> </w:t>
      </w:r>
      <w:r w:rsidR="00702CD2" w:rsidRPr="00702CD2">
        <w:t xml:space="preserve">complémentaires </w:t>
      </w:r>
      <w:r w:rsidRPr="003C2478">
        <w:t>=pour confirmer une interprétation du résultat de la NGS</w:t>
      </w:r>
    </w:p>
  </w:footnote>
  <w:footnote w:id="3">
    <w:p w14:paraId="5CC7E709" w14:textId="77777777" w:rsidR="002B667A" w:rsidRPr="003C2478" w:rsidRDefault="002E0EA2">
      <w:pPr>
        <w:pStyle w:val="FootnoteText"/>
      </w:pPr>
      <w:r>
        <w:rPr>
          <w:rStyle w:val="FootnoteReference"/>
        </w:rPr>
        <w:footnoteRef/>
      </w:r>
      <w:hyperlink r:id="rId1" w:history="1">
        <w:r w:rsidRPr="003C2478">
          <w:rPr>
            <w:rStyle w:val="Hyperlink"/>
          </w:rPr>
          <w:t xml:space="preserve"> www.e-cancer.be/nl/step/commissie-voor-gepersonaliseerde-geneeskunde-compermed </w:t>
        </w:r>
      </w:hyperlink>
    </w:p>
  </w:footnote>
  <w:footnote w:id="4">
    <w:p w14:paraId="7BF72107" w14:textId="77777777" w:rsidR="002B667A" w:rsidRPr="003C2478" w:rsidRDefault="002E0EA2">
      <w:pPr>
        <w:pStyle w:val="FootnoteText"/>
      </w:pPr>
      <w:r>
        <w:rPr>
          <w:rStyle w:val="FootnoteReference"/>
        </w:rPr>
        <w:footnoteRef/>
      </w:r>
      <w:hyperlink r:id="rId2" w:history="1">
        <w:r w:rsidRPr="003C2478">
          <w:rPr>
            <w:rStyle w:val="Hyperlink"/>
          </w:rPr>
          <w:t xml:space="preserve"> Spécialités pharmaceutiques - Liste de référence Chapitre VIII-c - INAMI (fgov.be)</w:t>
        </w:r>
      </w:hyperlink>
    </w:p>
  </w:footnote>
  <w:footnote w:id="5">
    <w:p w14:paraId="52BB04CD" w14:textId="77777777" w:rsidR="002B667A" w:rsidRPr="003C2478" w:rsidRDefault="002E0EA2">
      <w:pPr>
        <w:pStyle w:val="FootnoteText"/>
      </w:pPr>
      <w:r>
        <w:rPr>
          <w:rStyle w:val="FootnoteReference"/>
        </w:rPr>
        <w:footnoteRef/>
      </w:r>
      <w:hyperlink r:id="rId3" w:history="1">
        <w:r w:rsidRPr="003C2478">
          <w:rPr>
            <w:rStyle w:val="Hyperlink"/>
          </w:rPr>
          <w:t xml:space="preserve"> Remboursement des médicaments personnalisés et des "diagnostics compagnons" - INAMI (fgov.be)</w:t>
        </w:r>
      </w:hyperlink>
    </w:p>
  </w:footnote>
  <w:footnote w:id="6">
    <w:p w14:paraId="6BB3FEAB" w14:textId="77777777" w:rsidR="002B667A" w:rsidRPr="003C2478" w:rsidRDefault="002E0EA2">
      <w:pPr>
        <w:pStyle w:val="FootnoteText"/>
      </w:pPr>
      <w:r>
        <w:rPr>
          <w:rStyle w:val="FootnoteReference"/>
        </w:rPr>
        <w:footnoteRef/>
      </w:r>
      <w:hyperlink r:id="rId4" w:history="1">
        <w:r w:rsidRPr="003C2478">
          <w:rPr>
            <w:rStyle w:val="Hyperlink"/>
          </w:rPr>
          <w:t xml:space="preserve"> https://economie.fgov.be/sites/default/files/Files/Publications/files/Belac-NL/2-405NGS-NL.pdf</w:t>
        </w:r>
      </w:hyperlink>
      <w:r w:rsidR="00143F86" w:rsidRPr="003C2478">
        <w:t xml:space="preserve"> et </w:t>
      </w:r>
      <w:hyperlink r:id="rId5" w:history="1">
        <w:r w:rsidR="00143F86" w:rsidRPr="003C2478">
          <w:rPr>
            <w:rStyle w:val="cf01"/>
            <w:color w:val="0000FF"/>
            <w:u w:val="single"/>
          </w:rPr>
          <w:t>2-405NGS-FR.pdf (fgov.be)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77"/>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E60966"/>
    <w:multiLevelType w:val="hybridMultilevel"/>
    <w:tmpl w:val="81F05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FC2D5E"/>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87DEF"/>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F1954"/>
    <w:multiLevelType w:val="hybridMultilevel"/>
    <w:tmpl w:val="B840FF5A"/>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26281A"/>
    <w:multiLevelType w:val="hybridMultilevel"/>
    <w:tmpl w:val="49D4B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C123CF"/>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B0724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EBC6D0F"/>
    <w:multiLevelType w:val="hybridMultilevel"/>
    <w:tmpl w:val="3AC8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0329E4"/>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82232F"/>
    <w:multiLevelType w:val="hybridMultilevel"/>
    <w:tmpl w:val="ECE82F4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822A1F"/>
    <w:multiLevelType w:val="multilevel"/>
    <w:tmpl w:val="BF2A63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BB670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D53B52"/>
    <w:multiLevelType w:val="hybridMultilevel"/>
    <w:tmpl w:val="E042F3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2237F19"/>
    <w:multiLevelType w:val="hybridMultilevel"/>
    <w:tmpl w:val="03E0F1FE"/>
    <w:lvl w:ilvl="0" w:tplc="04130001">
      <w:start w:val="1"/>
      <w:numFmt w:val="bullet"/>
      <w:lvlText w:val=""/>
      <w:lvlJc w:val="left"/>
      <w:pPr>
        <w:ind w:left="720" w:hanging="360"/>
      </w:pPr>
      <w:rPr>
        <w:rFonts w:ascii="Symbol" w:hAnsi="Symbol" w:hint="default"/>
      </w:rPr>
    </w:lvl>
    <w:lvl w:ilvl="1" w:tplc="D1D4361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4B5B23"/>
    <w:multiLevelType w:val="hybridMultilevel"/>
    <w:tmpl w:val="9C7CE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861D92"/>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52307CE"/>
    <w:multiLevelType w:val="hybridMultilevel"/>
    <w:tmpl w:val="E86E6A7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7304719"/>
    <w:multiLevelType w:val="hybridMultilevel"/>
    <w:tmpl w:val="8C4CB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76B26C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5C75D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A817995"/>
    <w:multiLevelType w:val="hybridMultilevel"/>
    <w:tmpl w:val="344E210A"/>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B430699"/>
    <w:multiLevelType w:val="multilevel"/>
    <w:tmpl w:val="3C9690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B5B18C7"/>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DF45E43"/>
    <w:multiLevelType w:val="hybridMultilevel"/>
    <w:tmpl w:val="E2DA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E9D1A46"/>
    <w:multiLevelType w:val="hybridMultilevel"/>
    <w:tmpl w:val="64F459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FA8392E"/>
    <w:multiLevelType w:val="hybridMultilevel"/>
    <w:tmpl w:val="A2D20360"/>
    <w:lvl w:ilvl="0" w:tplc="DB500E28">
      <w:start w:val="1"/>
      <w:numFmt w:val="bullet"/>
      <w:lvlText w:val="-"/>
      <w:lvlJc w:val="left"/>
      <w:pPr>
        <w:ind w:left="720" w:hanging="360"/>
      </w:pPr>
      <w:rPr>
        <w:rFonts w:ascii="Calibri" w:eastAsia="Times New Roman" w:hAnsi="Calibri" w:cs="Calibri" w:hint="default"/>
        <w:b w:val="0"/>
        <w:color w:val="2D323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0785590"/>
    <w:multiLevelType w:val="hybridMultilevel"/>
    <w:tmpl w:val="607A7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2374C65"/>
    <w:multiLevelType w:val="hybridMultilevel"/>
    <w:tmpl w:val="64EABA1C"/>
    <w:lvl w:ilvl="0" w:tplc="FFFFFFFF">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B62CCA"/>
    <w:multiLevelType w:val="hybridMultilevel"/>
    <w:tmpl w:val="D6FCFD2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3C0653"/>
    <w:multiLevelType w:val="hybridMultilevel"/>
    <w:tmpl w:val="673252C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422CE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C185895"/>
    <w:multiLevelType w:val="hybridMultilevel"/>
    <w:tmpl w:val="3AFC394E"/>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2CCA7591"/>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EDC68EF"/>
    <w:multiLevelType w:val="hybridMultilevel"/>
    <w:tmpl w:val="F4BA058E"/>
    <w:lvl w:ilvl="0" w:tplc="04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25A6B1B"/>
    <w:multiLevelType w:val="hybridMultilevel"/>
    <w:tmpl w:val="59CC74E4"/>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3C25C89"/>
    <w:multiLevelType w:val="hybridMultilevel"/>
    <w:tmpl w:val="746E074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70B6DB5"/>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E33C65"/>
    <w:multiLevelType w:val="hybridMultilevel"/>
    <w:tmpl w:val="E86E6A7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FD06281"/>
    <w:multiLevelType w:val="hybridMultilevel"/>
    <w:tmpl w:val="814827A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0D14501"/>
    <w:multiLevelType w:val="hybridMultilevel"/>
    <w:tmpl w:val="17B60B7C"/>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13A00C9"/>
    <w:multiLevelType w:val="hybridMultilevel"/>
    <w:tmpl w:val="5AC489EE"/>
    <w:lvl w:ilvl="0" w:tplc="1320045A">
      <w:start w:val="1"/>
      <w:numFmt w:val="decimal"/>
      <w:pStyle w:val="Heading2"/>
      <w:lvlText w:val="Article 1.%1."/>
      <w:lvlJc w:val="left"/>
      <w:pPr>
        <w:ind w:left="29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19F45B2"/>
    <w:multiLevelType w:val="hybridMultilevel"/>
    <w:tmpl w:val="38800A4C"/>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3" w15:restartNumberingAfterBreak="0">
    <w:nsid w:val="422B222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96D0C4C"/>
    <w:multiLevelType w:val="hybridMultilevel"/>
    <w:tmpl w:val="633A3BF2"/>
    <w:lvl w:ilvl="0" w:tplc="49E8A3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B44488"/>
    <w:multiLevelType w:val="hybridMultilevel"/>
    <w:tmpl w:val="64F45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D2C5AE3"/>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2097566"/>
    <w:multiLevelType w:val="hybridMultilevel"/>
    <w:tmpl w:val="41A01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5DD4089"/>
    <w:multiLevelType w:val="hybridMultilevel"/>
    <w:tmpl w:val="BDFE4BD2"/>
    <w:lvl w:ilvl="0" w:tplc="1EF8533C">
      <w:start w:val="1"/>
      <w:numFmt w:val="decimal"/>
      <w:pStyle w:val="Heading1"/>
      <w:lvlText w:val="Article %1."/>
      <w:lvlJc w:val="left"/>
      <w:pPr>
        <w:ind w:left="360" w:hanging="360"/>
      </w:pPr>
      <w:rPr>
        <w:rFonts w:hint="default"/>
      </w:rPr>
    </w:lvl>
    <w:lvl w:ilvl="1" w:tplc="04130019" w:tentative="1">
      <w:start w:val="1"/>
      <w:numFmt w:val="lowerLetter"/>
      <w:lvlText w:val="%2."/>
      <w:lvlJc w:val="left"/>
      <w:pPr>
        <w:ind w:left="2782" w:hanging="360"/>
      </w:pPr>
    </w:lvl>
    <w:lvl w:ilvl="2" w:tplc="0413001B" w:tentative="1">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49" w15:restartNumberingAfterBreak="0">
    <w:nsid w:val="582B37B8"/>
    <w:multiLevelType w:val="hybridMultilevel"/>
    <w:tmpl w:val="ECE82F42"/>
    <w:lvl w:ilvl="0" w:tplc="0D1A13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85E539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CA90200"/>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E3D0D66"/>
    <w:multiLevelType w:val="hybridMultilevel"/>
    <w:tmpl w:val="9BE66A3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E8A2537"/>
    <w:multiLevelType w:val="hybridMultilevel"/>
    <w:tmpl w:val="B824D9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E954793"/>
    <w:multiLevelType w:val="hybridMultilevel"/>
    <w:tmpl w:val="43685850"/>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F626A6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376788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3881895"/>
    <w:multiLevelType w:val="hybridMultilevel"/>
    <w:tmpl w:val="DCDEDB9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48B6291"/>
    <w:multiLevelType w:val="hybridMultilevel"/>
    <w:tmpl w:val="2A6AA164"/>
    <w:lvl w:ilvl="0" w:tplc="49E8A37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4EC0D7A"/>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DB58A8"/>
    <w:multiLevelType w:val="multilevel"/>
    <w:tmpl w:val="5A22504A"/>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97447CC"/>
    <w:multiLevelType w:val="hybridMultilevel"/>
    <w:tmpl w:val="1F02E4F2"/>
    <w:lvl w:ilvl="0" w:tplc="1DDA98BE">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F3502AF"/>
    <w:multiLevelType w:val="hybridMultilevel"/>
    <w:tmpl w:val="38663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FC7699B"/>
    <w:multiLevelType w:val="hybridMultilevel"/>
    <w:tmpl w:val="6FF6A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FF43181"/>
    <w:multiLevelType w:val="hybridMultilevel"/>
    <w:tmpl w:val="B84821FE"/>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3C81384"/>
    <w:multiLevelType w:val="hybridMultilevel"/>
    <w:tmpl w:val="F0881D12"/>
    <w:lvl w:ilvl="0" w:tplc="1DDA98BE">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390FCF"/>
    <w:multiLevelType w:val="hybridMultilevel"/>
    <w:tmpl w:val="7B5A95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A7C34EA"/>
    <w:multiLevelType w:val="hybridMultilevel"/>
    <w:tmpl w:val="5EB60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BF94D07"/>
    <w:multiLevelType w:val="hybridMultilevel"/>
    <w:tmpl w:val="2AB4A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C55190F"/>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9346944">
    <w:abstractNumId w:val="65"/>
  </w:num>
  <w:num w:numId="2" w16cid:durableId="1816296753">
    <w:abstractNumId w:val="42"/>
  </w:num>
  <w:num w:numId="3" w16cid:durableId="926383473">
    <w:abstractNumId w:val="18"/>
  </w:num>
  <w:num w:numId="4" w16cid:durableId="36634940">
    <w:abstractNumId w:val="48"/>
  </w:num>
  <w:num w:numId="5" w16cid:durableId="1552306938">
    <w:abstractNumId w:val="34"/>
  </w:num>
  <w:num w:numId="6" w16cid:durableId="530071721">
    <w:abstractNumId w:val="45"/>
  </w:num>
  <w:num w:numId="7" w16cid:durableId="1907838703">
    <w:abstractNumId w:val="26"/>
  </w:num>
  <w:num w:numId="8" w16cid:durableId="2055962064">
    <w:abstractNumId w:val="61"/>
  </w:num>
  <w:num w:numId="9" w16cid:durableId="1307391310">
    <w:abstractNumId w:val="57"/>
  </w:num>
  <w:num w:numId="10" w16cid:durableId="722949016">
    <w:abstractNumId w:val="17"/>
  </w:num>
  <w:num w:numId="11" w16cid:durableId="1372728991">
    <w:abstractNumId w:val="41"/>
  </w:num>
  <w:num w:numId="12" w16cid:durableId="922449882">
    <w:abstractNumId w:val="25"/>
  </w:num>
  <w:num w:numId="13" w16cid:durableId="475998651">
    <w:abstractNumId w:val="38"/>
  </w:num>
  <w:num w:numId="14" w16cid:durableId="1827044532">
    <w:abstractNumId w:val="53"/>
  </w:num>
  <w:num w:numId="15" w16cid:durableId="818889065">
    <w:abstractNumId w:val="14"/>
  </w:num>
  <w:num w:numId="16" w16cid:durableId="1851212673">
    <w:abstractNumId w:val="5"/>
  </w:num>
  <w:num w:numId="17" w16cid:durableId="1853449227">
    <w:abstractNumId w:val="1"/>
  </w:num>
  <w:num w:numId="18" w16cid:durableId="308245411">
    <w:abstractNumId w:val="68"/>
  </w:num>
  <w:num w:numId="19" w16cid:durableId="359018726">
    <w:abstractNumId w:val="27"/>
  </w:num>
  <w:num w:numId="20" w16cid:durableId="131414046">
    <w:abstractNumId w:val="24"/>
  </w:num>
  <w:num w:numId="21" w16cid:durableId="1522233044">
    <w:abstractNumId w:val="30"/>
  </w:num>
  <w:num w:numId="22" w16cid:durableId="1577127435">
    <w:abstractNumId w:val="39"/>
  </w:num>
  <w:num w:numId="23" w16cid:durableId="1836141701">
    <w:abstractNumId w:val="36"/>
  </w:num>
  <w:num w:numId="24" w16cid:durableId="2145737050">
    <w:abstractNumId w:val="40"/>
  </w:num>
  <w:num w:numId="25" w16cid:durableId="1266109432">
    <w:abstractNumId w:val="4"/>
  </w:num>
  <w:num w:numId="26" w16cid:durableId="1274094906">
    <w:abstractNumId w:val="35"/>
  </w:num>
  <w:num w:numId="27" w16cid:durableId="1917469027">
    <w:abstractNumId w:val="64"/>
  </w:num>
  <w:num w:numId="28" w16cid:durableId="1456830242">
    <w:abstractNumId w:val="21"/>
  </w:num>
  <w:num w:numId="29" w16cid:durableId="880939938">
    <w:abstractNumId w:val="29"/>
  </w:num>
  <w:num w:numId="30" w16cid:durableId="1694762332">
    <w:abstractNumId w:val="54"/>
  </w:num>
  <w:num w:numId="31" w16cid:durableId="947200113">
    <w:abstractNumId w:val="47"/>
  </w:num>
  <w:num w:numId="32" w16cid:durableId="1306619291">
    <w:abstractNumId w:val="8"/>
  </w:num>
  <w:num w:numId="33" w16cid:durableId="1683431240">
    <w:abstractNumId w:val="66"/>
  </w:num>
  <w:num w:numId="34" w16cid:durableId="1585803073">
    <w:abstractNumId w:val="15"/>
  </w:num>
  <w:num w:numId="35" w16cid:durableId="845948499">
    <w:abstractNumId w:val="67"/>
  </w:num>
  <w:num w:numId="36" w16cid:durableId="469175090">
    <w:abstractNumId w:val="69"/>
  </w:num>
  <w:num w:numId="37" w16cid:durableId="477115193">
    <w:abstractNumId w:val="2"/>
  </w:num>
  <w:num w:numId="38" w16cid:durableId="1634169390">
    <w:abstractNumId w:val="44"/>
  </w:num>
  <w:num w:numId="39" w16cid:durableId="2024550628">
    <w:abstractNumId w:val="58"/>
  </w:num>
  <w:num w:numId="40" w16cid:durableId="902446809">
    <w:abstractNumId w:val="22"/>
  </w:num>
  <w:num w:numId="41" w16cid:durableId="589627414">
    <w:abstractNumId w:val="7"/>
  </w:num>
  <w:num w:numId="42" w16cid:durableId="982201185">
    <w:abstractNumId w:val="0"/>
  </w:num>
  <w:num w:numId="43" w16cid:durableId="1412000567">
    <w:abstractNumId w:val="33"/>
  </w:num>
  <w:num w:numId="44" w16cid:durableId="2096970906">
    <w:abstractNumId w:val="60"/>
  </w:num>
  <w:num w:numId="45" w16cid:durableId="1849057686">
    <w:abstractNumId w:val="46"/>
  </w:num>
  <w:num w:numId="46" w16cid:durableId="186914475">
    <w:abstractNumId w:val="59"/>
  </w:num>
  <w:num w:numId="47" w16cid:durableId="409351258">
    <w:abstractNumId w:val="3"/>
  </w:num>
  <w:num w:numId="48" w16cid:durableId="1333215298">
    <w:abstractNumId w:val="51"/>
  </w:num>
  <w:num w:numId="49" w16cid:durableId="638338940">
    <w:abstractNumId w:val="31"/>
  </w:num>
  <w:num w:numId="50" w16cid:durableId="666861556">
    <w:abstractNumId w:val="12"/>
  </w:num>
  <w:num w:numId="51" w16cid:durableId="1686127078">
    <w:abstractNumId w:val="50"/>
  </w:num>
  <w:num w:numId="52" w16cid:durableId="518548092">
    <w:abstractNumId w:val="56"/>
  </w:num>
  <w:num w:numId="53" w16cid:durableId="1846550855">
    <w:abstractNumId w:val="23"/>
  </w:num>
  <w:num w:numId="54" w16cid:durableId="1195192121">
    <w:abstractNumId w:val="9"/>
  </w:num>
  <w:num w:numId="55" w16cid:durableId="2039815215">
    <w:abstractNumId w:val="37"/>
  </w:num>
  <w:num w:numId="56" w16cid:durableId="512577264">
    <w:abstractNumId w:val="43"/>
  </w:num>
  <w:num w:numId="57" w16cid:durableId="441875271">
    <w:abstractNumId w:val="55"/>
  </w:num>
  <w:num w:numId="58" w16cid:durableId="879976363">
    <w:abstractNumId w:val="20"/>
  </w:num>
  <w:num w:numId="59" w16cid:durableId="1170674682">
    <w:abstractNumId w:val="16"/>
  </w:num>
  <w:num w:numId="60" w16cid:durableId="483740496">
    <w:abstractNumId w:val="19"/>
  </w:num>
  <w:num w:numId="61" w16cid:durableId="185826346">
    <w:abstractNumId w:val="6"/>
  </w:num>
  <w:num w:numId="62" w16cid:durableId="887766232">
    <w:abstractNumId w:val="11"/>
  </w:num>
  <w:num w:numId="63" w16cid:durableId="342901491">
    <w:abstractNumId w:val="28"/>
  </w:num>
  <w:num w:numId="64" w16cid:durableId="835851022">
    <w:abstractNumId w:val="52"/>
  </w:num>
  <w:num w:numId="65" w16cid:durableId="1029571581">
    <w:abstractNumId w:val="32"/>
  </w:num>
  <w:num w:numId="66" w16cid:durableId="638414641">
    <w:abstractNumId w:val="49"/>
  </w:num>
  <w:num w:numId="67" w16cid:durableId="123811189">
    <w:abstractNumId w:val="10"/>
  </w:num>
  <w:num w:numId="68" w16cid:durableId="1737118978">
    <w:abstractNumId w:val="48"/>
  </w:num>
  <w:num w:numId="69" w16cid:durableId="984705412">
    <w:abstractNumId w:val="48"/>
  </w:num>
  <w:num w:numId="70" w16cid:durableId="616521716">
    <w:abstractNumId w:val="48"/>
  </w:num>
  <w:num w:numId="71" w16cid:durableId="631325549">
    <w:abstractNumId w:val="63"/>
  </w:num>
  <w:num w:numId="72" w16cid:durableId="791941824">
    <w:abstractNumId w:val="13"/>
  </w:num>
  <w:num w:numId="73" w16cid:durableId="1064065889">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7cuW8tPYniy1luRy6wNhYJ2aGiH8af1ioC95AqTOU7/ZbhHO9LExj9Ni9SUNdm1R95xWXIUhyTxyKS+VTTJAtw==" w:salt="Z+ZftxlMtNvacJAqnXzjgA=="/>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23"/>
    <w:rsid w:val="0000029E"/>
    <w:rsid w:val="00000781"/>
    <w:rsid w:val="000039B0"/>
    <w:rsid w:val="00004BD0"/>
    <w:rsid w:val="00004BF2"/>
    <w:rsid w:val="00005C93"/>
    <w:rsid w:val="00006A6A"/>
    <w:rsid w:val="00007395"/>
    <w:rsid w:val="00007AAC"/>
    <w:rsid w:val="00011155"/>
    <w:rsid w:val="00011259"/>
    <w:rsid w:val="00011432"/>
    <w:rsid w:val="0001177E"/>
    <w:rsid w:val="00027268"/>
    <w:rsid w:val="0003016E"/>
    <w:rsid w:val="0003413D"/>
    <w:rsid w:val="00041DC1"/>
    <w:rsid w:val="00041FE4"/>
    <w:rsid w:val="00042650"/>
    <w:rsid w:val="00045355"/>
    <w:rsid w:val="000537B1"/>
    <w:rsid w:val="000549A1"/>
    <w:rsid w:val="00060935"/>
    <w:rsid w:val="00062BED"/>
    <w:rsid w:val="00063905"/>
    <w:rsid w:val="00071E4B"/>
    <w:rsid w:val="000726B0"/>
    <w:rsid w:val="000764B7"/>
    <w:rsid w:val="00076DEE"/>
    <w:rsid w:val="00083250"/>
    <w:rsid w:val="00087A57"/>
    <w:rsid w:val="00090913"/>
    <w:rsid w:val="00093440"/>
    <w:rsid w:val="00093BD2"/>
    <w:rsid w:val="000944A9"/>
    <w:rsid w:val="000963B7"/>
    <w:rsid w:val="00097455"/>
    <w:rsid w:val="000A1076"/>
    <w:rsid w:val="000A2E89"/>
    <w:rsid w:val="000A3EE6"/>
    <w:rsid w:val="000A5AFB"/>
    <w:rsid w:val="000A617B"/>
    <w:rsid w:val="000B1185"/>
    <w:rsid w:val="000B142E"/>
    <w:rsid w:val="000B3A46"/>
    <w:rsid w:val="000B4372"/>
    <w:rsid w:val="000B4FEF"/>
    <w:rsid w:val="000B7800"/>
    <w:rsid w:val="000C01A6"/>
    <w:rsid w:val="000C1305"/>
    <w:rsid w:val="000C1402"/>
    <w:rsid w:val="000C6C03"/>
    <w:rsid w:val="000C7B33"/>
    <w:rsid w:val="000D43E5"/>
    <w:rsid w:val="000D5FD9"/>
    <w:rsid w:val="000E0AC8"/>
    <w:rsid w:val="000E0DAE"/>
    <w:rsid w:val="000E1B74"/>
    <w:rsid w:val="000E4CBD"/>
    <w:rsid w:val="000E54BA"/>
    <w:rsid w:val="000E7688"/>
    <w:rsid w:val="000E77C2"/>
    <w:rsid w:val="000F0559"/>
    <w:rsid w:val="000F0BFF"/>
    <w:rsid w:val="000F34BC"/>
    <w:rsid w:val="000F4D01"/>
    <w:rsid w:val="000F561C"/>
    <w:rsid w:val="00100A7B"/>
    <w:rsid w:val="00101D1A"/>
    <w:rsid w:val="001079BD"/>
    <w:rsid w:val="00114538"/>
    <w:rsid w:val="0011574C"/>
    <w:rsid w:val="00115802"/>
    <w:rsid w:val="00122DEF"/>
    <w:rsid w:val="00125249"/>
    <w:rsid w:val="001310BC"/>
    <w:rsid w:val="00134EF8"/>
    <w:rsid w:val="001377AD"/>
    <w:rsid w:val="0014002A"/>
    <w:rsid w:val="001406CE"/>
    <w:rsid w:val="00140EBC"/>
    <w:rsid w:val="00141121"/>
    <w:rsid w:val="00142333"/>
    <w:rsid w:val="0014356E"/>
    <w:rsid w:val="00143F86"/>
    <w:rsid w:val="00146DBE"/>
    <w:rsid w:val="00147A24"/>
    <w:rsid w:val="00150739"/>
    <w:rsid w:val="00151717"/>
    <w:rsid w:val="00152B12"/>
    <w:rsid w:val="00152DA8"/>
    <w:rsid w:val="0015354F"/>
    <w:rsid w:val="00157120"/>
    <w:rsid w:val="00162EE1"/>
    <w:rsid w:val="00162F0F"/>
    <w:rsid w:val="001630D6"/>
    <w:rsid w:val="00163A98"/>
    <w:rsid w:val="0016796D"/>
    <w:rsid w:val="0017203B"/>
    <w:rsid w:val="00172440"/>
    <w:rsid w:val="001729C7"/>
    <w:rsid w:val="00180E6C"/>
    <w:rsid w:val="0018188F"/>
    <w:rsid w:val="00182123"/>
    <w:rsid w:val="001834C6"/>
    <w:rsid w:val="00185BAB"/>
    <w:rsid w:val="00190D42"/>
    <w:rsid w:val="0019393F"/>
    <w:rsid w:val="00193C79"/>
    <w:rsid w:val="00194570"/>
    <w:rsid w:val="00194751"/>
    <w:rsid w:val="00194A8B"/>
    <w:rsid w:val="00197E6F"/>
    <w:rsid w:val="001A0139"/>
    <w:rsid w:val="001A26BE"/>
    <w:rsid w:val="001A4DEA"/>
    <w:rsid w:val="001B59EB"/>
    <w:rsid w:val="001B6976"/>
    <w:rsid w:val="001B78DD"/>
    <w:rsid w:val="001C29D8"/>
    <w:rsid w:val="001C4129"/>
    <w:rsid w:val="001C54F1"/>
    <w:rsid w:val="001C5BC0"/>
    <w:rsid w:val="001D0999"/>
    <w:rsid w:val="001D0A9E"/>
    <w:rsid w:val="001D1977"/>
    <w:rsid w:val="001D3136"/>
    <w:rsid w:val="001D411C"/>
    <w:rsid w:val="001D44DD"/>
    <w:rsid w:val="001D663D"/>
    <w:rsid w:val="001D731A"/>
    <w:rsid w:val="001D7B27"/>
    <w:rsid w:val="001E3FD7"/>
    <w:rsid w:val="001F1F43"/>
    <w:rsid w:val="001F27C7"/>
    <w:rsid w:val="001F2CC4"/>
    <w:rsid w:val="001F4E8C"/>
    <w:rsid w:val="001F4F36"/>
    <w:rsid w:val="001F5175"/>
    <w:rsid w:val="001F787A"/>
    <w:rsid w:val="001F7DB3"/>
    <w:rsid w:val="002004D4"/>
    <w:rsid w:val="002005FA"/>
    <w:rsid w:val="00200A74"/>
    <w:rsid w:val="00205A4D"/>
    <w:rsid w:val="002108C2"/>
    <w:rsid w:val="00211C66"/>
    <w:rsid w:val="00212AE4"/>
    <w:rsid w:val="00223B24"/>
    <w:rsid w:val="00224C58"/>
    <w:rsid w:val="00224DDC"/>
    <w:rsid w:val="00224F05"/>
    <w:rsid w:val="00225F3C"/>
    <w:rsid w:val="0023525C"/>
    <w:rsid w:val="0023673C"/>
    <w:rsid w:val="0023689E"/>
    <w:rsid w:val="00236CFC"/>
    <w:rsid w:val="00242C14"/>
    <w:rsid w:val="00244DB3"/>
    <w:rsid w:val="00246BA7"/>
    <w:rsid w:val="0025005E"/>
    <w:rsid w:val="00254208"/>
    <w:rsid w:val="00256120"/>
    <w:rsid w:val="00257B99"/>
    <w:rsid w:val="00257E20"/>
    <w:rsid w:val="00260437"/>
    <w:rsid w:val="0026222E"/>
    <w:rsid w:val="00262C20"/>
    <w:rsid w:val="00263049"/>
    <w:rsid w:val="00263FF7"/>
    <w:rsid w:val="002661D1"/>
    <w:rsid w:val="00266B10"/>
    <w:rsid w:val="0026736D"/>
    <w:rsid w:val="002676F6"/>
    <w:rsid w:val="00272565"/>
    <w:rsid w:val="002765E5"/>
    <w:rsid w:val="002774E9"/>
    <w:rsid w:val="00277DFA"/>
    <w:rsid w:val="002823BF"/>
    <w:rsid w:val="00282565"/>
    <w:rsid w:val="00286ABA"/>
    <w:rsid w:val="00286FBA"/>
    <w:rsid w:val="00287B9D"/>
    <w:rsid w:val="002913F9"/>
    <w:rsid w:val="0029288A"/>
    <w:rsid w:val="00292EA1"/>
    <w:rsid w:val="00293E68"/>
    <w:rsid w:val="002969D0"/>
    <w:rsid w:val="00297CEB"/>
    <w:rsid w:val="002A066D"/>
    <w:rsid w:val="002A09C0"/>
    <w:rsid w:val="002A206E"/>
    <w:rsid w:val="002A4FC9"/>
    <w:rsid w:val="002A5829"/>
    <w:rsid w:val="002A655C"/>
    <w:rsid w:val="002B001B"/>
    <w:rsid w:val="002B4796"/>
    <w:rsid w:val="002B4A25"/>
    <w:rsid w:val="002B64E9"/>
    <w:rsid w:val="002B667A"/>
    <w:rsid w:val="002C01E2"/>
    <w:rsid w:val="002C2154"/>
    <w:rsid w:val="002C4447"/>
    <w:rsid w:val="002C6F49"/>
    <w:rsid w:val="002D1728"/>
    <w:rsid w:val="002D2246"/>
    <w:rsid w:val="002D2E82"/>
    <w:rsid w:val="002D6ECA"/>
    <w:rsid w:val="002E0097"/>
    <w:rsid w:val="002E0150"/>
    <w:rsid w:val="002E0EA2"/>
    <w:rsid w:val="002E273B"/>
    <w:rsid w:val="002E500A"/>
    <w:rsid w:val="002F29DA"/>
    <w:rsid w:val="002F2D5A"/>
    <w:rsid w:val="002F4556"/>
    <w:rsid w:val="002F657A"/>
    <w:rsid w:val="002F6778"/>
    <w:rsid w:val="002F6923"/>
    <w:rsid w:val="002F77A3"/>
    <w:rsid w:val="0030111B"/>
    <w:rsid w:val="0030230A"/>
    <w:rsid w:val="00303222"/>
    <w:rsid w:val="00303833"/>
    <w:rsid w:val="00307944"/>
    <w:rsid w:val="00311787"/>
    <w:rsid w:val="003128E8"/>
    <w:rsid w:val="003142D9"/>
    <w:rsid w:val="0031616A"/>
    <w:rsid w:val="00317355"/>
    <w:rsid w:val="003173BA"/>
    <w:rsid w:val="0032441A"/>
    <w:rsid w:val="00330C9F"/>
    <w:rsid w:val="003339ED"/>
    <w:rsid w:val="003359BC"/>
    <w:rsid w:val="00335B31"/>
    <w:rsid w:val="003366B2"/>
    <w:rsid w:val="003406B3"/>
    <w:rsid w:val="00342074"/>
    <w:rsid w:val="00342FAF"/>
    <w:rsid w:val="0034345D"/>
    <w:rsid w:val="00344863"/>
    <w:rsid w:val="00345AEF"/>
    <w:rsid w:val="003525B0"/>
    <w:rsid w:val="003527AF"/>
    <w:rsid w:val="00352E1E"/>
    <w:rsid w:val="003568F7"/>
    <w:rsid w:val="00356D59"/>
    <w:rsid w:val="00357702"/>
    <w:rsid w:val="0036044C"/>
    <w:rsid w:val="003628E6"/>
    <w:rsid w:val="0036508C"/>
    <w:rsid w:val="00373ACB"/>
    <w:rsid w:val="00374E2D"/>
    <w:rsid w:val="0037679D"/>
    <w:rsid w:val="0037790A"/>
    <w:rsid w:val="0038153B"/>
    <w:rsid w:val="0038237D"/>
    <w:rsid w:val="00382CE8"/>
    <w:rsid w:val="0038436D"/>
    <w:rsid w:val="00384FBD"/>
    <w:rsid w:val="00385BFE"/>
    <w:rsid w:val="00390B58"/>
    <w:rsid w:val="00390DEF"/>
    <w:rsid w:val="00396BE2"/>
    <w:rsid w:val="00397B3D"/>
    <w:rsid w:val="003A0161"/>
    <w:rsid w:val="003A6427"/>
    <w:rsid w:val="003A755A"/>
    <w:rsid w:val="003A7CBC"/>
    <w:rsid w:val="003B4C7E"/>
    <w:rsid w:val="003B5619"/>
    <w:rsid w:val="003C0495"/>
    <w:rsid w:val="003C05D4"/>
    <w:rsid w:val="003C1291"/>
    <w:rsid w:val="003C1F1C"/>
    <w:rsid w:val="003C2478"/>
    <w:rsid w:val="003C4826"/>
    <w:rsid w:val="003C78DE"/>
    <w:rsid w:val="003C7D30"/>
    <w:rsid w:val="003D241F"/>
    <w:rsid w:val="003D4842"/>
    <w:rsid w:val="003D4A3F"/>
    <w:rsid w:val="003D75AB"/>
    <w:rsid w:val="003E0B3C"/>
    <w:rsid w:val="003E6586"/>
    <w:rsid w:val="003E6E4E"/>
    <w:rsid w:val="003F1912"/>
    <w:rsid w:val="003F3D5D"/>
    <w:rsid w:val="003F42A8"/>
    <w:rsid w:val="004024EE"/>
    <w:rsid w:val="00402B89"/>
    <w:rsid w:val="0040407D"/>
    <w:rsid w:val="00407B8C"/>
    <w:rsid w:val="004134D9"/>
    <w:rsid w:val="00413BAA"/>
    <w:rsid w:val="00413C97"/>
    <w:rsid w:val="00414FE2"/>
    <w:rsid w:val="0041541F"/>
    <w:rsid w:val="004175CB"/>
    <w:rsid w:val="00420827"/>
    <w:rsid w:val="0042154A"/>
    <w:rsid w:val="00426527"/>
    <w:rsid w:val="00427371"/>
    <w:rsid w:val="00430F66"/>
    <w:rsid w:val="0043154D"/>
    <w:rsid w:val="004316F0"/>
    <w:rsid w:val="00437B52"/>
    <w:rsid w:val="00440AE5"/>
    <w:rsid w:val="004413BE"/>
    <w:rsid w:val="0044392C"/>
    <w:rsid w:val="0044649F"/>
    <w:rsid w:val="00447004"/>
    <w:rsid w:val="00447C78"/>
    <w:rsid w:val="0045060E"/>
    <w:rsid w:val="00453315"/>
    <w:rsid w:val="00455603"/>
    <w:rsid w:val="0046057C"/>
    <w:rsid w:val="00461558"/>
    <w:rsid w:val="004649D0"/>
    <w:rsid w:val="00465BD2"/>
    <w:rsid w:val="00465C06"/>
    <w:rsid w:val="004670FD"/>
    <w:rsid w:val="00467810"/>
    <w:rsid w:val="0047035F"/>
    <w:rsid w:val="00472636"/>
    <w:rsid w:val="00475BA6"/>
    <w:rsid w:val="0048121F"/>
    <w:rsid w:val="00482367"/>
    <w:rsid w:val="00485112"/>
    <w:rsid w:val="00492074"/>
    <w:rsid w:val="00493126"/>
    <w:rsid w:val="004A1224"/>
    <w:rsid w:val="004A6115"/>
    <w:rsid w:val="004A78A1"/>
    <w:rsid w:val="004B11B1"/>
    <w:rsid w:val="004B1E63"/>
    <w:rsid w:val="004B33BF"/>
    <w:rsid w:val="004B3790"/>
    <w:rsid w:val="004C1945"/>
    <w:rsid w:val="004C56EC"/>
    <w:rsid w:val="004D0FF9"/>
    <w:rsid w:val="004D1421"/>
    <w:rsid w:val="004E01A9"/>
    <w:rsid w:val="004E1429"/>
    <w:rsid w:val="004E1DD9"/>
    <w:rsid w:val="004E4759"/>
    <w:rsid w:val="004E47F4"/>
    <w:rsid w:val="004E6886"/>
    <w:rsid w:val="004E784C"/>
    <w:rsid w:val="004E7E90"/>
    <w:rsid w:val="004F2465"/>
    <w:rsid w:val="004F2710"/>
    <w:rsid w:val="004F324F"/>
    <w:rsid w:val="004F4A33"/>
    <w:rsid w:val="004F5952"/>
    <w:rsid w:val="004F6CC2"/>
    <w:rsid w:val="005006BF"/>
    <w:rsid w:val="00502359"/>
    <w:rsid w:val="0050315F"/>
    <w:rsid w:val="005038EE"/>
    <w:rsid w:val="0050487B"/>
    <w:rsid w:val="0050715D"/>
    <w:rsid w:val="0051169B"/>
    <w:rsid w:val="005136AE"/>
    <w:rsid w:val="0051546A"/>
    <w:rsid w:val="005223FC"/>
    <w:rsid w:val="00531323"/>
    <w:rsid w:val="005345FE"/>
    <w:rsid w:val="005367BD"/>
    <w:rsid w:val="0054044F"/>
    <w:rsid w:val="0054104C"/>
    <w:rsid w:val="005410A1"/>
    <w:rsid w:val="0054282C"/>
    <w:rsid w:val="00543AEA"/>
    <w:rsid w:val="00544B99"/>
    <w:rsid w:val="00544EEE"/>
    <w:rsid w:val="00547A00"/>
    <w:rsid w:val="00547A5B"/>
    <w:rsid w:val="00550117"/>
    <w:rsid w:val="00552D6B"/>
    <w:rsid w:val="005534A9"/>
    <w:rsid w:val="00555F28"/>
    <w:rsid w:val="00563FDB"/>
    <w:rsid w:val="00564F64"/>
    <w:rsid w:val="00570B12"/>
    <w:rsid w:val="00573477"/>
    <w:rsid w:val="00577B23"/>
    <w:rsid w:val="0058210D"/>
    <w:rsid w:val="00583279"/>
    <w:rsid w:val="005852D2"/>
    <w:rsid w:val="005860CD"/>
    <w:rsid w:val="0058615B"/>
    <w:rsid w:val="00587EC9"/>
    <w:rsid w:val="0059168F"/>
    <w:rsid w:val="00595389"/>
    <w:rsid w:val="0059708A"/>
    <w:rsid w:val="005A25D2"/>
    <w:rsid w:val="005A5610"/>
    <w:rsid w:val="005A5EEC"/>
    <w:rsid w:val="005A6C33"/>
    <w:rsid w:val="005A6F20"/>
    <w:rsid w:val="005B0BAE"/>
    <w:rsid w:val="005B393D"/>
    <w:rsid w:val="005B5204"/>
    <w:rsid w:val="005B56C9"/>
    <w:rsid w:val="005B5951"/>
    <w:rsid w:val="005C21B8"/>
    <w:rsid w:val="005C3B14"/>
    <w:rsid w:val="005D3ECB"/>
    <w:rsid w:val="005D4B43"/>
    <w:rsid w:val="005E0428"/>
    <w:rsid w:val="005E1D75"/>
    <w:rsid w:val="005E2935"/>
    <w:rsid w:val="005E43DC"/>
    <w:rsid w:val="005E62E6"/>
    <w:rsid w:val="005F2D6A"/>
    <w:rsid w:val="005F5EA5"/>
    <w:rsid w:val="005F65DA"/>
    <w:rsid w:val="00604A93"/>
    <w:rsid w:val="0060642F"/>
    <w:rsid w:val="006107BA"/>
    <w:rsid w:val="0061518E"/>
    <w:rsid w:val="006173FB"/>
    <w:rsid w:val="00622C8C"/>
    <w:rsid w:val="0062499E"/>
    <w:rsid w:val="00625D6A"/>
    <w:rsid w:val="00627479"/>
    <w:rsid w:val="00632018"/>
    <w:rsid w:val="0063280A"/>
    <w:rsid w:val="00633936"/>
    <w:rsid w:val="0063525F"/>
    <w:rsid w:val="0063643C"/>
    <w:rsid w:val="006403E5"/>
    <w:rsid w:val="006428B6"/>
    <w:rsid w:val="00643683"/>
    <w:rsid w:val="00646183"/>
    <w:rsid w:val="00647121"/>
    <w:rsid w:val="006525E4"/>
    <w:rsid w:val="0065318A"/>
    <w:rsid w:val="006542FD"/>
    <w:rsid w:val="00654423"/>
    <w:rsid w:val="00654676"/>
    <w:rsid w:val="00655E98"/>
    <w:rsid w:val="00656AE0"/>
    <w:rsid w:val="00656CED"/>
    <w:rsid w:val="006579AD"/>
    <w:rsid w:val="00661EFB"/>
    <w:rsid w:val="00665662"/>
    <w:rsid w:val="00666DE4"/>
    <w:rsid w:val="00667488"/>
    <w:rsid w:val="00670C76"/>
    <w:rsid w:val="006733A4"/>
    <w:rsid w:val="00674148"/>
    <w:rsid w:val="00675136"/>
    <w:rsid w:val="0067564B"/>
    <w:rsid w:val="0067785E"/>
    <w:rsid w:val="00680F05"/>
    <w:rsid w:val="006855D3"/>
    <w:rsid w:val="00687086"/>
    <w:rsid w:val="00690519"/>
    <w:rsid w:val="00692B91"/>
    <w:rsid w:val="00692E7C"/>
    <w:rsid w:val="006953A0"/>
    <w:rsid w:val="00696060"/>
    <w:rsid w:val="006A1C16"/>
    <w:rsid w:val="006A22DC"/>
    <w:rsid w:val="006A25E6"/>
    <w:rsid w:val="006A2700"/>
    <w:rsid w:val="006A2CBB"/>
    <w:rsid w:val="006A349A"/>
    <w:rsid w:val="006A5E3B"/>
    <w:rsid w:val="006B033E"/>
    <w:rsid w:val="006B0497"/>
    <w:rsid w:val="006B0D89"/>
    <w:rsid w:val="006B0EA1"/>
    <w:rsid w:val="006B4B06"/>
    <w:rsid w:val="006B4E86"/>
    <w:rsid w:val="006B6F98"/>
    <w:rsid w:val="006B7138"/>
    <w:rsid w:val="006B7761"/>
    <w:rsid w:val="006C0FF5"/>
    <w:rsid w:val="006C3A38"/>
    <w:rsid w:val="006C460F"/>
    <w:rsid w:val="006C4EE7"/>
    <w:rsid w:val="006C54EC"/>
    <w:rsid w:val="006D0116"/>
    <w:rsid w:val="006D4507"/>
    <w:rsid w:val="006D4B5D"/>
    <w:rsid w:val="006D64EC"/>
    <w:rsid w:val="006E09A3"/>
    <w:rsid w:val="006E1791"/>
    <w:rsid w:val="006E2319"/>
    <w:rsid w:val="006E2ECC"/>
    <w:rsid w:val="006E3E0E"/>
    <w:rsid w:val="006E417D"/>
    <w:rsid w:val="006E641A"/>
    <w:rsid w:val="006E6F5D"/>
    <w:rsid w:val="006E7BFC"/>
    <w:rsid w:val="006F107A"/>
    <w:rsid w:val="006F1FB5"/>
    <w:rsid w:val="006F251B"/>
    <w:rsid w:val="006F7CF0"/>
    <w:rsid w:val="00700083"/>
    <w:rsid w:val="007024E2"/>
    <w:rsid w:val="00702CD2"/>
    <w:rsid w:val="00704224"/>
    <w:rsid w:val="00713507"/>
    <w:rsid w:val="007164EA"/>
    <w:rsid w:val="007176E8"/>
    <w:rsid w:val="007220C0"/>
    <w:rsid w:val="00722CE1"/>
    <w:rsid w:val="00727215"/>
    <w:rsid w:val="00733C3D"/>
    <w:rsid w:val="00735619"/>
    <w:rsid w:val="00741C07"/>
    <w:rsid w:val="00745B2F"/>
    <w:rsid w:val="0074644A"/>
    <w:rsid w:val="0074771F"/>
    <w:rsid w:val="00747BBE"/>
    <w:rsid w:val="00750FE8"/>
    <w:rsid w:val="00752636"/>
    <w:rsid w:val="00753338"/>
    <w:rsid w:val="0075464E"/>
    <w:rsid w:val="00756266"/>
    <w:rsid w:val="00761854"/>
    <w:rsid w:val="0076492E"/>
    <w:rsid w:val="00764F42"/>
    <w:rsid w:val="00764F45"/>
    <w:rsid w:val="00765BED"/>
    <w:rsid w:val="0076655A"/>
    <w:rsid w:val="00772BA3"/>
    <w:rsid w:val="00775A31"/>
    <w:rsid w:val="0077652C"/>
    <w:rsid w:val="00777469"/>
    <w:rsid w:val="007805ED"/>
    <w:rsid w:val="0078622B"/>
    <w:rsid w:val="00787347"/>
    <w:rsid w:val="00790C0A"/>
    <w:rsid w:val="00793A7A"/>
    <w:rsid w:val="007A223B"/>
    <w:rsid w:val="007A26FA"/>
    <w:rsid w:val="007A3B8C"/>
    <w:rsid w:val="007A46CB"/>
    <w:rsid w:val="007A7069"/>
    <w:rsid w:val="007A76EA"/>
    <w:rsid w:val="007A79B2"/>
    <w:rsid w:val="007A7C23"/>
    <w:rsid w:val="007B03CF"/>
    <w:rsid w:val="007B1DC0"/>
    <w:rsid w:val="007B261F"/>
    <w:rsid w:val="007B4F7C"/>
    <w:rsid w:val="007C0FB1"/>
    <w:rsid w:val="007C2D26"/>
    <w:rsid w:val="007C3DF6"/>
    <w:rsid w:val="007D0158"/>
    <w:rsid w:val="007D0821"/>
    <w:rsid w:val="007D1B10"/>
    <w:rsid w:val="007D1EC8"/>
    <w:rsid w:val="007D4ED1"/>
    <w:rsid w:val="007D5BA1"/>
    <w:rsid w:val="007E48FD"/>
    <w:rsid w:val="007E6952"/>
    <w:rsid w:val="007E7E56"/>
    <w:rsid w:val="007F3636"/>
    <w:rsid w:val="007F3CEB"/>
    <w:rsid w:val="00800016"/>
    <w:rsid w:val="00802877"/>
    <w:rsid w:val="00802880"/>
    <w:rsid w:val="00803DD9"/>
    <w:rsid w:val="00804C64"/>
    <w:rsid w:val="00804FB1"/>
    <w:rsid w:val="008058DC"/>
    <w:rsid w:val="00807C50"/>
    <w:rsid w:val="008121F0"/>
    <w:rsid w:val="00812F42"/>
    <w:rsid w:val="00817D6A"/>
    <w:rsid w:val="00817F2D"/>
    <w:rsid w:val="00820774"/>
    <w:rsid w:val="00826603"/>
    <w:rsid w:val="00827C6D"/>
    <w:rsid w:val="00835EEF"/>
    <w:rsid w:val="008369C1"/>
    <w:rsid w:val="0083712E"/>
    <w:rsid w:val="00837B86"/>
    <w:rsid w:val="00840F73"/>
    <w:rsid w:val="00846841"/>
    <w:rsid w:val="00847B32"/>
    <w:rsid w:val="00854F72"/>
    <w:rsid w:val="00855CB1"/>
    <w:rsid w:val="00857C36"/>
    <w:rsid w:val="00864026"/>
    <w:rsid w:val="00864567"/>
    <w:rsid w:val="00864EC9"/>
    <w:rsid w:val="00866695"/>
    <w:rsid w:val="0087084B"/>
    <w:rsid w:val="00870C45"/>
    <w:rsid w:val="0087619A"/>
    <w:rsid w:val="00882D43"/>
    <w:rsid w:val="00884375"/>
    <w:rsid w:val="00884FAE"/>
    <w:rsid w:val="0088740B"/>
    <w:rsid w:val="008929A3"/>
    <w:rsid w:val="00895119"/>
    <w:rsid w:val="008976A3"/>
    <w:rsid w:val="008979B9"/>
    <w:rsid w:val="008A791A"/>
    <w:rsid w:val="008B1E06"/>
    <w:rsid w:val="008B2744"/>
    <w:rsid w:val="008B29A2"/>
    <w:rsid w:val="008B2C30"/>
    <w:rsid w:val="008B6C15"/>
    <w:rsid w:val="008B742E"/>
    <w:rsid w:val="008C11E5"/>
    <w:rsid w:val="008C2634"/>
    <w:rsid w:val="008C2B86"/>
    <w:rsid w:val="008C79A0"/>
    <w:rsid w:val="008D10A6"/>
    <w:rsid w:val="008D5FDB"/>
    <w:rsid w:val="008E1CE8"/>
    <w:rsid w:val="008E44AB"/>
    <w:rsid w:val="008E712F"/>
    <w:rsid w:val="008F3256"/>
    <w:rsid w:val="008F5079"/>
    <w:rsid w:val="008F548E"/>
    <w:rsid w:val="008F70E2"/>
    <w:rsid w:val="008F7BEC"/>
    <w:rsid w:val="00900839"/>
    <w:rsid w:val="00903DE7"/>
    <w:rsid w:val="0091097D"/>
    <w:rsid w:val="009168B8"/>
    <w:rsid w:val="00916F5C"/>
    <w:rsid w:val="00921933"/>
    <w:rsid w:val="00921DA6"/>
    <w:rsid w:val="009229E5"/>
    <w:rsid w:val="009239A8"/>
    <w:rsid w:val="0092759A"/>
    <w:rsid w:val="00931A4E"/>
    <w:rsid w:val="00931C25"/>
    <w:rsid w:val="00932E45"/>
    <w:rsid w:val="00932F74"/>
    <w:rsid w:val="00933AD5"/>
    <w:rsid w:val="009341CB"/>
    <w:rsid w:val="00937FD8"/>
    <w:rsid w:val="0094142F"/>
    <w:rsid w:val="00941949"/>
    <w:rsid w:val="009436DC"/>
    <w:rsid w:val="0094666E"/>
    <w:rsid w:val="009510B8"/>
    <w:rsid w:val="00951793"/>
    <w:rsid w:val="00951F6B"/>
    <w:rsid w:val="009603AE"/>
    <w:rsid w:val="009607C3"/>
    <w:rsid w:val="009631B8"/>
    <w:rsid w:val="00971B05"/>
    <w:rsid w:val="00971D09"/>
    <w:rsid w:val="00972E78"/>
    <w:rsid w:val="00972FB8"/>
    <w:rsid w:val="00974334"/>
    <w:rsid w:val="00974CCE"/>
    <w:rsid w:val="00980B3A"/>
    <w:rsid w:val="009831DB"/>
    <w:rsid w:val="00983DC8"/>
    <w:rsid w:val="009842B6"/>
    <w:rsid w:val="0098765D"/>
    <w:rsid w:val="00991A82"/>
    <w:rsid w:val="00991F04"/>
    <w:rsid w:val="00993E74"/>
    <w:rsid w:val="00994D51"/>
    <w:rsid w:val="009966D0"/>
    <w:rsid w:val="009A29DC"/>
    <w:rsid w:val="009A3875"/>
    <w:rsid w:val="009A4587"/>
    <w:rsid w:val="009A4FF8"/>
    <w:rsid w:val="009A5576"/>
    <w:rsid w:val="009B5593"/>
    <w:rsid w:val="009B6860"/>
    <w:rsid w:val="009B7389"/>
    <w:rsid w:val="009C0892"/>
    <w:rsid w:val="009C1D32"/>
    <w:rsid w:val="009D0F17"/>
    <w:rsid w:val="009D2AB6"/>
    <w:rsid w:val="009D4386"/>
    <w:rsid w:val="009E1FE2"/>
    <w:rsid w:val="009E2D4F"/>
    <w:rsid w:val="009E43E2"/>
    <w:rsid w:val="009E563E"/>
    <w:rsid w:val="009E69FD"/>
    <w:rsid w:val="009F0BBB"/>
    <w:rsid w:val="009F0E52"/>
    <w:rsid w:val="009F2016"/>
    <w:rsid w:val="009F3E91"/>
    <w:rsid w:val="009F44E7"/>
    <w:rsid w:val="009F7D24"/>
    <w:rsid w:val="00A05C7B"/>
    <w:rsid w:val="00A11C62"/>
    <w:rsid w:val="00A14451"/>
    <w:rsid w:val="00A154AC"/>
    <w:rsid w:val="00A15534"/>
    <w:rsid w:val="00A16F8D"/>
    <w:rsid w:val="00A22C40"/>
    <w:rsid w:val="00A232CA"/>
    <w:rsid w:val="00A23423"/>
    <w:rsid w:val="00A24C53"/>
    <w:rsid w:val="00A2693D"/>
    <w:rsid w:val="00A274EF"/>
    <w:rsid w:val="00A30461"/>
    <w:rsid w:val="00A306AE"/>
    <w:rsid w:val="00A3764E"/>
    <w:rsid w:val="00A4060C"/>
    <w:rsid w:val="00A42268"/>
    <w:rsid w:val="00A425DB"/>
    <w:rsid w:val="00A427D0"/>
    <w:rsid w:val="00A46831"/>
    <w:rsid w:val="00A469A2"/>
    <w:rsid w:val="00A50416"/>
    <w:rsid w:val="00A5085F"/>
    <w:rsid w:val="00A51212"/>
    <w:rsid w:val="00A521E0"/>
    <w:rsid w:val="00A52781"/>
    <w:rsid w:val="00A534CE"/>
    <w:rsid w:val="00A5496A"/>
    <w:rsid w:val="00A5635D"/>
    <w:rsid w:val="00A563B2"/>
    <w:rsid w:val="00A56510"/>
    <w:rsid w:val="00A63874"/>
    <w:rsid w:val="00A67B06"/>
    <w:rsid w:val="00A70E9B"/>
    <w:rsid w:val="00A70ED1"/>
    <w:rsid w:val="00A75E58"/>
    <w:rsid w:val="00A802D7"/>
    <w:rsid w:val="00A80BC5"/>
    <w:rsid w:val="00A81863"/>
    <w:rsid w:val="00A82E67"/>
    <w:rsid w:val="00A855AA"/>
    <w:rsid w:val="00A858AE"/>
    <w:rsid w:val="00A86B4F"/>
    <w:rsid w:val="00A86D17"/>
    <w:rsid w:val="00A91728"/>
    <w:rsid w:val="00A9451A"/>
    <w:rsid w:val="00A97AF5"/>
    <w:rsid w:val="00AA412F"/>
    <w:rsid w:val="00AA6EB9"/>
    <w:rsid w:val="00AA75D4"/>
    <w:rsid w:val="00AA7DA2"/>
    <w:rsid w:val="00AB285A"/>
    <w:rsid w:val="00AB5518"/>
    <w:rsid w:val="00AC2AF2"/>
    <w:rsid w:val="00AD15E3"/>
    <w:rsid w:val="00AD1677"/>
    <w:rsid w:val="00AD1BF4"/>
    <w:rsid w:val="00AD1EE9"/>
    <w:rsid w:val="00AD2091"/>
    <w:rsid w:val="00AD3558"/>
    <w:rsid w:val="00AD4CFF"/>
    <w:rsid w:val="00AE0121"/>
    <w:rsid w:val="00AE5805"/>
    <w:rsid w:val="00AE6347"/>
    <w:rsid w:val="00AE6892"/>
    <w:rsid w:val="00AE7C8D"/>
    <w:rsid w:val="00AF33E1"/>
    <w:rsid w:val="00AF3CCE"/>
    <w:rsid w:val="00AF5212"/>
    <w:rsid w:val="00AF5A62"/>
    <w:rsid w:val="00AF6980"/>
    <w:rsid w:val="00AF6C94"/>
    <w:rsid w:val="00AF7928"/>
    <w:rsid w:val="00B00842"/>
    <w:rsid w:val="00B00AB4"/>
    <w:rsid w:val="00B00F64"/>
    <w:rsid w:val="00B04039"/>
    <w:rsid w:val="00B072AB"/>
    <w:rsid w:val="00B123C8"/>
    <w:rsid w:val="00B174A2"/>
    <w:rsid w:val="00B2538D"/>
    <w:rsid w:val="00B2540C"/>
    <w:rsid w:val="00B274AD"/>
    <w:rsid w:val="00B27FB0"/>
    <w:rsid w:val="00B30543"/>
    <w:rsid w:val="00B31609"/>
    <w:rsid w:val="00B345C7"/>
    <w:rsid w:val="00B35565"/>
    <w:rsid w:val="00B35BA4"/>
    <w:rsid w:val="00B35BC2"/>
    <w:rsid w:val="00B42FAD"/>
    <w:rsid w:val="00B45190"/>
    <w:rsid w:val="00B462A4"/>
    <w:rsid w:val="00B54DD0"/>
    <w:rsid w:val="00B61557"/>
    <w:rsid w:val="00B6383D"/>
    <w:rsid w:val="00B6468B"/>
    <w:rsid w:val="00B64FBE"/>
    <w:rsid w:val="00B65309"/>
    <w:rsid w:val="00B70ACA"/>
    <w:rsid w:val="00B729AF"/>
    <w:rsid w:val="00B733CE"/>
    <w:rsid w:val="00B7354A"/>
    <w:rsid w:val="00B75CDE"/>
    <w:rsid w:val="00B8067E"/>
    <w:rsid w:val="00B80BD5"/>
    <w:rsid w:val="00B81F0A"/>
    <w:rsid w:val="00B82B7D"/>
    <w:rsid w:val="00B83E10"/>
    <w:rsid w:val="00B867EE"/>
    <w:rsid w:val="00B92BFB"/>
    <w:rsid w:val="00BA1E80"/>
    <w:rsid w:val="00BA262C"/>
    <w:rsid w:val="00BA2E38"/>
    <w:rsid w:val="00BA54A8"/>
    <w:rsid w:val="00BA7A6A"/>
    <w:rsid w:val="00BB0719"/>
    <w:rsid w:val="00BB1479"/>
    <w:rsid w:val="00BB399F"/>
    <w:rsid w:val="00BB3E79"/>
    <w:rsid w:val="00BB5822"/>
    <w:rsid w:val="00BC417F"/>
    <w:rsid w:val="00BC5DB8"/>
    <w:rsid w:val="00BD0702"/>
    <w:rsid w:val="00BD0E2B"/>
    <w:rsid w:val="00BD344F"/>
    <w:rsid w:val="00BD4CFF"/>
    <w:rsid w:val="00BD5638"/>
    <w:rsid w:val="00BD7F51"/>
    <w:rsid w:val="00BE5657"/>
    <w:rsid w:val="00BE61E0"/>
    <w:rsid w:val="00BF0CB6"/>
    <w:rsid w:val="00BF25FE"/>
    <w:rsid w:val="00BF7642"/>
    <w:rsid w:val="00BF7679"/>
    <w:rsid w:val="00C00537"/>
    <w:rsid w:val="00C00771"/>
    <w:rsid w:val="00C014F9"/>
    <w:rsid w:val="00C01559"/>
    <w:rsid w:val="00C024BD"/>
    <w:rsid w:val="00C02B6E"/>
    <w:rsid w:val="00C03D7A"/>
    <w:rsid w:val="00C044C8"/>
    <w:rsid w:val="00C04515"/>
    <w:rsid w:val="00C05B47"/>
    <w:rsid w:val="00C0689E"/>
    <w:rsid w:val="00C1143F"/>
    <w:rsid w:val="00C11950"/>
    <w:rsid w:val="00C13EA9"/>
    <w:rsid w:val="00C169E4"/>
    <w:rsid w:val="00C17CFE"/>
    <w:rsid w:val="00C205A5"/>
    <w:rsid w:val="00C24C5B"/>
    <w:rsid w:val="00C26084"/>
    <w:rsid w:val="00C27E75"/>
    <w:rsid w:val="00C30496"/>
    <w:rsid w:val="00C30B34"/>
    <w:rsid w:val="00C3138C"/>
    <w:rsid w:val="00C31B1B"/>
    <w:rsid w:val="00C32B61"/>
    <w:rsid w:val="00C33531"/>
    <w:rsid w:val="00C359C5"/>
    <w:rsid w:val="00C362EF"/>
    <w:rsid w:val="00C4747F"/>
    <w:rsid w:val="00C50607"/>
    <w:rsid w:val="00C52953"/>
    <w:rsid w:val="00C529A6"/>
    <w:rsid w:val="00C53FC1"/>
    <w:rsid w:val="00C552F5"/>
    <w:rsid w:val="00C557B0"/>
    <w:rsid w:val="00C56F95"/>
    <w:rsid w:val="00C60490"/>
    <w:rsid w:val="00C63632"/>
    <w:rsid w:val="00C63BF4"/>
    <w:rsid w:val="00C63DFE"/>
    <w:rsid w:val="00C64F7C"/>
    <w:rsid w:val="00C671C2"/>
    <w:rsid w:val="00C74BA0"/>
    <w:rsid w:val="00C774E6"/>
    <w:rsid w:val="00C80826"/>
    <w:rsid w:val="00C82062"/>
    <w:rsid w:val="00C83B78"/>
    <w:rsid w:val="00C849B4"/>
    <w:rsid w:val="00C85129"/>
    <w:rsid w:val="00C85B81"/>
    <w:rsid w:val="00C85C0A"/>
    <w:rsid w:val="00C91B52"/>
    <w:rsid w:val="00C95600"/>
    <w:rsid w:val="00C9683D"/>
    <w:rsid w:val="00CA0091"/>
    <w:rsid w:val="00CA0E2E"/>
    <w:rsid w:val="00CA52DE"/>
    <w:rsid w:val="00CA70BF"/>
    <w:rsid w:val="00CA7C26"/>
    <w:rsid w:val="00CB3C7E"/>
    <w:rsid w:val="00CC0819"/>
    <w:rsid w:val="00CC0F15"/>
    <w:rsid w:val="00CC10F4"/>
    <w:rsid w:val="00CC2361"/>
    <w:rsid w:val="00CC30AD"/>
    <w:rsid w:val="00CC713C"/>
    <w:rsid w:val="00CC797A"/>
    <w:rsid w:val="00CD08F0"/>
    <w:rsid w:val="00CD1A66"/>
    <w:rsid w:val="00CD7D14"/>
    <w:rsid w:val="00CE53C7"/>
    <w:rsid w:val="00CE7DF0"/>
    <w:rsid w:val="00CF255B"/>
    <w:rsid w:val="00CF5142"/>
    <w:rsid w:val="00CF5D2C"/>
    <w:rsid w:val="00CF75A0"/>
    <w:rsid w:val="00D00FCA"/>
    <w:rsid w:val="00D05CAE"/>
    <w:rsid w:val="00D0729B"/>
    <w:rsid w:val="00D07B93"/>
    <w:rsid w:val="00D11A6C"/>
    <w:rsid w:val="00D14825"/>
    <w:rsid w:val="00D17397"/>
    <w:rsid w:val="00D22667"/>
    <w:rsid w:val="00D2300B"/>
    <w:rsid w:val="00D24023"/>
    <w:rsid w:val="00D24B5A"/>
    <w:rsid w:val="00D303BA"/>
    <w:rsid w:val="00D30A9C"/>
    <w:rsid w:val="00D3294C"/>
    <w:rsid w:val="00D32AEA"/>
    <w:rsid w:val="00D33777"/>
    <w:rsid w:val="00D41DA9"/>
    <w:rsid w:val="00D50C2E"/>
    <w:rsid w:val="00D5283F"/>
    <w:rsid w:val="00D54BB6"/>
    <w:rsid w:val="00D557A8"/>
    <w:rsid w:val="00D55859"/>
    <w:rsid w:val="00D5617D"/>
    <w:rsid w:val="00D577C9"/>
    <w:rsid w:val="00D57D90"/>
    <w:rsid w:val="00D57FAB"/>
    <w:rsid w:val="00D620CA"/>
    <w:rsid w:val="00D6295C"/>
    <w:rsid w:val="00D640E4"/>
    <w:rsid w:val="00D64BC2"/>
    <w:rsid w:val="00D67013"/>
    <w:rsid w:val="00D708B3"/>
    <w:rsid w:val="00D728DA"/>
    <w:rsid w:val="00D751C2"/>
    <w:rsid w:val="00D77DE0"/>
    <w:rsid w:val="00D80436"/>
    <w:rsid w:val="00D810F8"/>
    <w:rsid w:val="00D81C70"/>
    <w:rsid w:val="00D836EF"/>
    <w:rsid w:val="00D852D3"/>
    <w:rsid w:val="00D862DA"/>
    <w:rsid w:val="00D871A9"/>
    <w:rsid w:val="00D9271F"/>
    <w:rsid w:val="00D94957"/>
    <w:rsid w:val="00D94DB7"/>
    <w:rsid w:val="00D95418"/>
    <w:rsid w:val="00D96991"/>
    <w:rsid w:val="00DA4EC4"/>
    <w:rsid w:val="00DA757E"/>
    <w:rsid w:val="00DB179A"/>
    <w:rsid w:val="00DB2130"/>
    <w:rsid w:val="00DB21AB"/>
    <w:rsid w:val="00DB2F2A"/>
    <w:rsid w:val="00DB3DAF"/>
    <w:rsid w:val="00DB61B6"/>
    <w:rsid w:val="00DB66DE"/>
    <w:rsid w:val="00DC284E"/>
    <w:rsid w:val="00DC4AD1"/>
    <w:rsid w:val="00DC6680"/>
    <w:rsid w:val="00DC7A01"/>
    <w:rsid w:val="00DD038B"/>
    <w:rsid w:val="00DD21BC"/>
    <w:rsid w:val="00DD29AB"/>
    <w:rsid w:val="00DD4CF3"/>
    <w:rsid w:val="00DD6238"/>
    <w:rsid w:val="00DE3445"/>
    <w:rsid w:val="00DE6340"/>
    <w:rsid w:val="00DE7507"/>
    <w:rsid w:val="00DE7949"/>
    <w:rsid w:val="00DF047E"/>
    <w:rsid w:val="00DF0907"/>
    <w:rsid w:val="00DF52C6"/>
    <w:rsid w:val="00DF67AA"/>
    <w:rsid w:val="00DF716D"/>
    <w:rsid w:val="00DF772F"/>
    <w:rsid w:val="00E00837"/>
    <w:rsid w:val="00E0204D"/>
    <w:rsid w:val="00E05258"/>
    <w:rsid w:val="00E05305"/>
    <w:rsid w:val="00E05E81"/>
    <w:rsid w:val="00E138F0"/>
    <w:rsid w:val="00E13A35"/>
    <w:rsid w:val="00E147C2"/>
    <w:rsid w:val="00E163E2"/>
    <w:rsid w:val="00E174CA"/>
    <w:rsid w:val="00E20968"/>
    <w:rsid w:val="00E21D67"/>
    <w:rsid w:val="00E23C49"/>
    <w:rsid w:val="00E25BBC"/>
    <w:rsid w:val="00E265EB"/>
    <w:rsid w:val="00E26A82"/>
    <w:rsid w:val="00E34D01"/>
    <w:rsid w:val="00E35063"/>
    <w:rsid w:val="00E350D0"/>
    <w:rsid w:val="00E424DC"/>
    <w:rsid w:val="00E42988"/>
    <w:rsid w:val="00E460C8"/>
    <w:rsid w:val="00E508FD"/>
    <w:rsid w:val="00E5096B"/>
    <w:rsid w:val="00E51574"/>
    <w:rsid w:val="00E5275F"/>
    <w:rsid w:val="00E55D27"/>
    <w:rsid w:val="00E60DFF"/>
    <w:rsid w:val="00E63579"/>
    <w:rsid w:val="00E6359B"/>
    <w:rsid w:val="00E70318"/>
    <w:rsid w:val="00E719BD"/>
    <w:rsid w:val="00E7242D"/>
    <w:rsid w:val="00E7316A"/>
    <w:rsid w:val="00E74CF1"/>
    <w:rsid w:val="00E76CC8"/>
    <w:rsid w:val="00E801C7"/>
    <w:rsid w:val="00E83301"/>
    <w:rsid w:val="00E86A24"/>
    <w:rsid w:val="00E8725C"/>
    <w:rsid w:val="00E92926"/>
    <w:rsid w:val="00E946AB"/>
    <w:rsid w:val="00E94FA1"/>
    <w:rsid w:val="00E95EB4"/>
    <w:rsid w:val="00EA3154"/>
    <w:rsid w:val="00EA45B7"/>
    <w:rsid w:val="00EA51ED"/>
    <w:rsid w:val="00EA56FA"/>
    <w:rsid w:val="00EB014E"/>
    <w:rsid w:val="00EB244C"/>
    <w:rsid w:val="00EB2F2E"/>
    <w:rsid w:val="00EB5635"/>
    <w:rsid w:val="00EB5823"/>
    <w:rsid w:val="00EB6289"/>
    <w:rsid w:val="00EB7CA0"/>
    <w:rsid w:val="00EC11E3"/>
    <w:rsid w:val="00EC1680"/>
    <w:rsid w:val="00EC16A1"/>
    <w:rsid w:val="00EC50EE"/>
    <w:rsid w:val="00EC6DE5"/>
    <w:rsid w:val="00EC7167"/>
    <w:rsid w:val="00ED1447"/>
    <w:rsid w:val="00ED26B6"/>
    <w:rsid w:val="00ED51D7"/>
    <w:rsid w:val="00ED5B7A"/>
    <w:rsid w:val="00ED5D21"/>
    <w:rsid w:val="00ED753E"/>
    <w:rsid w:val="00EE16D4"/>
    <w:rsid w:val="00EE1AB6"/>
    <w:rsid w:val="00EF1BC7"/>
    <w:rsid w:val="00EF1E54"/>
    <w:rsid w:val="00EF249F"/>
    <w:rsid w:val="00EF2A4D"/>
    <w:rsid w:val="00EF3B06"/>
    <w:rsid w:val="00EF7952"/>
    <w:rsid w:val="00F01313"/>
    <w:rsid w:val="00F02435"/>
    <w:rsid w:val="00F160E3"/>
    <w:rsid w:val="00F1611A"/>
    <w:rsid w:val="00F163BC"/>
    <w:rsid w:val="00F23385"/>
    <w:rsid w:val="00F23FC0"/>
    <w:rsid w:val="00F240C8"/>
    <w:rsid w:val="00F252F0"/>
    <w:rsid w:val="00F25E14"/>
    <w:rsid w:val="00F3407B"/>
    <w:rsid w:val="00F35C33"/>
    <w:rsid w:val="00F36EBB"/>
    <w:rsid w:val="00F3715B"/>
    <w:rsid w:val="00F42E7A"/>
    <w:rsid w:val="00F43A3C"/>
    <w:rsid w:val="00F5189D"/>
    <w:rsid w:val="00F51FF2"/>
    <w:rsid w:val="00F53C06"/>
    <w:rsid w:val="00F53C9E"/>
    <w:rsid w:val="00F57C4D"/>
    <w:rsid w:val="00F602E6"/>
    <w:rsid w:val="00F63E85"/>
    <w:rsid w:val="00F65BC5"/>
    <w:rsid w:val="00F67941"/>
    <w:rsid w:val="00F75360"/>
    <w:rsid w:val="00F75BA0"/>
    <w:rsid w:val="00F772CE"/>
    <w:rsid w:val="00F83CD9"/>
    <w:rsid w:val="00F87BCC"/>
    <w:rsid w:val="00F9203C"/>
    <w:rsid w:val="00F92345"/>
    <w:rsid w:val="00F924D7"/>
    <w:rsid w:val="00F93A91"/>
    <w:rsid w:val="00FA0098"/>
    <w:rsid w:val="00FA2261"/>
    <w:rsid w:val="00FA369A"/>
    <w:rsid w:val="00FA383A"/>
    <w:rsid w:val="00FA5F6C"/>
    <w:rsid w:val="00FB023B"/>
    <w:rsid w:val="00FB0B62"/>
    <w:rsid w:val="00FB1497"/>
    <w:rsid w:val="00FB1B5D"/>
    <w:rsid w:val="00FB21A0"/>
    <w:rsid w:val="00FB2951"/>
    <w:rsid w:val="00FB3113"/>
    <w:rsid w:val="00FB33E2"/>
    <w:rsid w:val="00FB4A38"/>
    <w:rsid w:val="00FB72AB"/>
    <w:rsid w:val="00FD5C6E"/>
    <w:rsid w:val="00FD76BA"/>
    <w:rsid w:val="00FD7714"/>
    <w:rsid w:val="00FE1CBB"/>
    <w:rsid w:val="00FE5B57"/>
    <w:rsid w:val="00FF1253"/>
    <w:rsid w:val="00FF22A3"/>
    <w:rsid w:val="00FF230E"/>
    <w:rsid w:val="00FF3BA3"/>
    <w:rsid w:val="00FF4D49"/>
    <w:rsid w:val="00FF5702"/>
    <w:rsid w:val="00FF5BA2"/>
    <w:rsid w:val="00FF5EBD"/>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60AD99"/>
  <w15:chartTrackingRefBased/>
  <w15:docId w15:val="{7C4FF12A-B128-49A1-A12F-87ED25D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aliases w:val="Heading artikel"/>
    <w:basedOn w:val="Normal"/>
    <w:next w:val="Normal"/>
    <w:link w:val="Heading1Char"/>
    <w:uiPriority w:val="9"/>
    <w:qFormat/>
    <w:rsid w:val="0063280A"/>
    <w:pPr>
      <w:widowControl w:val="0"/>
      <w:numPr>
        <w:numId w:val="4"/>
      </w:numPr>
      <w:tabs>
        <w:tab w:val="left" w:pos="-720"/>
      </w:tabs>
      <w:suppressAutoHyphens/>
      <w:spacing w:after="240" w:line="240" w:lineRule="auto"/>
      <w:outlineLvl w:val="0"/>
    </w:pPr>
    <w:rPr>
      <w:rFonts w:ascii="Arial" w:eastAsia="Times New Roman" w:hAnsi="Arial" w:cs="Arial"/>
      <w:b/>
      <w:snapToGrid w:val="0"/>
      <w:color w:val="000000" w:themeColor="text1"/>
      <w:sz w:val="24"/>
      <w:szCs w:val="24"/>
      <w:u w:val="single"/>
    </w:rPr>
  </w:style>
  <w:style w:type="paragraph" w:styleId="Heading2">
    <w:name w:val="heading 2"/>
    <w:basedOn w:val="Normal"/>
    <w:next w:val="Normal"/>
    <w:link w:val="Heading2Char"/>
    <w:uiPriority w:val="9"/>
    <w:unhideWhenUsed/>
    <w:qFormat/>
    <w:rsid w:val="00467810"/>
    <w:pPr>
      <w:keepNext/>
      <w:keepLines/>
      <w:numPr>
        <w:numId w:val="11"/>
      </w:numPr>
      <w:spacing w:before="40" w:after="0"/>
      <w:ind w:left="1134" w:hanging="1200"/>
      <w:outlineLvl w:val="1"/>
    </w:pPr>
    <w:rPr>
      <w:rFonts w:ascii="Arial" w:eastAsiaTheme="majorEastAsia" w:hAnsi="Arial" w:cs="Arial"/>
      <w:u w:val="single"/>
    </w:rPr>
  </w:style>
  <w:style w:type="paragraph" w:styleId="Heading3">
    <w:name w:val="heading 3"/>
    <w:basedOn w:val="Normal"/>
    <w:next w:val="Normal"/>
    <w:link w:val="Heading3Char"/>
    <w:uiPriority w:val="9"/>
    <w:unhideWhenUsed/>
    <w:qFormat/>
    <w:rsid w:val="003D4A3F"/>
    <w:pPr>
      <w:keepNext/>
      <w:keepLines/>
      <w:spacing w:before="40" w:after="0"/>
      <w:outlineLvl w:val="2"/>
    </w:pPr>
    <w:rPr>
      <w:rFonts w:asciiTheme="majorHAnsi" w:eastAsiaTheme="majorEastAsia" w:hAnsiTheme="majorHAnsi" w:cstheme="majorBidi"/>
      <w:i/>
      <w:color w:val="0070C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423"/>
    <w:pPr>
      <w:spacing w:after="200" w:line="276" w:lineRule="auto"/>
      <w:ind w:left="720"/>
      <w:contextualSpacing/>
    </w:pPr>
    <w:rPr>
      <w:lang w:val="nl-BE"/>
    </w:rPr>
  </w:style>
  <w:style w:type="character" w:styleId="Hyperlink">
    <w:name w:val="Hyperlink"/>
    <w:basedOn w:val="DefaultParagraphFont"/>
    <w:uiPriority w:val="99"/>
    <w:unhideWhenUsed/>
    <w:rsid w:val="00654423"/>
    <w:rPr>
      <w:color w:val="0000FF" w:themeColor="hyperlink"/>
      <w:u w:val="single"/>
    </w:rPr>
  </w:style>
  <w:style w:type="character" w:styleId="PlaceholderText">
    <w:name w:val="Placeholder Text"/>
    <w:basedOn w:val="DefaultParagraphFont"/>
    <w:uiPriority w:val="99"/>
    <w:semiHidden/>
    <w:rsid w:val="00654423"/>
    <w:rPr>
      <w:color w:val="808080"/>
    </w:rPr>
  </w:style>
  <w:style w:type="character" w:customStyle="1" w:styleId="ListParagraphChar">
    <w:name w:val="List Paragraph Char"/>
    <w:link w:val="ListParagraph"/>
    <w:uiPriority w:val="34"/>
    <w:locked/>
    <w:rsid w:val="00654423"/>
    <w:rPr>
      <w:lang w:val="nl-BE"/>
    </w:rPr>
  </w:style>
  <w:style w:type="character" w:styleId="UnresolvedMention">
    <w:name w:val="Unresolved Mention"/>
    <w:basedOn w:val="DefaultParagraphFont"/>
    <w:uiPriority w:val="99"/>
    <w:semiHidden/>
    <w:unhideWhenUsed/>
    <w:rsid w:val="00654423"/>
    <w:rPr>
      <w:color w:val="605E5C"/>
      <w:shd w:val="clear" w:color="auto" w:fill="E1DFDD"/>
    </w:rPr>
  </w:style>
  <w:style w:type="character" w:customStyle="1" w:styleId="Heading1Char">
    <w:name w:val="Heading 1 Char"/>
    <w:aliases w:val="Heading artikel Char"/>
    <w:basedOn w:val="DefaultParagraphFont"/>
    <w:link w:val="Heading1"/>
    <w:uiPriority w:val="9"/>
    <w:rsid w:val="0063280A"/>
    <w:rPr>
      <w:rFonts w:ascii="Arial" w:eastAsia="Times New Roman" w:hAnsi="Arial" w:cs="Arial"/>
      <w:b/>
      <w:snapToGrid w:val="0"/>
      <w:color w:val="000000" w:themeColor="text1"/>
      <w:sz w:val="24"/>
      <w:szCs w:val="24"/>
      <w:u w:val="single"/>
      <w:lang w:val="fr-FR"/>
    </w:rPr>
  </w:style>
  <w:style w:type="character" w:customStyle="1" w:styleId="Heading2Char">
    <w:name w:val="Heading 2 Char"/>
    <w:basedOn w:val="DefaultParagraphFont"/>
    <w:link w:val="Heading2"/>
    <w:uiPriority w:val="9"/>
    <w:rsid w:val="00467810"/>
    <w:rPr>
      <w:rFonts w:ascii="Arial" w:eastAsiaTheme="majorEastAsia" w:hAnsi="Arial" w:cs="Arial"/>
      <w:u w:val="single"/>
      <w:lang w:val="fr-FR"/>
    </w:rPr>
  </w:style>
  <w:style w:type="character" w:customStyle="1" w:styleId="Geen">
    <w:name w:val="Geen"/>
    <w:rsid w:val="002F4556"/>
  </w:style>
  <w:style w:type="character" w:styleId="CommentReference">
    <w:name w:val="annotation reference"/>
    <w:basedOn w:val="DefaultParagraphFont"/>
    <w:uiPriority w:val="99"/>
    <w:semiHidden/>
    <w:unhideWhenUsed/>
    <w:rsid w:val="00CE7DF0"/>
    <w:rPr>
      <w:sz w:val="16"/>
      <w:szCs w:val="16"/>
    </w:rPr>
  </w:style>
  <w:style w:type="paragraph" w:styleId="CommentText">
    <w:name w:val="annotation text"/>
    <w:basedOn w:val="Normal"/>
    <w:link w:val="CommentTextChar"/>
    <w:uiPriority w:val="99"/>
    <w:unhideWhenUsed/>
    <w:rsid w:val="00CE7DF0"/>
    <w:pPr>
      <w:spacing w:line="240" w:lineRule="auto"/>
    </w:pPr>
    <w:rPr>
      <w:sz w:val="20"/>
      <w:szCs w:val="20"/>
    </w:rPr>
  </w:style>
  <w:style w:type="character" w:customStyle="1" w:styleId="CommentTextChar">
    <w:name w:val="Comment Text Char"/>
    <w:basedOn w:val="DefaultParagraphFont"/>
    <w:link w:val="CommentText"/>
    <w:uiPriority w:val="99"/>
    <w:rsid w:val="00CE7DF0"/>
    <w:rPr>
      <w:sz w:val="20"/>
      <w:szCs w:val="20"/>
    </w:rPr>
  </w:style>
  <w:style w:type="paragraph" w:styleId="CommentSubject">
    <w:name w:val="annotation subject"/>
    <w:basedOn w:val="CommentText"/>
    <w:next w:val="CommentText"/>
    <w:link w:val="CommentSubjectChar"/>
    <w:uiPriority w:val="99"/>
    <w:semiHidden/>
    <w:unhideWhenUsed/>
    <w:rsid w:val="00CE7DF0"/>
    <w:rPr>
      <w:b/>
      <w:bCs/>
    </w:rPr>
  </w:style>
  <w:style w:type="character" w:customStyle="1" w:styleId="CommentSubjectChar">
    <w:name w:val="Comment Subject Char"/>
    <w:basedOn w:val="CommentTextChar"/>
    <w:link w:val="CommentSubject"/>
    <w:uiPriority w:val="99"/>
    <w:semiHidden/>
    <w:rsid w:val="00CE7DF0"/>
    <w:rPr>
      <w:b/>
      <w:bCs/>
      <w:sz w:val="20"/>
      <w:szCs w:val="20"/>
    </w:rPr>
  </w:style>
  <w:style w:type="paragraph" w:styleId="FootnoteText">
    <w:name w:val="footnote text"/>
    <w:basedOn w:val="Normal"/>
    <w:link w:val="FootnoteTextChar"/>
    <w:uiPriority w:val="99"/>
    <w:semiHidden/>
    <w:unhideWhenUsed/>
    <w:rsid w:val="00CC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0F4"/>
    <w:rPr>
      <w:sz w:val="20"/>
      <w:szCs w:val="20"/>
    </w:rPr>
  </w:style>
  <w:style w:type="character" w:styleId="FootnoteReference">
    <w:name w:val="footnote reference"/>
    <w:basedOn w:val="DefaultParagraphFont"/>
    <w:uiPriority w:val="99"/>
    <w:semiHidden/>
    <w:unhideWhenUsed/>
    <w:rsid w:val="00CC10F4"/>
    <w:rPr>
      <w:vertAlign w:val="superscript"/>
    </w:rPr>
  </w:style>
  <w:style w:type="character" w:customStyle="1" w:styleId="Heading3Char">
    <w:name w:val="Heading 3 Char"/>
    <w:basedOn w:val="DefaultParagraphFont"/>
    <w:link w:val="Heading3"/>
    <w:uiPriority w:val="9"/>
    <w:rsid w:val="003D4A3F"/>
    <w:rPr>
      <w:rFonts w:asciiTheme="majorHAnsi" w:eastAsiaTheme="majorEastAsia" w:hAnsiTheme="majorHAnsi" w:cstheme="majorBidi"/>
      <w:i/>
      <w:color w:val="0070C0"/>
      <w:sz w:val="26"/>
      <w:szCs w:val="24"/>
      <w:lang w:val="fr-FR"/>
    </w:rPr>
  </w:style>
  <w:style w:type="paragraph" w:styleId="Footer">
    <w:name w:val="footer"/>
    <w:basedOn w:val="Normal"/>
    <w:link w:val="FooterChar"/>
    <w:uiPriority w:val="99"/>
    <w:unhideWhenUsed/>
    <w:rsid w:val="009B7389"/>
    <w:pPr>
      <w:tabs>
        <w:tab w:val="center" w:pos="4680"/>
        <w:tab w:val="right" w:pos="9360"/>
      </w:tabs>
      <w:spacing w:after="0" w:line="240" w:lineRule="auto"/>
    </w:pPr>
    <w:rPr>
      <w:lang w:val="nl-BE"/>
    </w:rPr>
  </w:style>
  <w:style w:type="character" w:customStyle="1" w:styleId="FooterChar">
    <w:name w:val="Footer Char"/>
    <w:basedOn w:val="DefaultParagraphFont"/>
    <w:link w:val="Footer"/>
    <w:uiPriority w:val="99"/>
    <w:rsid w:val="009B7389"/>
    <w:rPr>
      <w:lang w:val="nl-BE"/>
    </w:rPr>
  </w:style>
  <w:style w:type="paragraph" w:styleId="Revision">
    <w:name w:val="Revision"/>
    <w:hidden/>
    <w:uiPriority w:val="99"/>
    <w:semiHidden/>
    <w:rsid w:val="00A232CA"/>
    <w:pPr>
      <w:spacing w:after="0" w:line="240" w:lineRule="auto"/>
    </w:pPr>
  </w:style>
  <w:style w:type="character" w:customStyle="1" w:styleId="cf01">
    <w:name w:val="cf01"/>
    <w:basedOn w:val="DefaultParagraphFont"/>
    <w:rsid w:val="00143F86"/>
    <w:rPr>
      <w:rFonts w:ascii="Segoe UI" w:hAnsi="Segoe UI" w:cs="Segoe UI" w:hint="default"/>
      <w:sz w:val="18"/>
      <w:szCs w:val="18"/>
    </w:rPr>
  </w:style>
  <w:style w:type="paragraph" w:styleId="Header">
    <w:name w:val="header"/>
    <w:basedOn w:val="Normal"/>
    <w:link w:val="HeaderChar"/>
    <w:uiPriority w:val="99"/>
    <w:unhideWhenUsed/>
    <w:rsid w:val="004E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59"/>
  </w:style>
  <w:style w:type="paragraph" w:styleId="z-TopofForm">
    <w:name w:val="HTML Top of Form"/>
    <w:basedOn w:val="Normal"/>
    <w:next w:val="Normal"/>
    <w:link w:val="z-TopofFormChar"/>
    <w:hidden/>
    <w:uiPriority w:val="99"/>
    <w:semiHidden/>
    <w:unhideWhenUsed/>
    <w:rsid w:val="0069606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60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606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6060"/>
    <w:rPr>
      <w:rFonts w:ascii="Arial" w:hAnsi="Arial" w:cs="Arial"/>
      <w:vanish/>
      <w:sz w:val="16"/>
      <w:szCs w:val="16"/>
    </w:rPr>
  </w:style>
  <w:style w:type="character" w:styleId="FollowedHyperlink">
    <w:name w:val="FollowedHyperlink"/>
    <w:basedOn w:val="DefaultParagraphFont"/>
    <w:uiPriority w:val="99"/>
    <w:semiHidden/>
    <w:unhideWhenUsed/>
    <w:rsid w:val="00396BE2"/>
    <w:rPr>
      <w:color w:val="800080" w:themeColor="followedHyperlink"/>
      <w:u w:val="single"/>
    </w:rPr>
  </w:style>
  <w:style w:type="character" w:customStyle="1" w:styleId="ui-provider">
    <w:name w:val="ui-provider"/>
    <w:basedOn w:val="DefaultParagraphFont"/>
    <w:rsid w:val="00587EC9"/>
  </w:style>
  <w:style w:type="paragraph" w:styleId="NoSpacing">
    <w:name w:val="No Spacing"/>
    <w:link w:val="NoSpacingChar"/>
    <w:uiPriority w:val="1"/>
    <w:qFormat/>
    <w:rsid w:val="00407B8C"/>
    <w:pPr>
      <w:spacing w:after="0" w:line="240" w:lineRule="auto"/>
    </w:pPr>
    <w:rPr>
      <w:lang w:val="nl-BE"/>
    </w:rPr>
  </w:style>
  <w:style w:type="character" w:customStyle="1" w:styleId="NoSpacingChar">
    <w:name w:val="No Spacing Char"/>
    <w:basedOn w:val="DefaultParagraphFont"/>
    <w:link w:val="NoSpacing"/>
    <w:uiPriority w:val="1"/>
    <w:rsid w:val="00407B8C"/>
    <w:rPr>
      <w:lang w:val="nl-BE"/>
    </w:rPr>
  </w:style>
  <w:style w:type="character" w:customStyle="1" w:styleId="contentpasted0">
    <w:name w:val="contentpasted0"/>
    <w:basedOn w:val="DefaultParagraphFont"/>
    <w:rsid w:val="00407B8C"/>
    <w:rPr>
      <w:lang w:val="nl-BE"/>
    </w:rPr>
  </w:style>
  <w:style w:type="paragraph" w:styleId="Title">
    <w:name w:val="Title"/>
    <w:basedOn w:val="Normal"/>
    <w:next w:val="Normal"/>
    <w:link w:val="TitleChar"/>
    <w:uiPriority w:val="10"/>
    <w:qFormat/>
    <w:rsid w:val="00407B8C"/>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407B8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07B8C"/>
    <w:pPr>
      <w:keepNext/>
      <w:keepLines/>
      <w:widowControl/>
      <w:numPr>
        <w:numId w:val="0"/>
      </w:numPr>
      <w:tabs>
        <w:tab w:val="clear" w:pos="-720"/>
      </w:tabs>
      <w:suppressAutoHyphens w:val="0"/>
      <w:spacing w:before="240" w:after="0" w:line="259" w:lineRule="auto"/>
      <w:outlineLvl w:val="9"/>
    </w:pPr>
    <w:rPr>
      <w:rFonts w:asciiTheme="majorHAnsi" w:eastAsiaTheme="majorEastAsia" w:hAnsiTheme="majorHAnsi" w:cstheme="majorBidi"/>
      <w:b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407B8C"/>
    <w:pPr>
      <w:tabs>
        <w:tab w:val="right" w:leader="dot" w:pos="9350"/>
      </w:tabs>
      <w:spacing w:after="100"/>
    </w:pPr>
    <w:rPr>
      <w:lang w:val="nl-NL"/>
    </w:rPr>
  </w:style>
  <w:style w:type="paragraph" w:styleId="TOC2">
    <w:name w:val="toc 2"/>
    <w:basedOn w:val="Normal"/>
    <w:next w:val="Normal"/>
    <w:autoRedefine/>
    <w:uiPriority w:val="39"/>
    <w:unhideWhenUsed/>
    <w:rsid w:val="00407B8C"/>
    <w:pPr>
      <w:tabs>
        <w:tab w:val="right" w:leader="dot" w:pos="9350"/>
      </w:tabs>
      <w:spacing w:after="100"/>
      <w:ind w:left="220"/>
    </w:pPr>
    <w:rPr>
      <w:lang w:val="nl-NL"/>
    </w:rPr>
  </w:style>
  <w:style w:type="paragraph" w:styleId="BalloonText">
    <w:name w:val="Balloon Text"/>
    <w:basedOn w:val="Normal"/>
    <w:link w:val="BalloonTextChar"/>
    <w:uiPriority w:val="99"/>
    <w:semiHidden/>
    <w:unhideWhenUsed/>
    <w:rsid w:val="00407B8C"/>
    <w:pPr>
      <w:spacing w:after="0" w:line="240" w:lineRule="auto"/>
    </w:pPr>
    <w:rPr>
      <w:rFonts w:ascii="Segoe UI" w:hAnsi="Segoe UI" w:cs="Segoe UI"/>
      <w:sz w:val="18"/>
      <w:szCs w:val="18"/>
      <w:lang w:val="nl-NL"/>
    </w:rPr>
  </w:style>
  <w:style w:type="character" w:customStyle="1" w:styleId="BalloonTextChar">
    <w:name w:val="Balloon Text Char"/>
    <w:basedOn w:val="DefaultParagraphFont"/>
    <w:link w:val="BalloonText"/>
    <w:uiPriority w:val="99"/>
    <w:semiHidden/>
    <w:rsid w:val="00407B8C"/>
    <w:rPr>
      <w:rFonts w:ascii="Segoe UI" w:hAnsi="Segoe UI" w:cs="Segoe UI"/>
      <w:sz w:val="18"/>
      <w:szCs w:val="18"/>
    </w:rPr>
  </w:style>
  <w:style w:type="paragraph" w:customStyle="1" w:styleId="BodySciensano">
    <w:name w:val="Body Sciensano"/>
    <w:basedOn w:val="Normal"/>
    <w:qFormat/>
    <w:rsid w:val="00407B8C"/>
    <w:pPr>
      <w:spacing w:after="0" w:line="276" w:lineRule="auto"/>
      <w:contextualSpacing/>
      <w:jc w:val="both"/>
    </w:pPr>
    <w:rPr>
      <w:rFonts w:ascii="Arial" w:hAnsi="Arial"/>
      <w:color w:val="58595B"/>
      <w:sz w:val="20"/>
      <w:lang w:val="nl-BE"/>
    </w:rPr>
  </w:style>
  <w:style w:type="character" w:styleId="Emphasis">
    <w:name w:val="Emphasis"/>
    <w:basedOn w:val="DefaultParagraphFont"/>
    <w:uiPriority w:val="20"/>
    <w:qFormat/>
    <w:rsid w:val="00407B8C"/>
    <w:rPr>
      <w:i/>
      <w:iCs/>
    </w:rPr>
  </w:style>
  <w:style w:type="paragraph" w:styleId="Subtitle">
    <w:name w:val="Subtitle"/>
    <w:basedOn w:val="Normal"/>
    <w:next w:val="Normal"/>
    <w:link w:val="SubtitleChar"/>
    <w:uiPriority w:val="11"/>
    <w:qFormat/>
    <w:rsid w:val="00864EC9"/>
    <w:pPr>
      <w:numPr>
        <w:ilvl w:val="1"/>
      </w:numPr>
    </w:pPr>
    <w:rPr>
      <w:rFonts w:asciiTheme="majorHAnsi" w:eastAsiaTheme="minorEastAsia" w:hAnsiTheme="majorHAnsi"/>
      <w:color w:val="00B0F0"/>
      <w:spacing w:val="15"/>
      <w:sz w:val="26"/>
      <w:lang w:val="nl-NL"/>
    </w:rPr>
  </w:style>
  <w:style w:type="character" w:customStyle="1" w:styleId="SubtitleChar">
    <w:name w:val="Subtitle Char"/>
    <w:basedOn w:val="DefaultParagraphFont"/>
    <w:link w:val="Subtitle"/>
    <w:uiPriority w:val="11"/>
    <w:rsid w:val="00864EC9"/>
    <w:rPr>
      <w:rFonts w:asciiTheme="majorHAnsi" w:eastAsiaTheme="minorEastAsia" w:hAnsiTheme="majorHAnsi"/>
      <w:color w:val="00B0F0"/>
      <w:spacing w:val="15"/>
      <w:sz w:val="26"/>
    </w:rPr>
  </w:style>
  <w:style w:type="table" w:customStyle="1" w:styleId="TableauGrille1Clair1">
    <w:name w:val="Tableau Grille 1 Clair1"/>
    <w:basedOn w:val="TableNormal"/>
    <w:uiPriority w:val="46"/>
    <w:rsid w:val="00007AAC"/>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Variable">
    <w:name w:val="HTML Variable"/>
    <w:basedOn w:val="DefaultParagraphFont"/>
    <w:uiPriority w:val="99"/>
    <w:semiHidden/>
    <w:unhideWhenUsed/>
    <w:rsid w:val="00007AAC"/>
    <w:rPr>
      <w:i/>
      <w:iCs/>
    </w:rPr>
  </w:style>
  <w:style w:type="paragraph" w:styleId="TOC3">
    <w:name w:val="toc 3"/>
    <w:basedOn w:val="Normal"/>
    <w:next w:val="Normal"/>
    <w:autoRedefine/>
    <w:uiPriority w:val="39"/>
    <w:unhideWhenUsed/>
    <w:rsid w:val="000F56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notes.xml.rels><?xml version="1.0" encoding="UTF-8" standalone="yes"?>
<Relationships xmlns="http://schemas.openxmlformats.org/package/2006/relationships"><Relationship Id="rId3" Type="http://schemas.openxmlformats.org/officeDocument/2006/relationships/hyperlink" Target="https://www.riziv.fgov.be/nl/professionals/verzorgingsinstellingen/laboratoria/Paginas/terugbetaling-gepersonaliseerde-geneesmiddelen-companion-diagnostics.aspx" TargetMode="External"/><Relationship Id="rId2" Type="http://schemas.openxmlformats.org/officeDocument/2006/relationships/hyperlink" Target="https://www.riziv.fgov.be/nl/themas/kost-terugbetaling/door-ziekenfonds/geneesmiddel-gezondheidsproduct/terugbetalen/specialiteiten/Paginas/farma-specialiteiten-lijst-hoofdstuk8c.aspx" TargetMode="External"/><Relationship Id="rId1" Type="http://schemas.openxmlformats.org/officeDocument/2006/relationships/hyperlink" Target="http://www.e-cancer.be/nl/step/commissie-voor-gepersonaliseerde-geneeskunde-compermed" TargetMode="External"/><Relationship Id="rId5" Type="http://schemas.openxmlformats.org/officeDocument/2006/relationships/hyperlink" Target="https://economie.fgov.be/sites/default/files/Files/Publications/files/Belac-FR/2-405NGS-FR.pdf" TargetMode="External"/><Relationship Id="rId4" Type="http://schemas.openxmlformats.org/officeDocument/2006/relationships/hyperlink" Target="https://economie.fgov.be/sites/default/files/Files/Publications/files/Belac-NL/2-405NGS-N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B6FB2032C44C18140F232AC558458"/>
        <w:category>
          <w:name w:val="General"/>
          <w:gallery w:val="placeholder"/>
        </w:category>
        <w:types>
          <w:type w:val="bbPlcHdr"/>
        </w:types>
        <w:behaviors>
          <w:behavior w:val="content"/>
        </w:behaviors>
        <w:guid w:val="{250661D6-B6E8-4979-A708-3CE215DD1BD9}"/>
      </w:docPartPr>
      <w:docPartBody>
        <w:p w:rsidR="0024044E" w:rsidRDefault="00892429" w:rsidP="00892429">
          <w:pPr>
            <w:pStyle w:val="E45B6FB2032C44C18140F232AC5584586"/>
          </w:pPr>
          <w:r w:rsidRPr="00654423">
            <w:rPr>
              <w:rStyle w:val="PlaceholderText"/>
              <w:color w:val="0070C0"/>
              <w:sz w:val="20"/>
              <w:szCs w:val="20"/>
              <w:lang w:val="en-GB"/>
            </w:rPr>
            <w:t>Click or tap here to enter text.</w:t>
          </w:r>
        </w:p>
      </w:docPartBody>
    </w:docPart>
    <w:docPart>
      <w:docPartPr>
        <w:name w:val="01BC2955287F4D43BD8D3AB9328CEF38"/>
        <w:category>
          <w:name w:val="General"/>
          <w:gallery w:val="placeholder"/>
        </w:category>
        <w:types>
          <w:type w:val="bbPlcHdr"/>
        </w:types>
        <w:behaviors>
          <w:behavior w:val="content"/>
        </w:behaviors>
        <w:guid w:val="{A3975F88-8818-4868-86BD-059B9DF1B64D}"/>
      </w:docPartPr>
      <w:docPartBody>
        <w:p w:rsidR="0024044E" w:rsidRDefault="00892429" w:rsidP="00892429">
          <w:pPr>
            <w:pStyle w:val="01BC2955287F4D43BD8D3AB9328CEF386"/>
          </w:pPr>
          <w:r w:rsidRPr="00654423">
            <w:rPr>
              <w:rStyle w:val="PlaceholderText"/>
              <w:color w:val="0070C0"/>
              <w:sz w:val="20"/>
              <w:szCs w:val="20"/>
              <w:lang w:val="en-GB"/>
            </w:rPr>
            <w:t>Click or tap here to enter text.</w:t>
          </w:r>
        </w:p>
      </w:docPartBody>
    </w:docPart>
    <w:docPart>
      <w:docPartPr>
        <w:name w:val="8F732A200E07446DA42BE7AA810840D0"/>
        <w:category>
          <w:name w:val="General"/>
          <w:gallery w:val="placeholder"/>
        </w:category>
        <w:types>
          <w:type w:val="bbPlcHdr"/>
        </w:types>
        <w:behaviors>
          <w:behavior w:val="content"/>
        </w:behaviors>
        <w:guid w:val="{47C421C5-AF7D-4654-BA93-BAA6B70E55E0}"/>
      </w:docPartPr>
      <w:docPartBody>
        <w:p w:rsidR="0024044E" w:rsidRDefault="00892429" w:rsidP="00892429">
          <w:pPr>
            <w:pStyle w:val="8F732A200E07446DA42BE7AA810840D06"/>
          </w:pPr>
          <w:r w:rsidRPr="00654423">
            <w:rPr>
              <w:rStyle w:val="PlaceholderText"/>
              <w:color w:val="0070C0"/>
              <w:sz w:val="20"/>
              <w:szCs w:val="20"/>
              <w:lang w:val="en-GB"/>
            </w:rPr>
            <w:t>Click or tap here to enter text.</w:t>
          </w:r>
        </w:p>
      </w:docPartBody>
    </w:docPart>
    <w:docPart>
      <w:docPartPr>
        <w:name w:val="2FC8C75ABD97480EB63CEEFDB6376F9F"/>
        <w:category>
          <w:name w:val="General"/>
          <w:gallery w:val="placeholder"/>
        </w:category>
        <w:types>
          <w:type w:val="bbPlcHdr"/>
        </w:types>
        <w:behaviors>
          <w:behavior w:val="content"/>
        </w:behaviors>
        <w:guid w:val="{F43C9BFC-7D9A-48DF-B94E-3B2B2D096378}"/>
      </w:docPartPr>
      <w:docPartBody>
        <w:p w:rsidR="00A80788" w:rsidRDefault="00382C73" w:rsidP="00382C73">
          <w:pPr>
            <w:pStyle w:val="2FC8C75ABD97480EB63CEEFDB6376F9F"/>
          </w:pPr>
          <w:r w:rsidRPr="00623371">
            <w:rPr>
              <w:rStyle w:val="PlaceholderText"/>
            </w:rPr>
            <w:t>Click or tap here to enter text.</w:t>
          </w:r>
        </w:p>
      </w:docPartBody>
    </w:docPart>
    <w:docPart>
      <w:docPartPr>
        <w:name w:val="98460385A5654A54AB63931EB28309C1"/>
        <w:category>
          <w:name w:val="General"/>
          <w:gallery w:val="placeholder"/>
        </w:category>
        <w:types>
          <w:type w:val="bbPlcHdr"/>
        </w:types>
        <w:behaviors>
          <w:behavior w:val="content"/>
        </w:behaviors>
        <w:guid w:val="{8D7209C4-3F0F-4690-A73F-023F4C7CD244}"/>
      </w:docPartPr>
      <w:docPartBody>
        <w:p w:rsidR="00A80788" w:rsidRDefault="00892429" w:rsidP="00892429">
          <w:pPr>
            <w:pStyle w:val="98460385A5654A54AB63931EB28309C16"/>
          </w:pPr>
          <w:r w:rsidRPr="008E0745">
            <w:rPr>
              <w:rStyle w:val="PlaceholderText"/>
              <w:color w:val="0070C0"/>
              <w:lang w:val="en-GB"/>
            </w:rPr>
            <w:t>Click or tap here to enter text.</w:t>
          </w:r>
        </w:p>
      </w:docPartBody>
    </w:docPart>
    <w:docPart>
      <w:docPartPr>
        <w:name w:val="B5FED52C538F4EFBAC5219150BB73D66"/>
        <w:category>
          <w:name w:val="General"/>
          <w:gallery w:val="placeholder"/>
        </w:category>
        <w:types>
          <w:type w:val="bbPlcHdr"/>
        </w:types>
        <w:behaviors>
          <w:behavior w:val="content"/>
        </w:behaviors>
        <w:guid w:val="{B72A8786-A5BC-4ACD-855A-75515E96C034}"/>
      </w:docPartPr>
      <w:docPartBody>
        <w:p w:rsidR="00A80788" w:rsidRDefault="00892429" w:rsidP="00892429">
          <w:pPr>
            <w:pStyle w:val="B5FED52C538F4EFBAC5219150BB73D666"/>
          </w:pPr>
          <w:r w:rsidRPr="008E0745">
            <w:rPr>
              <w:rStyle w:val="PlaceholderText"/>
              <w:color w:val="0070C0"/>
              <w:lang w:val="en-GB"/>
            </w:rPr>
            <w:t>Click or tap here to enter text.</w:t>
          </w:r>
        </w:p>
      </w:docPartBody>
    </w:docPart>
    <w:docPart>
      <w:docPartPr>
        <w:name w:val="93EB0EF467D84633A2E5492220FEF585"/>
        <w:category>
          <w:name w:val="General"/>
          <w:gallery w:val="placeholder"/>
        </w:category>
        <w:types>
          <w:type w:val="bbPlcHdr"/>
        </w:types>
        <w:behaviors>
          <w:behavior w:val="content"/>
        </w:behaviors>
        <w:guid w:val="{44432965-FA48-49A8-861F-80C3E323EC0C}"/>
      </w:docPartPr>
      <w:docPartBody>
        <w:p w:rsidR="00030905" w:rsidRDefault="00892429" w:rsidP="00892429">
          <w:pPr>
            <w:pStyle w:val="93EB0EF467D84633A2E5492220FEF5856"/>
          </w:pPr>
          <w:r w:rsidRPr="00654423">
            <w:rPr>
              <w:rStyle w:val="PlaceholderText"/>
              <w:color w:val="0070C0"/>
              <w:sz w:val="20"/>
              <w:szCs w:val="20"/>
              <w:lang w:val="en-GB"/>
            </w:rPr>
            <w:t>Click or tap here to enter text.</w:t>
          </w:r>
        </w:p>
      </w:docPartBody>
    </w:docPart>
    <w:docPart>
      <w:docPartPr>
        <w:name w:val="3694DBCD0C664A80AB4257C47ECF794B"/>
        <w:category>
          <w:name w:val="General"/>
          <w:gallery w:val="placeholder"/>
        </w:category>
        <w:types>
          <w:type w:val="bbPlcHdr"/>
        </w:types>
        <w:behaviors>
          <w:behavior w:val="content"/>
        </w:behaviors>
        <w:guid w:val="{0BB7A429-D36B-415F-B66E-3BD82CBBE3CA}"/>
      </w:docPartPr>
      <w:docPartBody>
        <w:p w:rsidR="00287356" w:rsidRDefault="00892429" w:rsidP="00892429">
          <w:pPr>
            <w:pStyle w:val="3694DBCD0C664A80AB4257C47ECF794B6"/>
          </w:pPr>
          <w:r w:rsidRPr="00654423">
            <w:rPr>
              <w:rStyle w:val="PlaceholderText"/>
              <w:color w:val="0070C0"/>
              <w:sz w:val="20"/>
              <w:szCs w:val="20"/>
              <w:lang w:val="en-GB"/>
            </w:rPr>
            <w:t>Click or tap here to enter text.</w:t>
          </w:r>
        </w:p>
      </w:docPartBody>
    </w:docPart>
    <w:docPart>
      <w:docPartPr>
        <w:name w:val="A15994A5340B4DF5BB0AF42981EBFEA5"/>
        <w:category>
          <w:name w:val="General"/>
          <w:gallery w:val="placeholder"/>
        </w:category>
        <w:types>
          <w:type w:val="bbPlcHdr"/>
        </w:types>
        <w:behaviors>
          <w:behavior w:val="content"/>
        </w:behaviors>
        <w:guid w:val="{479F489C-6A7A-4BCA-A1EA-6FA672CF4128}"/>
      </w:docPartPr>
      <w:docPartBody>
        <w:p w:rsidR="00287356" w:rsidRDefault="00892429" w:rsidP="00892429">
          <w:pPr>
            <w:pStyle w:val="A15994A5340B4DF5BB0AF42981EBFEA56"/>
          </w:pPr>
          <w:r w:rsidRPr="00654423">
            <w:rPr>
              <w:rStyle w:val="PlaceholderText"/>
              <w:color w:val="0070C0"/>
              <w:sz w:val="20"/>
              <w:szCs w:val="20"/>
              <w:lang w:val="en-GB"/>
            </w:rPr>
            <w:t>Click or tap here to enter text.</w:t>
          </w:r>
        </w:p>
      </w:docPartBody>
    </w:docPart>
    <w:docPart>
      <w:docPartPr>
        <w:name w:val="FBB2169A6D7E487B9EA61807F93892DD"/>
        <w:category>
          <w:name w:val="General"/>
          <w:gallery w:val="placeholder"/>
        </w:category>
        <w:types>
          <w:type w:val="bbPlcHdr"/>
        </w:types>
        <w:behaviors>
          <w:behavior w:val="content"/>
        </w:behaviors>
        <w:guid w:val="{33F6A528-F7B8-489E-A334-488F2FB82D0D}"/>
      </w:docPartPr>
      <w:docPartBody>
        <w:p w:rsidR="00287356" w:rsidRDefault="00892429" w:rsidP="00892429">
          <w:pPr>
            <w:pStyle w:val="FBB2169A6D7E487B9EA61807F93892DD6"/>
          </w:pPr>
          <w:r w:rsidRPr="00654423">
            <w:rPr>
              <w:rStyle w:val="PlaceholderText"/>
              <w:color w:val="0070C0"/>
              <w:sz w:val="20"/>
              <w:szCs w:val="20"/>
              <w:lang w:val="en-GB"/>
            </w:rPr>
            <w:t>Click or tap here to enter text.</w:t>
          </w:r>
        </w:p>
      </w:docPartBody>
    </w:docPart>
    <w:docPart>
      <w:docPartPr>
        <w:name w:val="C7902CE260F04D51BA461342C1D4CFDA"/>
        <w:category>
          <w:name w:val="General"/>
          <w:gallery w:val="placeholder"/>
        </w:category>
        <w:types>
          <w:type w:val="bbPlcHdr"/>
        </w:types>
        <w:behaviors>
          <w:behavior w:val="content"/>
        </w:behaviors>
        <w:guid w:val="{C7682BA4-9C3F-477C-A6E6-4666D239AA64}"/>
      </w:docPartPr>
      <w:docPartBody>
        <w:p w:rsidR="00287356" w:rsidRDefault="00892429" w:rsidP="00892429">
          <w:pPr>
            <w:pStyle w:val="C7902CE260F04D51BA461342C1D4CFDA6"/>
          </w:pPr>
          <w:r w:rsidRPr="00654423">
            <w:rPr>
              <w:rStyle w:val="PlaceholderText"/>
              <w:color w:val="0070C0"/>
              <w:sz w:val="20"/>
              <w:szCs w:val="20"/>
              <w:lang w:val="en-GB"/>
            </w:rPr>
            <w:t>Click or tap here to enter text.</w:t>
          </w:r>
        </w:p>
      </w:docPartBody>
    </w:docPart>
    <w:docPart>
      <w:docPartPr>
        <w:name w:val="FD72D61072384AD6BD00CC57A5FE8A49"/>
        <w:category>
          <w:name w:val="General"/>
          <w:gallery w:val="placeholder"/>
        </w:category>
        <w:types>
          <w:type w:val="bbPlcHdr"/>
        </w:types>
        <w:behaviors>
          <w:behavior w:val="content"/>
        </w:behaviors>
        <w:guid w:val="{FC44CA03-8016-40AD-9454-F6998391A1DF}"/>
      </w:docPartPr>
      <w:docPartBody>
        <w:p w:rsidR="008C1413" w:rsidRDefault="008C1413" w:rsidP="008C1413">
          <w:pPr>
            <w:pStyle w:val="FD72D61072384AD6BD00CC57A5FE8A49"/>
          </w:pPr>
          <w:r w:rsidRPr="00623371">
            <w:rPr>
              <w:rStyle w:val="PlaceholderText"/>
            </w:rPr>
            <w:t>Click or tap here to enter text.</w:t>
          </w:r>
        </w:p>
      </w:docPartBody>
    </w:docPart>
    <w:docPart>
      <w:docPartPr>
        <w:name w:val="CB515811E6964E35AF328337C201D024"/>
        <w:category>
          <w:name w:val="General"/>
          <w:gallery w:val="placeholder"/>
        </w:category>
        <w:types>
          <w:type w:val="bbPlcHdr"/>
        </w:types>
        <w:behaviors>
          <w:behavior w:val="content"/>
        </w:behaviors>
        <w:guid w:val="{D1D1A2A4-DE5E-4868-A7C8-A2049FFC32EF}"/>
      </w:docPartPr>
      <w:docPartBody>
        <w:p w:rsidR="008C1413" w:rsidRDefault="00892429" w:rsidP="00892429">
          <w:pPr>
            <w:pStyle w:val="CB515811E6964E35AF328337C201D0246"/>
          </w:pPr>
          <w:r w:rsidRPr="008E0745">
            <w:rPr>
              <w:rStyle w:val="PlaceholderText"/>
              <w:color w:val="0070C0"/>
              <w:lang w:val="en-GB"/>
            </w:rPr>
            <w:t>Click or tap here to enter text.</w:t>
          </w:r>
        </w:p>
      </w:docPartBody>
    </w:docPart>
    <w:docPart>
      <w:docPartPr>
        <w:name w:val="986233A6BD6141D691CE4A4E135FF2FD"/>
        <w:category>
          <w:name w:val="General"/>
          <w:gallery w:val="placeholder"/>
        </w:category>
        <w:types>
          <w:type w:val="bbPlcHdr"/>
        </w:types>
        <w:behaviors>
          <w:behavior w:val="content"/>
        </w:behaviors>
        <w:guid w:val="{ECAE4112-4AA1-4850-97BB-4729E3F38C58}"/>
      </w:docPartPr>
      <w:docPartBody>
        <w:p w:rsidR="008C1413" w:rsidRDefault="00892429" w:rsidP="00892429">
          <w:pPr>
            <w:pStyle w:val="986233A6BD6141D691CE4A4E135FF2FD6"/>
          </w:pPr>
          <w:r w:rsidRPr="008E0745">
            <w:rPr>
              <w:rStyle w:val="PlaceholderText"/>
              <w:color w:val="0070C0"/>
              <w:lang w:val="en-GB"/>
            </w:rPr>
            <w:t>Click or tap here to enter text.</w:t>
          </w:r>
        </w:p>
      </w:docPartBody>
    </w:docPart>
    <w:docPart>
      <w:docPartPr>
        <w:name w:val="D507A1CAFDAD4410BF2629046BE3D344"/>
        <w:category>
          <w:name w:val="General"/>
          <w:gallery w:val="placeholder"/>
        </w:category>
        <w:types>
          <w:type w:val="bbPlcHdr"/>
        </w:types>
        <w:behaviors>
          <w:behavior w:val="content"/>
        </w:behaviors>
        <w:guid w:val="{C0DA7DCD-5A41-41BE-AF03-F8A971990D46}"/>
      </w:docPartPr>
      <w:docPartBody>
        <w:p w:rsidR="007C381F" w:rsidRDefault="007C381F" w:rsidP="007C381F">
          <w:pPr>
            <w:pStyle w:val="D507A1CAFDAD4410BF2629046BE3D344"/>
          </w:pPr>
          <w:r w:rsidRPr="00623371">
            <w:rPr>
              <w:rStyle w:val="PlaceholderText"/>
            </w:rPr>
            <w:t>Click or tap here to enter text.</w:t>
          </w:r>
        </w:p>
      </w:docPartBody>
    </w:docPart>
    <w:docPart>
      <w:docPartPr>
        <w:name w:val="CA94F58FF2A9496590905C2D90942A30"/>
        <w:category>
          <w:name w:val="General"/>
          <w:gallery w:val="placeholder"/>
        </w:category>
        <w:types>
          <w:type w:val="bbPlcHdr"/>
        </w:types>
        <w:behaviors>
          <w:behavior w:val="content"/>
        </w:behaviors>
        <w:guid w:val="{84AF4D38-7E21-4C70-B3FC-15912ABBC461}"/>
      </w:docPartPr>
      <w:docPartBody>
        <w:p w:rsidR="007C381F" w:rsidRDefault="007C381F" w:rsidP="007C381F">
          <w:pPr>
            <w:pStyle w:val="CA94F58FF2A9496590905C2D90942A30"/>
          </w:pPr>
          <w:r w:rsidRPr="00623371">
            <w:rPr>
              <w:rStyle w:val="PlaceholderText"/>
            </w:rPr>
            <w:t>Click or tap here to enter text.</w:t>
          </w:r>
        </w:p>
      </w:docPartBody>
    </w:docPart>
    <w:docPart>
      <w:docPartPr>
        <w:name w:val="87CFD9E05FF54B91BD765FCF4963287C"/>
        <w:category>
          <w:name w:val="General"/>
          <w:gallery w:val="placeholder"/>
        </w:category>
        <w:types>
          <w:type w:val="bbPlcHdr"/>
        </w:types>
        <w:behaviors>
          <w:behavior w:val="content"/>
        </w:behaviors>
        <w:guid w:val="{5662F6F5-0461-483E-B1F5-53DC1C4D8B86}"/>
      </w:docPartPr>
      <w:docPartBody>
        <w:p w:rsidR="007C381F" w:rsidRDefault="007C381F" w:rsidP="007C381F">
          <w:pPr>
            <w:pStyle w:val="87CFD9E05FF54B91BD765FCF4963287C"/>
          </w:pPr>
          <w:r w:rsidRPr="00623371">
            <w:rPr>
              <w:rStyle w:val="PlaceholderText"/>
            </w:rPr>
            <w:t>Click or tap here to enter text.</w:t>
          </w:r>
        </w:p>
      </w:docPartBody>
    </w:docPart>
    <w:docPart>
      <w:docPartPr>
        <w:name w:val="E8CBED885464420CBDCB9F0675DB78F8"/>
        <w:category>
          <w:name w:val="General"/>
          <w:gallery w:val="placeholder"/>
        </w:category>
        <w:types>
          <w:type w:val="bbPlcHdr"/>
        </w:types>
        <w:behaviors>
          <w:behavior w:val="content"/>
        </w:behaviors>
        <w:guid w:val="{669BC1B9-6782-4A7D-9864-9AC51434D216}"/>
      </w:docPartPr>
      <w:docPartBody>
        <w:p w:rsidR="007C381F" w:rsidRDefault="007C381F" w:rsidP="007C381F">
          <w:pPr>
            <w:pStyle w:val="E8CBED885464420CBDCB9F0675DB78F8"/>
          </w:pPr>
          <w:r w:rsidRPr="00623371">
            <w:rPr>
              <w:rStyle w:val="PlaceholderText"/>
            </w:rPr>
            <w:t>Click or tap here to enter text.</w:t>
          </w:r>
        </w:p>
      </w:docPartBody>
    </w:docPart>
    <w:docPart>
      <w:docPartPr>
        <w:name w:val="F80265D9038C4BE1838A84EC654090A7"/>
        <w:category>
          <w:name w:val="General"/>
          <w:gallery w:val="placeholder"/>
        </w:category>
        <w:types>
          <w:type w:val="bbPlcHdr"/>
        </w:types>
        <w:behaviors>
          <w:behavior w:val="content"/>
        </w:behaviors>
        <w:guid w:val="{62BCF9DF-6951-43BE-A26A-743AEE60D830}"/>
      </w:docPartPr>
      <w:docPartBody>
        <w:p w:rsidR="007C381F" w:rsidRDefault="007C381F" w:rsidP="007C381F">
          <w:pPr>
            <w:pStyle w:val="F80265D9038C4BE1838A84EC654090A7"/>
          </w:pPr>
          <w:r w:rsidRPr="00623371">
            <w:rPr>
              <w:rStyle w:val="PlaceholderText"/>
            </w:rPr>
            <w:t>Click or tap here to enter text.</w:t>
          </w:r>
        </w:p>
      </w:docPartBody>
    </w:docPart>
    <w:docPart>
      <w:docPartPr>
        <w:name w:val="1121A51A4D984CC7A2F4A9D63DE6EB09"/>
        <w:category>
          <w:name w:val="General"/>
          <w:gallery w:val="placeholder"/>
        </w:category>
        <w:types>
          <w:type w:val="bbPlcHdr"/>
        </w:types>
        <w:behaviors>
          <w:behavior w:val="content"/>
        </w:behaviors>
        <w:guid w:val="{4976D03E-2151-45AF-8164-9E2CB68FE751}"/>
      </w:docPartPr>
      <w:docPartBody>
        <w:p w:rsidR="007C381F" w:rsidRDefault="007C381F" w:rsidP="007C381F">
          <w:pPr>
            <w:pStyle w:val="1121A51A4D984CC7A2F4A9D63DE6EB09"/>
          </w:pPr>
          <w:r w:rsidRPr="00654423">
            <w:rPr>
              <w:rStyle w:val="PlaceholderText"/>
              <w:color w:val="0070C0"/>
              <w:sz w:val="20"/>
              <w:szCs w:val="20"/>
              <w:lang w:val="en-GB"/>
            </w:rPr>
            <w:t>Click or tap here to enter text.</w:t>
          </w:r>
        </w:p>
      </w:docPartBody>
    </w:docPart>
    <w:docPart>
      <w:docPartPr>
        <w:name w:val="0488FABE02E44AFFB327E685CE0608C4"/>
        <w:category>
          <w:name w:val="General"/>
          <w:gallery w:val="placeholder"/>
        </w:category>
        <w:types>
          <w:type w:val="bbPlcHdr"/>
        </w:types>
        <w:behaviors>
          <w:behavior w:val="content"/>
        </w:behaviors>
        <w:guid w:val="{9B286AB1-9476-49DB-A338-01C32AE4353E}"/>
      </w:docPartPr>
      <w:docPartBody>
        <w:p w:rsidR="007C381F" w:rsidRDefault="007C381F" w:rsidP="007C381F">
          <w:pPr>
            <w:pStyle w:val="0488FABE02E44AFFB327E685CE0608C4"/>
          </w:pPr>
          <w:r w:rsidRPr="00654423">
            <w:rPr>
              <w:rStyle w:val="PlaceholderText"/>
              <w:color w:val="0070C0"/>
              <w:sz w:val="20"/>
              <w:szCs w:val="20"/>
              <w:lang w:val="en-GB"/>
            </w:rPr>
            <w:t>Click or tap here to enter text.</w:t>
          </w:r>
        </w:p>
      </w:docPartBody>
    </w:docPart>
    <w:docPart>
      <w:docPartPr>
        <w:name w:val="DC84977039AC49D19E3F6055434DF597"/>
        <w:category>
          <w:name w:val="General"/>
          <w:gallery w:val="placeholder"/>
        </w:category>
        <w:types>
          <w:type w:val="bbPlcHdr"/>
        </w:types>
        <w:behaviors>
          <w:behavior w:val="content"/>
        </w:behaviors>
        <w:guid w:val="{1587C1A4-535E-46DB-9DA4-DC1A2D1F59D5}"/>
      </w:docPartPr>
      <w:docPartBody>
        <w:p w:rsidR="007C381F" w:rsidRDefault="007C381F" w:rsidP="007C381F">
          <w:pPr>
            <w:pStyle w:val="DC84977039AC49D19E3F6055434DF597"/>
          </w:pPr>
          <w:r w:rsidRPr="00654423">
            <w:rPr>
              <w:rStyle w:val="PlaceholderText"/>
              <w:color w:val="0070C0"/>
              <w:sz w:val="20"/>
              <w:szCs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4E"/>
    <w:rsid w:val="00030905"/>
    <w:rsid w:val="00043B57"/>
    <w:rsid w:val="001630D6"/>
    <w:rsid w:val="0023673C"/>
    <w:rsid w:val="0024044E"/>
    <w:rsid w:val="002661D1"/>
    <w:rsid w:val="00287356"/>
    <w:rsid w:val="003619B2"/>
    <w:rsid w:val="003731A3"/>
    <w:rsid w:val="00382C73"/>
    <w:rsid w:val="003A0379"/>
    <w:rsid w:val="003B7D45"/>
    <w:rsid w:val="00424F22"/>
    <w:rsid w:val="00502359"/>
    <w:rsid w:val="005223FC"/>
    <w:rsid w:val="005B7100"/>
    <w:rsid w:val="00646183"/>
    <w:rsid w:val="007220C0"/>
    <w:rsid w:val="007C381F"/>
    <w:rsid w:val="007D1EC8"/>
    <w:rsid w:val="008058DC"/>
    <w:rsid w:val="00892429"/>
    <w:rsid w:val="008C1413"/>
    <w:rsid w:val="00A5496A"/>
    <w:rsid w:val="00A80788"/>
    <w:rsid w:val="00AC06B0"/>
    <w:rsid w:val="00AF6980"/>
    <w:rsid w:val="00D50C06"/>
    <w:rsid w:val="00D767FD"/>
    <w:rsid w:val="00E016C1"/>
    <w:rsid w:val="00F141A5"/>
    <w:rsid w:val="00FD12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81F"/>
    <w:rPr>
      <w:color w:val="808080"/>
    </w:rPr>
  </w:style>
  <w:style w:type="paragraph" w:customStyle="1" w:styleId="2FC8C75ABD97480EB63CEEFDB6376F9F">
    <w:name w:val="2FC8C75ABD97480EB63CEEFDB6376F9F"/>
    <w:rsid w:val="00382C73"/>
  </w:style>
  <w:style w:type="paragraph" w:customStyle="1" w:styleId="FD72D61072384AD6BD00CC57A5FE8A49">
    <w:name w:val="FD72D61072384AD6BD00CC57A5FE8A49"/>
    <w:rsid w:val="008C1413"/>
    <w:rPr>
      <w:kern w:val="2"/>
      <w14:ligatures w14:val="standardContextual"/>
    </w:rPr>
  </w:style>
  <w:style w:type="paragraph" w:customStyle="1" w:styleId="E45B6FB2032C44C18140F232AC5584586">
    <w:name w:val="E45B6FB2032C44C18140F232AC5584586"/>
    <w:rsid w:val="00892429"/>
    <w:pPr>
      <w:spacing w:after="200" w:line="276" w:lineRule="auto"/>
      <w:ind w:left="720"/>
      <w:contextualSpacing/>
    </w:pPr>
    <w:rPr>
      <w:rFonts w:eastAsiaTheme="minorHAnsi"/>
      <w:lang w:val="nl-BE" w:eastAsia="en-US"/>
    </w:rPr>
  </w:style>
  <w:style w:type="paragraph" w:customStyle="1" w:styleId="3694DBCD0C664A80AB4257C47ECF794B6">
    <w:name w:val="3694DBCD0C664A80AB4257C47ECF794B6"/>
    <w:rsid w:val="00892429"/>
    <w:pPr>
      <w:spacing w:after="200" w:line="276" w:lineRule="auto"/>
      <w:ind w:left="720"/>
      <w:contextualSpacing/>
    </w:pPr>
    <w:rPr>
      <w:rFonts w:eastAsiaTheme="minorHAnsi"/>
      <w:lang w:val="nl-BE" w:eastAsia="en-US"/>
    </w:rPr>
  </w:style>
  <w:style w:type="paragraph" w:customStyle="1" w:styleId="93EB0EF467D84633A2E5492220FEF5856">
    <w:name w:val="93EB0EF467D84633A2E5492220FEF5856"/>
    <w:rsid w:val="00892429"/>
    <w:pPr>
      <w:spacing w:after="200" w:line="276" w:lineRule="auto"/>
      <w:ind w:left="720"/>
      <w:contextualSpacing/>
    </w:pPr>
    <w:rPr>
      <w:rFonts w:eastAsiaTheme="minorHAnsi"/>
      <w:lang w:val="nl-BE" w:eastAsia="en-US"/>
    </w:rPr>
  </w:style>
  <w:style w:type="paragraph" w:customStyle="1" w:styleId="A15994A5340B4DF5BB0AF42981EBFEA56">
    <w:name w:val="A15994A5340B4DF5BB0AF42981EBFEA56"/>
    <w:rsid w:val="00892429"/>
    <w:pPr>
      <w:spacing w:after="200" w:line="276" w:lineRule="auto"/>
      <w:ind w:left="720"/>
      <w:contextualSpacing/>
    </w:pPr>
    <w:rPr>
      <w:rFonts w:eastAsiaTheme="minorHAnsi"/>
      <w:lang w:val="nl-BE" w:eastAsia="en-US"/>
    </w:rPr>
  </w:style>
  <w:style w:type="paragraph" w:customStyle="1" w:styleId="01BC2955287F4D43BD8D3AB9328CEF386">
    <w:name w:val="01BC2955287F4D43BD8D3AB9328CEF386"/>
    <w:rsid w:val="00892429"/>
    <w:pPr>
      <w:spacing w:after="200" w:line="276" w:lineRule="auto"/>
      <w:ind w:left="720"/>
      <w:contextualSpacing/>
    </w:pPr>
    <w:rPr>
      <w:rFonts w:eastAsiaTheme="minorHAnsi"/>
      <w:lang w:val="nl-BE" w:eastAsia="en-US"/>
    </w:rPr>
  </w:style>
  <w:style w:type="paragraph" w:customStyle="1" w:styleId="FBB2169A6D7E487B9EA61807F93892DD6">
    <w:name w:val="FBB2169A6D7E487B9EA61807F93892DD6"/>
    <w:rsid w:val="00892429"/>
    <w:pPr>
      <w:spacing w:after="200" w:line="276" w:lineRule="auto"/>
      <w:ind w:left="720"/>
      <w:contextualSpacing/>
    </w:pPr>
    <w:rPr>
      <w:rFonts w:eastAsiaTheme="minorHAnsi"/>
      <w:lang w:val="nl-BE" w:eastAsia="en-US"/>
    </w:rPr>
  </w:style>
  <w:style w:type="paragraph" w:customStyle="1" w:styleId="8F732A200E07446DA42BE7AA810840D06">
    <w:name w:val="8F732A200E07446DA42BE7AA810840D06"/>
    <w:rsid w:val="00892429"/>
    <w:pPr>
      <w:spacing w:after="200" w:line="276" w:lineRule="auto"/>
      <w:ind w:left="720"/>
      <w:contextualSpacing/>
    </w:pPr>
    <w:rPr>
      <w:rFonts w:eastAsiaTheme="minorHAnsi"/>
      <w:lang w:val="nl-BE" w:eastAsia="en-US"/>
    </w:rPr>
  </w:style>
  <w:style w:type="paragraph" w:customStyle="1" w:styleId="C7902CE260F04D51BA461342C1D4CFDA6">
    <w:name w:val="C7902CE260F04D51BA461342C1D4CFDA6"/>
    <w:rsid w:val="00892429"/>
    <w:pPr>
      <w:spacing w:after="200" w:line="276" w:lineRule="auto"/>
      <w:ind w:left="720"/>
      <w:contextualSpacing/>
    </w:pPr>
    <w:rPr>
      <w:rFonts w:eastAsiaTheme="minorHAnsi"/>
      <w:lang w:val="nl-BE" w:eastAsia="en-US"/>
    </w:rPr>
  </w:style>
  <w:style w:type="paragraph" w:customStyle="1" w:styleId="98460385A5654A54AB63931EB28309C16">
    <w:name w:val="98460385A5654A54AB63931EB28309C16"/>
    <w:rsid w:val="00892429"/>
    <w:rPr>
      <w:rFonts w:eastAsiaTheme="minorHAnsi"/>
      <w:lang w:eastAsia="en-US"/>
    </w:rPr>
  </w:style>
  <w:style w:type="paragraph" w:customStyle="1" w:styleId="B5FED52C538F4EFBAC5219150BB73D666">
    <w:name w:val="B5FED52C538F4EFBAC5219150BB73D666"/>
    <w:rsid w:val="00892429"/>
    <w:rPr>
      <w:rFonts w:eastAsiaTheme="minorHAnsi"/>
      <w:lang w:eastAsia="en-US"/>
    </w:rPr>
  </w:style>
  <w:style w:type="paragraph" w:customStyle="1" w:styleId="CB515811E6964E35AF328337C201D0246">
    <w:name w:val="CB515811E6964E35AF328337C201D0246"/>
    <w:rsid w:val="00892429"/>
    <w:rPr>
      <w:rFonts w:eastAsiaTheme="minorHAnsi"/>
      <w:lang w:eastAsia="en-US"/>
    </w:rPr>
  </w:style>
  <w:style w:type="paragraph" w:customStyle="1" w:styleId="986233A6BD6141D691CE4A4E135FF2FD6">
    <w:name w:val="986233A6BD6141D691CE4A4E135FF2FD6"/>
    <w:rsid w:val="00892429"/>
    <w:rPr>
      <w:rFonts w:eastAsiaTheme="minorHAnsi"/>
      <w:lang w:eastAsia="en-US"/>
    </w:rPr>
  </w:style>
  <w:style w:type="paragraph" w:customStyle="1" w:styleId="D507A1CAFDAD4410BF2629046BE3D344">
    <w:name w:val="D507A1CAFDAD4410BF2629046BE3D344"/>
    <w:rsid w:val="007C381F"/>
    <w:rPr>
      <w:kern w:val="2"/>
      <w14:ligatures w14:val="standardContextual"/>
    </w:rPr>
  </w:style>
  <w:style w:type="paragraph" w:customStyle="1" w:styleId="CA94F58FF2A9496590905C2D90942A30">
    <w:name w:val="CA94F58FF2A9496590905C2D90942A30"/>
    <w:rsid w:val="007C381F"/>
    <w:rPr>
      <w:kern w:val="2"/>
      <w14:ligatures w14:val="standardContextual"/>
    </w:rPr>
  </w:style>
  <w:style w:type="paragraph" w:customStyle="1" w:styleId="87CFD9E05FF54B91BD765FCF4963287C">
    <w:name w:val="87CFD9E05FF54B91BD765FCF4963287C"/>
    <w:rsid w:val="007C381F"/>
    <w:rPr>
      <w:kern w:val="2"/>
      <w14:ligatures w14:val="standardContextual"/>
    </w:rPr>
  </w:style>
  <w:style w:type="paragraph" w:customStyle="1" w:styleId="E8CBED885464420CBDCB9F0675DB78F8">
    <w:name w:val="E8CBED885464420CBDCB9F0675DB78F8"/>
    <w:rsid w:val="007C381F"/>
    <w:rPr>
      <w:kern w:val="2"/>
      <w14:ligatures w14:val="standardContextual"/>
    </w:rPr>
  </w:style>
  <w:style w:type="paragraph" w:customStyle="1" w:styleId="F80265D9038C4BE1838A84EC654090A7">
    <w:name w:val="F80265D9038C4BE1838A84EC654090A7"/>
    <w:rsid w:val="007C381F"/>
    <w:rPr>
      <w:kern w:val="2"/>
      <w14:ligatures w14:val="standardContextual"/>
    </w:rPr>
  </w:style>
  <w:style w:type="paragraph" w:customStyle="1" w:styleId="1121A51A4D984CC7A2F4A9D63DE6EB09">
    <w:name w:val="1121A51A4D984CC7A2F4A9D63DE6EB09"/>
    <w:rsid w:val="007C381F"/>
    <w:rPr>
      <w:kern w:val="2"/>
      <w14:ligatures w14:val="standardContextual"/>
    </w:rPr>
  </w:style>
  <w:style w:type="paragraph" w:customStyle="1" w:styleId="0488FABE02E44AFFB327E685CE0608C4">
    <w:name w:val="0488FABE02E44AFFB327E685CE0608C4"/>
    <w:rsid w:val="007C381F"/>
    <w:rPr>
      <w:kern w:val="2"/>
      <w14:ligatures w14:val="standardContextual"/>
    </w:rPr>
  </w:style>
  <w:style w:type="paragraph" w:customStyle="1" w:styleId="DC84977039AC49D19E3F6055434DF597">
    <w:name w:val="DC84977039AC49D19E3F6055434DF597"/>
    <w:rsid w:val="007C38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55A1-37FD-4C73-AA83-3FF16BDF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5760</Words>
  <Characters>31569</Characters>
  <Application>Microsoft Office Word</Application>
  <DocSecurity>0</DocSecurity>
  <Lines>490</Lines>
  <Paragraphs>170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Smet (RIZIV-INAMI)</dc:creator>
  <cp:keywords>, docId:59E11A27E043A68FF1A227996A231177</cp:keywords>
  <dc:description/>
  <cp:lastModifiedBy>Olivia Willems (RIZIV-INAMI)</cp:lastModifiedBy>
  <cp:revision>131</cp:revision>
  <cp:lastPrinted>2025-11-28T07:37:00Z</cp:lastPrinted>
  <dcterms:created xsi:type="dcterms:W3CDTF">2024-09-11T08:20:00Z</dcterms:created>
  <dcterms:modified xsi:type="dcterms:W3CDTF">2026-04-23T13:05:00Z</dcterms:modified>
</cp:coreProperties>
</file>