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FBE5" w14:textId="77777777" w:rsidR="00407B8C" w:rsidRPr="007C587C" w:rsidRDefault="00407B8C" w:rsidP="007C587C">
      <w:pPr>
        <w:pStyle w:val="Heading1"/>
        <w:numPr>
          <w:ilvl w:val="0"/>
          <w:numId w:val="0"/>
        </w:numPr>
        <w:ind w:left="1134" w:hanging="1134"/>
        <w:rPr>
          <w:color w:val="0070C0"/>
          <w:sz w:val="44"/>
          <w:szCs w:val="44"/>
        </w:rPr>
      </w:pPr>
      <w:bookmarkStart w:id="0" w:name="_Toc215211244"/>
      <w:r w:rsidRPr="007C587C">
        <w:rPr>
          <w:color w:val="0070C0"/>
          <w:sz w:val="44"/>
          <w:szCs w:val="44"/>
        </w:rPr>
        <w:t>ANNEXE 1 : Tumeurs solides</w:t>
      </w:r>
      <w:bookmarkEnd w:id="0"/>
    </w:p>
    <w:p w14:paraId="28B77CCF" w14:textId="77777777" w:rsidR="00C80826" w:rsidRPr="00C80826" w:rsidRDefault="00C80826" w:rsidP="00C80826"/>
    <w:p w14:paraId="76643AEF" w14:textId="77777777" w:rsidR="00407B8C" w:rsidRPr="00864EC9" w:rsidRDefault="00407B8C" w:rsidP="00864EC9">
      <w:pPr>
        <w:pStyle w:val="Heading3"/>
        <w:rPr>
          <w:rStyle w:val="Emphasis"/>
          <w:i/>
          <w:iCs w:val="0"/>
          <w:color w:val="00B0F0"/>
          <w:szCs w:val="26"/>
        </w:rPr>
      </w:pPr>
      <w:bookmarkStart w:id="1" w:name="_Toc167180244"/>
      <w:bookmarkStart w:id="2" w:name="_Toc215211245"/>
      <w:r w:rsidRPr="00864EC9">
        <w:rPr>
          <w:rStyle w:val="Emphasis"/>
          <w:i/>
          <w:iCs w:val="0"/>
          <w:color w:val="00B0F0"/>
          <w:szCs w:val="26"/>
        </w:rPr>
        <w:t>Généralités</w:t>
      </w:r>
      <w:bookmarkEnd w:id="1"/>
      <w:bookmarkEnd w:id="2"/>
    </w:p>
    <w:p w14:paraId="7E35CC3F" w14:textId="77777777" w:rsidR="00407B8C" w:rsidRPr="00736304" w:rsidRDefault="00407B8C" w:rsidP="00407B8C">
      <w:pPr>
        <w:pStyle w:val="ListParagraph"/>
        <w:numPr>
          <w:ilvl w:val="0"/>
          <w:numId w:val="31"/>
        </w:numPr>
        <w:spacing w:after="160" w:line="259" w:lineRule="auto"/>
        <w:rPr>
          <w:lang w:val="fr-FR"/>
        </w:rPr>
      </w:pPr>
      <w:r w:rsidRPr="00736304">
        <w:rPr>
          <w:lang w:val="fr-FR"/>
        </w:rPr>
        <w:t>Les codes de pseudonomenclature énumérés ci-dessous ne peu</w:t>
      </w:r>
      <w:r>
        <w:rPr>
          <w:lang w:val="fr-FR"/>
        </w:rPr>
        <w:t>vent</w:t>
      </w:r>
      <w:r w:rsidRPr="00736304">
        <w:rPr>
          <w:lang w:val="fr-FR"/>
        </w:rPr>
        <w:t xml:space="preserve"> être facturé qu'une seule fois par période de 12 mois.</w:t>
      </w:r>
    </w:p>
    <w:p w14:paraId="70E99388" w14:textId="77777777" w:rsidR="00407B8C" w:rsidRPr="00736304" w:rsidRDefault="00407B8C" w:rsidP="00407B8C">
      <w:pPr>
        <w:pStyle w:val="ListParagraph"/>
        <w:numPr>
          <w:ilvl w:val="0"/>
          <w:numId w:val="31"/>
        </w:numPr>
        <w:spacing w:after="160" w:line="259" w:lineRule="auto"/>
        <w:rPr>
          <w:lang w:val="fr-FR"/>
        </w:rPr>
      </w:pPr>
      <w:r w:rsidRPr="00736304">
        <w:rPr>
          <w:lang w:val="fr-FR"/>
        </w:rPr>
        <w:t>Une phase de diagnostic s'applique de 3 mois avant à 3 mois après la date de prescription des codes de pseudonomenclature énumérés ci-dessous.</w:t>
      </w:r>
    </w:p>
    <w:p w14:paraId="4BCDB1FB" w14:textId="77777777" w:rsidR="00407B8C" w:rsidRDefault="00407B8C" w:rsidP="00407B8C">
      <w:pPr>
        <w:pStyle w:val="ListParagraph"/>
        <w:numPr>
          <w:ilvl w:val="0"/>
          <w:numId w:val="31"/>
        </w:numPr>
        <w:spacing w:after="160" w:line="259" w:lineRule="auto"/>
        <w:rPr>
          <w:lang w:val="fr-FR"/>
        </w:rPr>
      </w:pPr>
      <w:r w:rsidRPr="009D5DA2">
        <w:rPr>
          <w:lang w:val="fr-FR"/>
        </w:rPr>
        <w:t>Les règles diagnosti</w:t>
      </w:r>
      <w:r>
        <w:rPr>
          <w:lang w:val="fr-FR"/>
        </w:rPr>
        <w:t>ques</w:t>
      </w:r>
      <w:r w:rsidRPr="009D5DA2">
        <w:rPr>
          <w:lang w:val="fr-FR"/>
        </w:rPr>
        <w:t xml:space="preserve"> et de cumul s'appliquent également aux tests effectués dans des </w:t>
      </w:r>
      <w:r>
        <w:rPr>
          <w:lang w:val="fr-FR"/>
        </w:rPr>
        <w:t>institutions</w:t>
      </w:r>
      <w:r w:rsidRPr="009D5DA2">
        <w:rPr>
          <w:lang w:val="fr-FR"/>
        </w:rPr>
        <w:t xml:space="preserve"> différent</w:t>
      </w:r>
      <w:r>
        <w:rPr>
          <w:lang w:val="fr-FR"/>
        </w:rPr>
        <w:t>e</w:t>
      </w:r>
      <w:r w:rsidRPr="009D5DA2">
        <w:rPr>
          <w:lang w:val="fr-FR"/>
        </w:rPr>
        <w:t>s.</w:t>
      </w:r>
    </w:p>
    <w:p w14:paraId="2D31C17A" w14:textId="77777777" w:rsidR="00407B8C" w:rsidRPr="00736304" w:rsidRDefault="00407B8C" w:rsidP="00407B8C">
      <w:pPr>
        <w:pStyle w:val="ListParagraph"/>
        <w:numPr>
          <w:ilvl w:val="0"/>
          <w:numId w:val="31"/>
        </w:numPr>
        <w:spacing w:after="160" w:line="259" w:lineRule="auto"/>
        <w:rPr>
          <w:lang w:val="fr-FR"/>
        </w:rPr>
      </w:pPr>
      <w:r w:rsidRPr="00736304">
        <w:rPr>
          <w:lang w:val="fr-FR"/>
        </w:rPr>
        <w:t>Un seul code de pseudonomenclature pour un test NGS et un seul pseudo-code pour un RNASeq peuvent être attestés par phase d'investigation diagnostique.</w:t>
      </w:r>
    </w:p>
    <w:p w14:paraId="68D8303F" w14:textId="77777777" w:rsidR="00407B8C" w:rsidRDefault="00407B8C" w:rsidP="00407B8C">
      <w:pPr>
        <w:pStyle w:val="ListParagraph"/>
        <w:numPr>
          <w:ilvl w:val="0"/>
          <w:numId w:val="31"/>
        </w:numPr>
        <w:spacing w:after="160" w:line="259" w:lineRule="auto"/>
        <w:rPr>
          <w:lang w:val="fr-FR"/>
        </w:rPr>
      </w:pPr>
      <w:r w:rsidRPr="00736304">
        <w:rPr>
          <w:lang w:val="fr-FR"/>
        </w:rPr>
        <w:t>Si une règle de cumul pour un code de pseudonomenclature permet l'attestation à partir de la nomenclature, mais que ce code de nomenclature ne peut pas être attesté en raison d'une règle de diagnostic ou d'une règle de cumul dans la nomenclature, il ne peut pas être attesté.</w:t>
      </w:r>
    </w:p>
    <w:p w14:paraId="15C4786D" w14:textId="77777777" w:rsidR="00C80826" w:rsidRPr="00736304" w:rsidRDefault="00C80826" w:rsidP="00C80826">
      <w:pPr>
        <w:pStyle w:val="ListParagraph"/>
        <w:spacing w:after="160" w:line="259" w:lineRule="auto"/>
        <w:rPr>
          <w:lang w:val="fr-FR"/>
        </w:rPr>
      </w:pPr>
    </w:p>
    <w:p w14:paraId="48BFD34D" w14:textId="77777777" w:rsidR="00407B8C" w:rsidRPr="00864EC9" w:rsidRDefault="00407B8C" w:rsidP="00864EC9">
      <w:pPr>
        <w:pStyle w:val="Heading3"/>
        <w:rPr>
          <w:rStyle w:val="Emphasis"/>
          <w:i/>
          <w:iCs w:val="0"/>
          <w:color w:val="00B0F0"/>
          <w:szCs w:val="26"/>
        </w:rPr>
      </w:pPr>
      <w:bookmarkStart w:id="3" w:name="_Toc167180245"/>
      <w:bookmarkStart w:id="4" w:name="_Toc215211246"/>
      <w:r w:rsidRPr="00864EC9">
        <w:rPr>
          <w:rStyle w:val="Emphasis"/>
          <w:i/>
          <w:iCs w:val="0"/>
          <w:color w:val="00B0F0"/>
          <w:szCs w:val="26"/>
        </w:rPr>
        <w:t>Règles diagnostiques</w:t>
      </w:r>
      <w:bookmarkEnd w:id="3"/>
      <w:bookmarkEnd w:id="4"/>
    </w:p>
    <w:p w14:paraId="6FC667D5" w14:textId="77777777" w:rsidR="00C80826" w:rsidRPr="00C80826" w:rsidRDefault="00C80826" w:rsidP="00C80826">
      <w:pPr>
        <w:rPr>
          <w:lang w:val="nl-NL"/>
        </w:rPr>
      </w:pPr>
    </w:p>
    <w:tbl>
      <w:tblPr>
        <w:tblW w:w="10387"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8167"/>
      </w:tblGrid>
      <w:tr w:rsidR="00407B8C" w:rsidRPr="00E012EE" w14:paraId="4B509E95" w14:textId="77777777" w:rsidTr="009249EA">
        <w:trPr>
          <w:trHeight w:val="615"/>
        </w:trPr>
        <w:tc>
          <w:tcPr>
            <w:tcW w:w="2220" w:type="dxa"/>
            <w:noWrap/>
            <w:hideMark/>
          </w:tcPr>
          <w:p w14:paraId="3E37270D"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1</w:t>
            </w:r>
          </w:p>
        </w:tc>
        <w:tc>
          <w:tcPr>
            <w:tcW w:w="8167" w:type="dxa"/>
            <w:noWrap/>
            <w:hideMark/>
          </w:tcPr>
          <w:p w14:paraId="64E1F3BE" w14:textId="77777777" w:rsidR="00407B8C" w:rsidRPr="00736304" w:rsidRDefault="00407B8C" w:rsidP="009249EA">
            <w:pPr>
              <w:spacing w:after="0" w:line="240" w:lineRule="auto"/>
              <w:rPr>
                <w:rFonts w:ascii="Calibri" w:eastAsia="Times New Roman" w:hAnsi="Calibri" w:cs="Calibri"/>
                <w:lang w:eastAsia="nl-NL"/>
              </w:rPr>
            </w:pPr>
            <w:r w:rsidRPr="00736304">
              <w:t xml:space="preserve">Le </w:t>
            </w:r>
            <w:r>
              <w:t>code de pseudonomenclature</w:t>
            </w:r>
            <w:r w:rsidRPr="00736304">
              <w:t xml:space="preserve"> ne peut être facturé qu'une seule fois </w:t>
            </w:r>
            <w:r w:rsidRPr="00736304">
              <w:rPr>
                <w:b/>
                <w:bCs/>
                <w:u w:val="single"/>
              </w:rPr>
              <w:t>par période de 12 mois</w:t>
            </w:r>
            <w:r w:rsidRPr="00736304">
              <w:rPr>
                <w:rFonts w:ascii="Calibri" w:eastAsia="Symbol" w:hAnsi="Calibri" w:cs="Calibri"/>
                <w:lang w:eastAsia="nl-NL"/>
              </w:rPr>
              <w:t>.</w:t>
            </w:r>
          </w:p>
        </w:tc>
      </w:tr>
      <w:tr w:rsidR="00407B8C" w:rsidRPr="00E012EE" w14:paraId="43E3A1B1" w14:textId="77777777" w:rsidTr="009249EA">
        <w:trPr>
          <w:trHeight w:val="615"/>
        </w:trPr>
        <w:tc>
          <w:tcPr>
            <w:tcW w:w="2220" w:type="dxa"/>
            <w:noWrap/>
            <w:hideMark/>
          </w:tcPr>
          <w:p w14:paraId="6EE09CCF"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2</w:t>
            </w:r>
          </w:p>
        </w:tc>
        <w:tc>
          <w:tcPr>
            <w:tcW w:w="8167" w:type="dxa"/>
            <w:noWrap/>
            <w:hideMark/>
          </w:tcPr>
          <w:p w14:paraId="39EC9381" w14:textId="77777777" w:rsidR="00407B8C" w:rsidRPr="00736304" w:rsidRDefault="00407B8C" w:rsidP="009249EA">
            <w:pPr>
              <w:spacing w:after="0" w:line="240" w:lineRule="auto"/>
              <w:rPr>
                <w:rFonts w:ascii="Calibri" w:eastAsia="Times New Roman" w:hAnsi="Calibri" w:cs="Calibri"/>
                <w:lang w:eastAsia="nl-NL"/>
              </w:rPr>
            </w:pPr>
            <w:r w:rsidRPr="00736304">
              <w:t xml:space="preserve">Aucune prestation de l'article 33, 33bis ou 33ter ne peut être </w:t>
            </w:r>
            <w:r>
              <w:t xml:space="preserve">facturée en sus </w:t>
            </w:r>
            <w:r>
              <w:rPr>
                <w:b/>
                <w:bCs/>
                <w:u w:val="single"/>
              </w:rPr>
              <w:t>pour le test effectué</w:t>
            </w:r>
            <w:r>
              <w:t xml:space="preserve"> </w:t>
            </w:r>
            <w:r w:rsidRPr="00736304">
              <w:rPr>
                <w:b/>
                <w:bCs/>
                <w:u w:val="single"/>
              </w:rPr>
              <w:t>pour les biomarqueurs inclus dans le panel NGS effectivement utilisé</w:t>
            </w:r>
            <w:r w:rsidRPr="00736304">
              <w:t>, si ce panel est plus étendu que le panel minimum requis</w:t>
            </w:r>
            <w:r w:rsidRPr="00736304">
              <w:rPr>
                <w:rFonts w:ascii="Calibri" w:eastAsia="Symbol" w:hAnsi="Calibri" w:cs="Calibri"/>
                <w:lang w:eastAsia="nl-NL"/>
              </w:rPr>
              <w:t>.</w:t>
            </w:r>
          </w:p>
        </w:tc>
      </w:tr>
      <w:tr w:rsidR="00407B8C" w:rsidRPr="00E012EE" w14:paraId="59A1E88F" w14:textId="77777777" w:rsidTr="009249EA">
        <w:trPr>
          <w:trHeight w:val="615"/>
        </w:trPr>
        <w:tc>
          <w:tcPr>
            <w:tcW w:w="2220" w:type="dxa"/>
            <w:noWrap/>
          </w:tcPr>
          <w:p w14:paraId="0EBED760"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3</w:t>
            </w:r>
          </w:p>
        </w:tc>
        <w:tc>
          <w:tcPr>
            <w:tcW w:w="8167" w:type="dxa"/>
            <w:noWrap/>
          </w:tcPr>
          <w:p w14:paraId="4A5929B5" w14:textId="77777777" w:rsidR="00407B8C" w:rsidRPr="00736304" w:rsidRDefault="00407B8C" w:rsidP="009249EA">
            <w:pPr>
              <w:spacing w:after="0" w:line="240" w:lineRule="auto"/>
            </w:pPr>
            <w:r w:rsidRPr="00736304">
              <w:t xml:space="preserve">Le </w:t>
            </w:r>
            <w:r>
              <w:t>code de pseudonomenclature n</w:t>
            </w:r>
            <w:r w:rsidRPr="00736304">
              <w:t xml:space="preserve">'est pas cumulable, </w:t>
            </w:r>
            <w:r w:rsidRPr="00736304">
              <w:rPr>
                <w:b/>
                <w:bCs/>
                <w:u w:val="single"/>
              </w:rPr>
              <w:t>pendant la phase d'investigation diagnostique</w:t>
            </w:r>
            <w:r w:rsidRPr="00736304">
              <w:t>, avec les prestations 588534-588545, 587915-587926 et 588770-588781 de l'article 33bis</w:t>
            </w:r>
            <w:r w:rsidRPr="00736304">
              <w:rPr>
                <w:rFonts w:ascii="Calibri" w:eastAsia="Times New Roman" w:hAnsi="Calibri" w:cs="Calibri"/>
                <w:lang w:eastAsia="nl-NL"/>
              </w:rPr>
              <w:t>.</w:t>
            </w:r>
          </w:p>
        </w:tc>
      </w:tr>
      <w:tr w:rsidR="00407B8C" w:rsidRPr="00E012EE" w14:paraId="5A2AFF89" w14:textId="77777777" w:rsidTr="009249EA">
        <w:trPr>
          <w:trHeight w:val="615"/>
        </w:trPr>
        <w:tc>
          <w:tcPr>
            <w:tcW w:w="2220" w:type="dxa"/>
            <w:noWrap/>
          </w:tcPr>
          <w:p w14:paraId="33638DB1"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4</w:t>
            </w:r>
          </w:p>
        </w:tc>
        <w:tc>
          <w:tcPr>
            <w:tcW w:w="8167" w:type="dxa"/>
            <w:noWrap/>
            <w:vAlign w:val="bottom"/>
          </w:tcPr>
          <w:p w14:paraId="0D3F8DAE" w14:textId="77777777" w:rsidR="00407B8C" w:rsidRPr="00736304" w:rsidRDefault="00407B8C" w:rsidP="009249EA">
            <w:pPr>
              <w:spacing w:after="0" w:line="240" w:lineRule="auto"/>
              <w:rPr>
                <w:rFonts w:ascii="Calibri" w:eastAsia="Times New Roman" w:hAnsi="Calibri" w:cs="Calibri"/>
                <w:lang w:eastAsia="nl-NL"/>
              </w:rPr>
            </w:pPr>
            <w:r w:rsidRPr="00736304">
              <w:t xml:space="preserve">Le </w:t>
            </w:r>
            <w:r>
              <w:t>code de pseudonomenclature n</w:t>
            </w:r>
            <w:r w:rsidRPr="00736304">
              <w:t xml:space="preserve">'est pas cumulable </w:t>
            </w:r>
            <w:r w:rsidRPr="00736304">
              <w:rPr>
                <w:b/>
                <w:bCs/>
                <w:u w:val="single"/>
              </w:rPr>
              <w:t>pendant la phase d'investigation diagnostique</w:t>
            </w:r>
            <w:r w:rsidRPr="00736304">
              <w:t xml:space="preserve"> avec les prestations </w:t>
            </w:r>
            <w:r>
              <w:t>594016-594020, 594053-594064 et 594090-594101</w:t>
            </w:r>
            <w:r w:rsidRPr="00736304">
              <w:t xml:space="preserve"> de l'article 33ter</w:t>
            </w:r>
            <w:r w:rsidRPr="00736304">
              <w:rPr>
                <w:rFonts w:ascii="Calibri" w:hAnsi="Calibri" w:cs="Calibri"/>
              </w:rPr>
              <w:t>.</w:t>
            </w:r>
          </w:p>
        </w:tc>
      </w:tr>
      <w:tr w:rsidR="00407B8C" w:rsidRPr="00E012EE" w14:paraId="283D19A2" w14:textId="77777777" w:rsidTr="009249EA">
        <w:trPr>
          <w:trHeight w:val="615"/>
        </w:trPr>
        <w:tc>
          <w:tcPr>
            <w:tcW w:w="2220" w:type="dxa"/>
            <w:noWrap/>
          </w:tcPr>
          <w:p w14:paraId="3E9A14DE"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5</w:t>
            </w:r>
          </w:p>
        </w:tc>
        <w:tc>
          <w:tcPr>
            <w:tcW w:w="8167" w:type="dxa"/>
            <w:noWrap/>
          </w:tcPr>
          <w:p w14:paraId="381F6A48" w14:textId="77777777" w:rsidR="00407B8C" w:rsidRPr="00736304" w:rsidRDefault="00407B8C" w:rsidP="009249EA">
            <w:pPr>
              <w:spacing w:after="0" w:line="240" w:lineRule="auto"/>
            </w:pPr>
            <w:r w:rsidRPr="00736304">
              <w:t xml:space="preserve">Le </w:t>
            </w:r>
            <w:r>
              <w:t>code de pseudonomenclature n</w:t>
            </w:r>
            <w:r w:rsidRPr="00736304">
              <w:t xml:space="preserve">'est facturable que si le pseudo-code </w:t>
            </w:r>
            <w:r>
              <w:t>535032-535043</w:t>
            </w:r>
            <w:r w:rsidRPr="00736304">
              <w:t xml:space="preserve">, </w:t>
            </w:r>
            <w:r>
              <w:t>535054-535065</w:t>
            </w:r>
            <w:r w:rsidRPr="00736304">
              <w:t xml:space="preserve"> ou </w:t>
            </w:r>
            <w:r>
              <w:t>535076-535080</w:t>
            </w:r>
            <w:r w:rsidRPr="00736304">
              <w:t xml:space="preserve"> est également facturé </w:t>
            </w:r>
            <w:r w:rsidRPr="009F5717">
              <w:rPr>
                <w:b/>
                <w:bCs/>
                <w:u w:val="single"/>
              </w:rPr>
              <w:t>pendant la phase d’investigation diagnostique</w:t>
            </w:r>
            <w:r w:rsidRPr="00736304">
              <w:rPr>
                <w:b/>
                <w:bCs/>
              </w:rPr>
              <w:t>.</w:t>
            </w:r>
          </w:p>
        </w:tc>
      </w:tr>
      <w:tr w:rsidR="00407B8C" w:rsidRPr="00E012EE" w14:paraId="0A0B8021" w14:textId="77777777" w:rsidTr="009249EA">
        <w:trPr>
          <w:trHeight w:val="615"/>
        </w:trPr>
        <w:tc>
          <w:tcPr>
            <w:tcW w:w="2220" w:type="dxa"/>
            <w:noWrap/>
          </w:tcPr>
          <w:p w14:paraId="4B0D2EA6"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Règle diagnostique 6</w:t>
            </w:r>
          </w:p>
        </w:tc>
        <w:tc>
          <w:tcPr>
            <w:tcW w:w="8167" w:type="dxa"/>
            <w:noWrap/>
          </w:tcPr>
          <w:p w14:paraId="53C36521" w14:textId="77777777" w:rsidR="00407B8C" w:rsidRPr="00736304" w:rsidRDefault="00407B8C" w:rsidP="009249EA">
            <w:pPr>
              <w:spacing w:after="0" w:line="240" w:lineRule="auto"/>
            </w:pPr>
            <w:r w:rsidRPr="00736304">
              <w:t xml:space="preserve">Les </w:t>
            </w:r>
            <w:r>
              <w:t>codes de pseudonomenclature 535312-535323</w:t>
            </w:r>
            <w:r w:rsidRPr="00736304">
              <w:t xml:space="preserve"> </w:t>
            </w:r>
            <w:r>
              <w:t>et 5</w:t>
            </w:r>
            <w:r w:rsidRPr="00E43D22">
              <w:t>35334-535345</w:t>
            </w:r>
            <w:r>
              <w:t xml:space="preserve"> </w:t>
            </w:r>
            <w:r w:rsidRPr="00736304">
              <w:t xml:space="preserve">ne sont pas cumulables entre eux </w:t>
            </w:r>
            <w:r w:rsidRPr="00736304">
              <w:rPr>
                <w:b/>
                <w:bCs/>
                <w:u w:val="single"/>
              </w:rPr>
              <w:t>endéans</w:t>
            </w:r>
            <w:r>
              <w:rPr>
                <w:b/>
                <w:bCs/>
                <w:u w:val="single"/>
              </w:rPr>
              <w:t xml:space="preserve"> une</w:t>
            </w:r>
            <w:r w:rsidRPr="00736304">
              <w:rPr>
                <w:b/>
                <w:bCs/>
                <w:u w:val="single"/>
              </w:rPr>
              <w:t xml:space="preserve"> période de 12 mois</w:t>
            </w:r>
            <w:r w:rsidRPr="00736304">
              <w:t>.</w:t>
            </w:r>
          </w:p>
        </w:tc>
      </w:tr>
      <w:tr w:rsidR="00407B8C" w:rsidRPr="00E012EE" w14:paraId="65C614BC" w14:textId="77777777" w:rsidTr="009249EA">
        <w:trPr>
          <w:trHeight w:val="615"/>
        </w:trPr>
        <w:tc>
          <w:tcPr>
            <w:tcW w:w="2220" w:type="dxa"/>
            <w:noWrap/>
          </w:tcPr>
          <w:p w14:paraId="763F1CFF" w14:textId="77777777" w:rsidR="00407B8C" w:rsidRPr="00736304" w:rsidRDefault="00407B8C" w:rsidP="009249EA">
            <w:pPr>
              <w:spacing w:after="0" w:line="240" w:lineRule="auto"/>
              <w:rPr>
                <w:rFonts w:ascii="Calibri" w:eastAsia="Times New Roman" w:hAnsi="Calibri" w:cs="Calibri"/>
                <w:lang w:eastAsia="nl-NL"/>
              </w:rPr>
            </w:pPr>
            <w:r w:rsidRPr="00736304">
              <w:rPr>
                <w:rFonts w:ascii="Calibri" w:eastAsia="Times New Roman" w:hAnsi="Calibri" w:cs="Calibri"/>
                <w:lang w:eastAsia="nl-NL"/>
              </w:rPr>
              <w:t xml:space="preserve">Règle diagnostique </w:t>
            </w:r>
            <w:r>
              <w:rPr>
                <w:rFonts w:ascii="Calibri" w:eastAsia="Times New Roman" w:hAnsi="Calibri" w:cs="Calibri"/>
                <w:lang w:eastAsia="nl-NL"/>
              </w:rPr>
              <w:t>7</w:t>
            </w:r>
          </w:p>
        </w:tc>
        <w:tc>
          <w:tcPr>
            <w:tcW w:w="8167" w:type="dxa"/>
            <w:noWrap/>
          </w:tcPr>
          <w:p w14:paraId="6E484683" w14:textId="77777777" w:rsidR="00407B8C" w:rsidRPr="00A93B4A" w:rsidRDefault="00407B8C" w:rsidP="009249EA">
            <w:pPr>
              <w:spacing w:after="0" w:line="240" w:lineRule="auto"/>
            </w:pPr>
            <w:r w:rsidRPr="00A93B4A">
              <w:t>Le code de pseudonomenclature</w:t>
            </w:r>
            <w:r w:rsidRPr="00961D74">
              <w:t xml:space="preserve"> </w:t>
            </w:r>
            <w:r w:rsidRPr="00736304">
              <w:t xml:space="preserve">n'est pas cumulable </w:t>
            </w:r>
            <w:r w:rsidRPr="00736304">
              <w:rPr>
                <w:b/>
                <w:bCs/>
                <w:u w:val="single"/>
              </w:rPr>
              <w:t>pendant la phase d'investigation diagnostique</w:t>
            </w:r>
            <w:r w:rsidRPr="00736304">
              <w:t xml:space="preserve"> avec les prestations</w:t>
            </w:r>
            <w:r>
              <w:t xml:space="preserve"> </w:t>
            </w:r>
            <w:r w:rsidRPr="00961D74">
              <w:t>565154-565165, 565515-565526, 565530-565541 of 565552-565563</w:t>
            </w:r>
            <w: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r>
              <w:rPr>
                <w:b/>
                <w:bCs/>
                <w:u w:val="single"/>
                <w:lang w:val="fr-BE"/>
              </w:rPr>
              <w:t xml:space="preserve"> </w:t>
            </w:r>
          </w:p>
        </w:tc>
      </w:tr>
      <w:tr w:rsidR="00C557B0" w:rsidRPr="00E012EE" w14:paraId="139FC19E" w14:textId="77777777" w:rsidTr="009249EA">
        <w:trPr>
          <w:trHeight w:val="615"/>
        </w:trPr>
        <w:tc>
          <w:tcPr>
            <w:tcW w:w="2220" w:type="dxa"/>
            <w:noWrap/>
          </w:tcPr>
          <w:p w14:paraId="27CCF649" w14:textId="5D555A15" w:rsidR="00C557B0" w:rsidRPr="00736304" w:rsidRDefault="0058615B" w:rsidP="009249EA">
            <w:pPr>
              <w:spacing w:after="0" w:line="240" w:lineRule="auto"/>
              <w:rPr>
                <w:rFonts w:ascii="Calibri" w:eastAsia="Times New Roman" w:hAnsi="Calibri" w:cs="Calibri"/>
                <w:lang w:eastAsia="nl-NL"/>
              </w:rPr>
            </w:pPr>
            <w:r>
              <w:rPr>
                <w:rFonts w:ascii="Calibri" w:eastAsia="Times New Roman" w:hAnsi="Calibri" w:cs="Calibri"/>
                <w:lang w:eastAsia="nl-NL"/>
              </w:rPr>
              <w:t xml:space="preserve">Règle diagnostique </w:t>
            </w:r>
            <w:r w:rsidR="00687086">
              <w:rPr>
                <w:rFonts w:ascii="Calibri" w:eastAsia="Times New Roman" w:hAnsi="Calibri" w:cs="Calibri"/>
                <w:lang w:eastAsia="nl-NL"/>
              </w:rPr>
              <w:t>8</w:t>
            </w:r>
          </w:p>
        </w:tc>
        <w:tc>
          <w:tcPr>
            <w:tcW w:w="8167" w:type="dxa"/>
            <w:noWrap/>
          </w:tcPr>
          <w:p w14:paraId="7D1116AC" w14:textId="5D420113" w:rsidR="00C557B0" w:rsidRPr="00A93B4A" w:rsidRDefault="0058615B" w:rsidP="009249EA">
            <w:pPr>
              <w:spacing w:after="0" w:line="240" w:lineRule="auto"/>
            </w:pPr>
            <w:r w:rsidRPr="00736304">
              <w:t xml:space="preserve">Le </w:t>
            </w:r>
            <w:r>
              <w:t>code de pseudonomenclature n</w:t>
            </w:r>
            <w:r w:rsidRPr="00736304">
              <w:t xml:space="preserve">'est facturable que si le pseudo-code </w:t>
            </w:r>
            <w:r w:rsidR="009F06BE" w:rsidRPr="009F06BE">
              <w:t>536034-536045</w:t>
            </w:r>
            <w:r>
              <w:t xml:space="preserve"> </w:t>
            </w:r>
            <w:r w:rsidRPr="00736304">
              <w:t xml:space="preserve"> est également facturé </w:t>
            </w:r>
            <w:r w:rsidRPr="009F5717">
              <w:rPr>
                <w:b/>
                <w:bCs/>
                <w:u w:val="single"/>
              </w:rPr>
              <w:t>pendant la phase d’investigation diagnostique</w:t>
            </w:r>
            <w:r w:rsidRPr="00736304">
              <w:rPr>
                <w:b/>
                <w:bCs/>
              </w:rPr>
              <w:t>.</w:t>
            </w:r>
          </w:p>
        </w:tc>
      </w:tr>
      <w:tr w:rsidR="00C557B0" w:rsidRPr="00E012EE" w14:paraId="44A464E0" w14:textId="77777777" w:rsidTr="009249EA">
        <w:trPr>
          <w:trHeight w:val="615"/>
        </w:trPr>
        <w:tc>
          <w:tcPr>
            <w:tcW w:w="2220" w:type="dxa"/>
            <w:noWrap/>
          </w:tcPr>
          <w:p w14:paraId="10B22457" w14:textId="6C5966A4" w:rsidR="00C557B0" w:rsidRPr="00736304" w:rsidRDefault="0058615B" w:rsidP="009249EA">
            <w:pPr>
              <w:spacing w:after="0" w:line="240" w:lineRule="auto"/>
              <w:rPr>
                <w:rFonts w:ascii="Calibri" w:eastAsia="Times New Roman" w:hAnsi="Calibri" w:cs="Calibri"/>
                <w:lang w:eastAsia="nl-NL"/>
              </w:rPr>
            </w:pPr>
            <w:r>
              <w:rPr>
                <w:rFonts w:ascii="Calibri" w:eastAsia="Times New Roman" w:hAnsi="Calibri" w:cs="Calibri"/>
                <w:lang w:eastAsia="nl-NL"/>
              </w:rPr>
              <w:t xml:space="preserve">Règle diagnostique </w:t>
            </w:r>
            <w:r w:rsidR="00687086">
              <w:rPr>
                <w:rFonts w:ascii="Calibri" w:eastAsia="Times New Roman" w:hAnsi="Calibri" w:cs="Calibri"/>
                <w:lang w:eastAsia="nl-NL"/>
              </w:rPr>
              <w:t>9</w:t>
            </w:r>
          </w:p>
        </w:tc>
        <w:tc>
          <w:tcPr>
            <w:tcW w:w="8167" w:type="dxa"/>
            <w:noWrap/>
          </w:tcPr>
          <w:p w14:paraId="1D28E34B" w14:textId="107B5DFB" w:rsidR="00C557B0" w:rsidRPr="00A93B4A" w:rsidRDefault="006B7138" w:rsidP="009249EA">
            <w:pPr>
              <w:spacing w:after="0" w:line="240" w:lineRule="auto"/>
            </w:pPr>
            <w:r w:rsidRPr="00736304">
              <w:t xml:space="preserve">Le </w:t>
            </w:r>
            <w:r>
              <w:t>code de pseudonomenclature n</w:t>
            </w:r>
            <w:r w:rsidRPr="00736304">
              <w:t xml:space="preserve">'est facturable que si le pseudo-code </w:t>
            </w:r>
            <w:r w:rsidR="009F06BE" w:rsidRPr="009F06BE">
              <w:t>536071-536082</w:t>
            </w:r>
            <w:r w:rsidRPr="00736304">
              <w:t xml:space="preserve"> est également facturé </w:t>
            </w:r>
            <w:r w:rsidRPr="009F5717">
              <w:rPr>
                <w:b/>
                <w:bCs/>
                <w:u w:val="single"/>
              </w:rPr>
              <w:t>pendant la phase d’investigation diagnostique</w:t>
            </w:r>
            <w:r w:rsidRPr="00736304">
              <w:rPr>
                <w:b/>
                <w:bCs/>
              </w:rPr>
              <w:t>.</w:t>
            </w:r>
          </w:p>
        </w:tc>
      </w:tr>
      <w:tr w:rsidR="00C557B0" w:rsidRPr="00E012EE" w14:paraId="5791EEFF" w14:textId="77777777" w:rsidTr="009249EA">
        <w:trPr>
          <w:trHeight w:val="615"/>
        </w:trPr>
        <w:tc>
          <w:tcPr>
            <w:tcW w:w="2220" w:type="dxa"/>
            <w:noWrap/>
          </w:tcPr>
          <w:p w14:paraId="571CFE4B" w14:textId="266B862B" w:rsidR="00C557B0" w:rsidRPr="00736304" w:rsidRDefault="0058615B" w:rsidP="009249EA">
            <w:pPr>
              <w:spacing w:after="0" w:line="240" w:lineRule="auto"/>
              <w:rPr>
                <w:rFonts w:ascii="Calibri" w:eastAsia="Times New Roman" w:hAnsi="Calibri" w:cs="Calibri"/>
                <w:lang w:eastAsia="nl-NL"/>
              </w:rPr>
            </w:pPr>
            <w:r>
              <w:rPr>
                <w:rFonts w:ascii="Calibri" w:eastAsia="Times New Roman" w:hAnsi="Calibri" w:cs="Calibri"/>
                <w:lang w:eastAsia="nl-NL"/>
              </w:rPr>
              <w:lastRenderedPageBreak/>
              <w:t xml:space="preserve">Règle diagnostique </w:t>
            </w:r>
            <w:r w:rsidR="00687086">
              <w:rPr>
                <w:rFonts w:ascii="Calibri" w:eastAsia="Times New Roman" w:hAnsi="Calibri" w:cs="Calibri"/>
                <w:lang w:eastAsia="nl-NL"/>
              </w:rPr>
              <w:t>10</w:t>
            </w:r>
          </w:p>
        </w:tc>
        <w:tc>
          <w:tcPr>
            <w:tcW w:w="8167" w:type="dxa"/>
            <w:noWrap/>
          </w:tcPr>
          <w:p w14:paraId="0E546ACD" w14:textId="0368D8E9" w:rsidR="00C557B0" w:rsidRPr="00A93B4A" w:rsidRDefault="006B7138" w:rsidP="009249EA">
            <w:pPr>
              <w:spacing w:after="0" w:line="240" w:lineRule="auto"/>
            </w:pPr>
            <w:r w:rsidRPr="00736304">
              <w:t xml:space="preserve">Le </w:t>
            </w:r>
            <w:r>
              <w:t>code de pseudonomenclature n</w:t>
            </w:r>
            <w:r w:rsidRPr="00736304">
              <w:t xml:space="preserve">'est facturable que si le pseudo-code </w:t>
            </w:r>
            <w:r w:rsidRPr="00CA58C3">
              <w:t xml:space="preserve">535032-535043 </w:t>
            </w:r>
            <w:r>
              <w:t xml:space="preserve">, </w:t>
            </w:r>
            <w:r w:rsidRPr="00CA58C3">
              <w:t xml:space="preserve">535054-535065 </w:t>
            </w:r>
            <w:r>
              <w:t xml:space="preserve">, </w:t>
            </w:r>
            <w:r w:rsidRPr="00CA58C3">
              <w:t>535076-535080</w:t>
            </w:r>
            <w:r>
              <w:t xml:space="preserve">, </w:t>
            </w:r>
            <w:r w:rsidRPr="00CA58C3">
              <w:t xml:space="preserve">535231-535242 </w:t>
            </w:r>
            <w:r>
              <w:t xml:space="preserve">, </w:t>
            </w:r>
            <w:r w:rsidRPr="00CA58C3">
              <w:t>535356-535360</w:t>
            </w:r>
            <w:r>
              <w:t xml:space="preserve"> ou </w:t>
            </w:r>
            <w:r w:rsidR="009F06BE" w:rsidRPr="009F06BE">
              <w:t>536034-536045</w:t>
            </w:r>
            <w:r w:rsidRPr="00736304">
              <w:t xml:space="preserve"> est également facturé </w:t>
            </w:r>
            <w:r w:rsidRPr="009F5717">
              <w:rPr>
                <w:b/>
                <w:bCs/>
                <w:u w:val="single"/>
              </w:rPr>
              <w:t>pendant la phase d’investigation diagnostique</w:t>
            </w:r>
            <w:r w:rsidRPr="00736304">
              <w:rPr>
                <w:b/>
                <w:bCs/>
              </w:rPr>
              <w:t>.</w:t>
            </w:r>
          </w:p>
        </w:tc>
      </w:tr>
      <w:tr w:rsidR="00C557B0" w:rsidRPr="00E012EE" w14:paraId="30296B07" w14:textId="77777777" w:rsidTr="009249EA">
        <w:trPr>
          <w:trHeight w:val="615"/>
        </w:trPr>
        <w:tc>
          <w:tcPr>
            <w:tcW w:w="2220" w:type="dxa"/>
            <w:noWrap/>
          </w:tcPr>
          <w:p w14:paraId="49A61D0B" w14:textId="1E300164" w:rsidR="00C557B0" w:rsidRPr="00736304" w:rsidRDefault="0058615B" w:rsidP="009249EA">
            <w:pPr>
              <w:spacing w:after="0" w:line="240" w:lineRule="auto"/>
              <w:rPr>
                <w:rFonts w:ascii="Calibri" w:eastAsia="Times New Roman" w:hAnsi="Calibri" w:cs="Calibri"/>
                <w:lang w:eastAsia="nl-NL"/>
              </w:rPr>
            </w:pPr>
            <w:r>
              <w:rPr>
                <w:rFonts w:ascii="Calibri" w:eastAsia="Times New Roman" w:hAnsi="Calibri" w:cs="Calibri"/>
                <w:lang w:eastAsia="nl-NL"/>
              </w:rPr>
              <w:t xml:space="preserve">Règle diagnostique </w:t>
            </w:r>
            <w:r w:rsidR="00687086">
              <w:rPr>
                <w:rFonts w:ascii="Calibri" w:eastAsia="Times New Roman" w:hAnsi="Calibri" w:cs="Calibri"/>
                <w:lang w:eastAsia="nl-NL"/>
              </w:rPr>
              <w:t>31</w:t>
            </w:r>
          </w:p>
        </w:tc>
        <w:tc>
          <w:tcPr>
            <w:tcW w:w="8167" w:type="dxa"/>
            <w:noWrap/>
          </w:tcPr>
          <w:p w14:paraId="04B50910" w14:textId="664DF31B" w:rsidR="00C557B0" w:rsidRPr="00A93B4A" w:rsidRDefault="006B7138" w:rsidP="009249EA">
            <w:pPr>
              <w:spacing w:after="0" w:line="240" w:lineRule="auto"/>
            </w:pPr>
            <w:r w:rsidRPr="00736304">
              <w:t xml:space="preserve">Le </w:t>
            </w:r>
            <w:r>
              <w:t>code de pseudonomenclature n</w:t>
            </w:r>
            <w:r w:rsidRPr="00736304">
              <w:t xml:space="preserve">'est facturable que si le pseudo-code </w:t>
            </w:r>
            <w:r w:rsidRPr="00CA58C3">
              <w:t>535091-535102</w:t>
            </w:r>
            <w:r>
              <w:t xml:space="preserve"> ou </w:t>
            </w:r>
            <w:r w:rsidR="009F06BE" w:rsidRPr="009F06BE">
              <w:t>536056-536060</w:t>
            </w:r>
            <w:r w:rsidRPr="00736304">
              <w:t xml:space="preserve"> est également facturé </w:t>
            </w:r>
            <w:r w:rsidRPr="009F5717">
              <w:rPr>
                <w:b/>
                <w:bCs/>
                <w:u w:val="single"/>
              </w:rPr>
              <w:t>pendant la phase d’investigation diagnostique</w:t>
            </w:r>
            <w:r w:rsidRPr="00736304">
              <w:rPr>
                <w:b/>
                <w:bCs/>
              </w:rPr>
              <w:t>.</w:t>
            </w:r>
          </w:p>
        </w:tc>
      </w:tr>
    </w:tbl>
    <w:p w14:paraId="4B56CC2B" w14:textId="77777777" w:rsidR="00407B8C" w:rsidRPr="00736304" w:rsidRDefault="00407B8C" w:rsidP="00407B8C">
      <w:pPr>
        <w:rPr>
          <w:rFonts w:asciiTheme="majorHAnsi" w:eastAsiaTheme="majorEastAsia" w:hAnsiTheme="majorHAnsi" w:cstheme="majorBidi"/>
          <w:color w:val="365F91" w:themeColor="accent1" w:themeShade="BF"/>
          <w:sz w:val="32"/>
          <w:szCs w:val="32"/>
        </w:rPr>
      </w:pPr>
      <w:r w:rsidRPr="00736304">
        <w:br w:type="page"/>
      </w:r>
    </w:p>
    <w:p w14:paraId="5BE37BD7" w14:textId="77777777" w:rsidR="00407B8C" w:rsidRPr="00407B8C" w:rsidRDefault="00407B8C" w:rsidP="00407B8C">
      <w:pPr>
        <w:pStyle w:val="Subtitle"/>
        <w:rPr>
          <w:rStyle w:val="Emphasis"/>
          <w:color w:val="0070C0"/>
          <w:sz w:val="32"/>
          <w:szCs w:val="32"/>
          <w:lang w:val="fr-FR"/>
        </w:rPr>
      </w:pPr>
      <w:bookmarkStart w:id="5" w:name="_Toc167180246"/>
      <w:r w:rsidRPr="00407B8C">
        <w:rPr>
          <w:rStyle w:val="Emphasis"/>
          <w:color w:val="0070C0"/>
          <w:sz w:val="32"/>
          <w:szCs w:val="32"/>
          <w:lang w:val="fr-FR"/>
        </w:rPr>
        <w:lastRenderedPageBreak/>
        <w:t>Codes de pseudonomenclature pour des test NGS ou RNASeq</w:t>
      </w:r>
      <w:bookmarkEnd w:id="5"/>
    </w:p>
    <w:p w14:paraId="4112C85D" w14:textId="77777777" w:rsidR="00407B8C" w:rsidRPr="00736304" w:rsidRDefault="00407B8C" w:rsidP="00407B8C"/>
    <w:p w14:paraId="089D68C9" w14:textId="77777777" w:rsidR="00407B8C" w:rsidRPr="003D4A3F" w:rsidRDefault="00407B8C" w:rsidP="0040407D">
      <w:pPr>
        <w:pStyle w:val="Heading3"/>
        <w:rPr>
          <w:szCs w:val="26"/>
        </w:rPr>
      </w:pPr>
      <w:bookmarkStart w:id="6" w:name="_Toc167180247"/>
      <w:bookmarkStart w:id="7" w:name="_Toc215211247"/>
      <w:r w:rsidRPr="003D4A3F">
        <w:rPr>
          <w:szCs w:val="26"/>
        </w:rPr>
        <w:t>535010-535021 : NGS pour un carcinome colorectal métastatique</w:t>
      </w:r>
      <w:bookmarkEnd w:id="6"/>
      <w:bookmarkEnd w:id="7"/>
    </w:p>
    <w:p w14:paraId="19C9A80F" w14:textId="77777777" w:rsidR="00407B8C" w:rsidRPr="00736304" w:rsidRDefault="00407B8C" w:rsidP="00407B8C"/>
    <w:p w14:paraId="68411466" w14:textId="77777777" w:rsidR="00407B8C" w:rsidRPr="00736304" w:rsidRDefault="00407B8C" w:rsidP="00407B8C">
      <w:r w:rsidRPr="00736304">
        <w:t>Remboursement : 600 €</w:t>
      </w:r>
    </w:p>
    <w:p w14:paraId="23B87BCD" w14:textId="77777777" w:rsidR="00407B8C" w:rsidRPr="00736304" w:rsidRDefault="00407B8C" w:rsidP="00407B8C">
      <w:r w:rsidRPr="00736304">
        <w:t>Indication:</w:t>
      </w:r>
    </w:p>
    <w:p w14:paraId="77722CC7" w14:textId="77777777" w:rsidR="00407B8C" w:rsidRPr="00736304" w:rsidRDefault="00407B8C" w:rsidP="00407B8C">
      <w:pPr>
        <w:pStyle w:val="ListParagraph"/>
        <w:numPr>
          <w:ilvl w:val="0"/>
          <w:numId w:val="15"/>
        </w:numPr>
        <w:spacing w:after="160" w:line="259" w:lineRule="auto"/>
        <w:rPr>
          <w:lang w:val="fr-FR"/>
        </w:rPr>
      </w:pPr>
      <w:r w:rsidRPr="00736304">
        <w:rPr>
          <w:lang w:val="fr-FR"/>
        </w:rPr>
        <w:t>carcinome colorectal métastatique</w:t>
      </w:r>
    </w:p>
    <w:p w14:paraId="722CCF2B" w14:textId="77777777" w:rsidR="00407B8C" w:rsidRPr="00736304" w:rsidRDefault="00407B8C" w:rsidP="00407B8C"/>
    <w:p w14:paraId="3C148EA5" w14:textId="77777777" w:rsidR="00407B8C" w:rsidRPr="00736304" w:rsidRDefault="00407B8C" w:rsidP="00407B8C">
      <w:r w:rsidRPr="00736304">
        <w:t>Biomarqueurs minimaux à tester :</w:t>
      </w:r>
    </w:p>
    <w:p w14:paraId="7BB12AAD"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BRAF (exon 15 (codon 600)) </w:t>
      </w:r>
      <w:r w:rsidRPr="00736304">
        <w:rPr>
          <w:lang w:val="fr-FR"/>
        </w:rPr>
        <w:tab/>
      </w:r>
      <w:r w:rsidRPr="00736304">
        <w:rPr>
          <w:b/>
          <w:bCs/>
          <w:lang w:val="fr-FR"/>
        </w:rPr>
        <w:t>pronostic/thérapie</w:t>
      </w:r>
    </w:p>
    <w:p w14:paraId="56BF2DC6"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KRAS (exon 2 (codons 12,13), exon 3 (codons 59, 61), exon 4 (codons 117, 146) </w:t>
      </w:r>
      <w:r w:rsidRPr="00736304">
        <w:rPr>
          <w:lang w:val="fr-FR"/>
        </w:rPr>
        <w:tab/>
      </w:r>
      <w:r w:rsidRPr="00736304">
        <w:rPr>
          <w:b/>
          <w:bCs/>
          <w:lang w:val="fr-FR"/>
        </w:rPr>
        <w:t>thérapie</w:t>
      </w:r>
    </w:p>
    <w:p w14:paraId="7F4BF9BD"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NRAS (exon 2 (codons 12,13), exon 3 (codons 59, 61), exon 4 (codons 117, 146)) </w:t>
      </w:r>
      <w:r w:rsidRPr="00736304">
        <w:rPr>
          <w:lang w:val="fr-FR"/>
        </w:rPr>
        <w:tab/>
      </w:r>
      <w:r w:rsidRPr="00736304">
        <w:rPr>
          <w:b/>
          <w:bCs/>
          <w:lang w:val="fr-FR"/>
        </w:rPr>
        <w:t>thérapie</w:t>
      </w:r>
    </w:p>
    <w:p w14:paraId="20B8CEAF" w14:textId="77777777" w:rsidR="00407B8C" w:rsidRPr="00736304" w:rsidRDefault="00407B8C" w:rsidP="00407B8C">
      <w:pPr>
        <w:tabs>
          <w:tab w:val="right" w:pos="9214"/>
        </w:tabs>
      </w:pPr>
    </w:p>
    <w:p w14:paraId="6CDDCF56" w14:textId="77777777" w:rsidR="00407B8C" w:rsidRPr="00736304" w:rsidRDefault="00407B8C" w:rsidP="00407B8C">
      <w:pPr>
        <w:tabs>
          <w:tab w:val="right" w:pos="9214"/>
        </w:tabs>
      </w:pPr>
      <w:r w:rsidRPr="00736304">
        <w:t>Enregistrement obligatoire dans PITTER :</w:t>
      </w:r>
    </w:p>
    <w:p w14:paraId="14680630" w14:textId="77777777" w:rsidR="00407B8C" w:rsidRDefault="00407B8C" w:rsidP="00407B8C">
      <w:pPr>
        <w:pStyle w:val="ListParagraph"/>
        <w:numPr>
          <w:ilvl w:val="0"/>
          <w:numId w:val="16"/>
        </w:numPr>
        <w:tabs>
          <w:tab w:val="right" w:pos="9214"/>
        </w:tabs>
        <w:spacing w:after="160" w:line="259" w:lineRule="auto"/>
        <w:rPr>
          <w:lang w:val="fr-FR"/>
        </w:rPr>
      </w:pPr>
      <w:r w:rsidRPr="00736304">
        <w:rPr>
          <w:lang w:val="fr-FR"/>
        </w:rPr>
        <w:t>594274 – 594285 : «Analyse du statut mutationnel des gènes RAS en cas de carcinome colorectal métastatique primaire»</w:t>
      </w:r>
    </w:p>
    <w:p w14:paraId="522BB859" w14:textId="568B0CEF" w:rsidR="00BB2557" w:rsidRPr="00BB2557" w:rsidRDefault="00BB2557" w:rsidP="00BB2557">
      <w:pPr>
        <w:pStyle w:val="ListParagraph"/>
        <w:numPr>
          <w:ilvl w:val="0"/>
          <w:numId w:val="16"/>
        </w:numPr>
        <w:tabs>
          <w:tab w:val="right" w:pos="9214"/>
        </w:tabs>
        <w:spacing w:after="160" w:line="259" w:lineRule="auto"/>
        <w:rPr>
          <w:lang w:val="fr-FR"/>
        </w:rPr>
      </w:pPr>
      <w:r w:rsidRPr="00BB2557">
        <w:rPr>
          <w:lang w:val="fr-FR"/>
        </w:rPr>
        <w:t>595372 – 595383 : « Analyse du statut mutationnel du gène BRAF V600 en cas d’un cancer colorectal métastasé »</w:t>
      </w:r>
    </w:p>
    <w:p w14:paraId="75C2214C" w14:textId="77777777" w:rsidR="00407B8C" w:rsidRPr="00736304" w:rsidRDefault="00407B8C" w:rsidP="00407B8C">
      <w:pPr>
        <w:tabs>
          <w:tab w:val="right" w:pos="9214"/>
        </w:tabs>
      </w:pPr>
    </w:p>
    <w:p w14:paraId="338453DA" w14:textId="77777777" w:rsidR="00407B8C" w:rsidRPr="00736304" w:rsidRDefault="00407B8C" w:rsidP="00407B8C">
      <w:pPr>
        <w:tabs>
          <w:tab w:val="right" w:pos="9214"/>
        </w:tabs>
      </w:pPr>
      <w:r w:rsidRPr="00736304">
        <w:t>Règles de cumul :</w:t>
      </w:r>
    </w:p>
    <w:p w14:paraId="769193C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9DE50D8"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70D04083"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A1CB3">
        <w:rPr>
          <w:b/>
          <w:bCs/>
          <w:u w:val="single"/>
          <w:lang w:val="fr-FR"/>
        </w:rPr>
        <w:t>diagnostique</w:t>
      </w:r>
      <w:r w:rsidRPr="00736304">
        <w:rPr>
          <w:lang w:val="fr-FR"/>
        </w:rPr>
        <w:t>, avec les prestations 588534-588545, 587915-587926 et 588770-588781 de l'article 33bis.</w:t>
      </w:r>
    </w:p>
    <w:p w14:paraId="0047DDD3"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A1CB3">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6015A16C"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38DE87CD" w14:textId="77777777" w:rsidR="00407B8C" w:rsidRPr="00736304" w:rsidRDefault="00407B8C" w:rsidP="00407B8C">
      <w:r w:rsidRPr="00736304">
        <w:br w:type="page"/>
      </w:r>
    </w:p>
    <w:p w14:paraId="4C0C83FC" w14:textId="77777777" w:rsidR="00407B8C" w:rsidRPr="00096D02" w:rsidRDefault="00407B8C" w:rsidP="0040407D">
      <w:pPr>
        <w:pStyle w:val="Heading3"/>
      </w:pPr>
      <w:bookmarkStart w:id="8" w:name="_Toc167180248"/>
      <w:bookmarkStart w:id="9" w:name="_Toc215211248"/>
      <w:r w:rsidRPr="00096D02">
        <w:lastRenderedPageBreak/>
        <w:t>535032-535043 : NGS pour un carcinome pulmonaire non squameux</w:t>
      </w:r>
      <w:bookmarkEnd w:id="8"/>
      <w:bookmarkEnd w:id="9"/>
    </w:p>
    <w:p w14:paraId="17304373" w14:textId="77777777" w:rsidR="00407B8C" w:rsidRPr="00736304" w:rsidRDefault="00407B8C" w:rsidP="00407B8C"/>
    <w:p w14:paraId="319851A5" w14:textId="77777777" w:rsidR="00407B8C" w:rsidRPr="00736304" w:rsidRDefault="00407B8C" w:rsidP="00407B8C">
      <w:r w:rsidRPr="00736304">
        <w:t>Remboursement : 600 €</w:t>
      </w:r>
    </w:p>
    <w:p w14:paraId="3B80E9A1" w14:textId="77777777" w:rsidR="00407B8C" w:rsidRPr="00736304" w:rsidRDefault="00407B8C" w:rsidP="00407B8C">
      <w:r w:rsidRPr="00736304">
        <w:t>Indication:</w:t>
      </w:r>
    </w:p>
    <w:p w14:paraId="5B8F924A" w14:textId="77777777" w:rsidR="00407B8C"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Carcinome non squameux (présence d’un composant ADC ou carcinome peu différencié pour lequel un ADC ne peut être exclu) </w:t>
      </w:r>
    </w:p>
    <w:p w14:paraId="0A5D4238" w14:textId="0447542F" w:rsidR="00CF5D2C" w:rsidRPr="00736304" w:rsidRDefault="00CF5D2C" w:rsidP="00407B8C">
      <w:pPr>
        <w:pStyle w:val="ListParagraph"/>
        <w:numPr>
          <w:ilvl w:val="0"/>
          <w:numId w:val="15"/>
        </w:numPr>
        <w:tabs>
          <w:tab w:val="right" w:pos="9214"/>
        </w:tabs>
        <w:spacing w:after="160" w:line="259" w:lineRule="auto"/>
        <w:rPr>
          <w:lang w:val="fr-FR"/>
        </w:rPr>
      </w:pPr>
      <w:r>
        <w:rPr>
          <w:lang w:val="fr-FR"/>
        </w:rPr>
        <w:t xml:space="preserve">Sur tissu tumoral ou sur </w:t>
      </w:r>
      <w:r w:rsidR="00246BA7">
        <w:rPr>
          <w:lang w:val="fr-FR"/>
        </w:rPr>
        <w:t>biopsie liquide</w:t>
      </w:r>
      <w:r>
        <w:rPr>
          <w:lang w:val="fr-FR"/>
        </w:rPr>
        <w:t xml:space="preserve"> </w:t>
      </w:r>
      <w:r w:rsidR="00DF772F">
        <w:rPr>
          <w:lang w:val="fr-FR"/>
        </w:rPr>
        <w:t>(</w:t>
      </w:r>
      <w:r>
        <w:rPr>
          <w:lang w:val="fr-FR"/>
        </w:rPr>
        <w:t>si le tissu tumoral n’est pas disponible</w:t>
      </w:r>
      <w:r w:rsidR="00DF772F">
        <w:rPr>
          <w:lang w:val="fr-FR"/>
        </w:rPr>
        <w:t>)</w:t>
      </w:r>
    </w:p>
    <w:p w14:paraId="2DEC01B1" w14:textId="77777777" w:rsidR="00407B8C" w:rsidRPr="00736304" w:rsidRDefault="00407B8C" w:rsidP="00407B8C"/>
    <w:p w14:paraId="5209B0DA" w14:textId="77777777" w:rsidR="00407B8C" w:rsidRPr="00736304" w:rsidRDefault="00407B8C" w:rsidP="00407B8C">
      <w:r w:rsidRPr="00736304">
        <w:t>Biomarqueurs minimaux à tester :</w:t>
      </w:r>
    </w:p>
    <w:p w14:paraId="58D274F5" w14:textId="77777777" w:rsidR="00407B8C" w:rsidRPr="00736304" w:rsidRDefault="00407B8C" w:rsidP="00407B8C">
      <w:pPr>
        <w:pStyle w:val="ListParagraph"/>
        <w:numPr>
          <w:ilvl w:val="0"/>
          <w:numId w:val="15"/>
        </w:numPr>
        <w:tabs>
          <w:tab w:val="right" w:pos="9214"/>
        </w:tabs>
        <w:spacing w:after="160" w:line="259" w:lineRule="auto"/>
        <w:rPr>
          <w:b/>
          <w:bCs/>
          <w:lang w:val="fr-FR"/>
        </w:rPr>
      </w:pPr>
      <w:r w:rsidRPr="00736304">
        <w:rPr>
          <w:lang w:val="fr-FR"/>
        </w:rPr>
        <w:t xml:space="preserve">BRAF (exon 15 (codon 600)) </w:t>
      </w:r>
      <w:r w:rsidRPr="00736304">
        <w:rPr>
          <w:lang w:val="fr-FR"/>
        </w:rPr>
        <w:tab/>
      </w:r>
      <w:r w:rsidRPr="00736304">
        <w:rPr>
          <w:b/>
          <w:bCs/>
          <w:lang w:val="fr-FR"/>
        </w:rPr>
        <w:t>thérapie</w:t>
      </w:r>
    </w:p>
    <w:p w14:paraId="1CDDCC13"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EGFR (exon 18, exon 19, exon 20, exon 21) </w:t>
      </w:r>
      <w:r w:rsidRPr="00736304">
        <w:rPr>
          <w:lang w:val="fr-FR"/>
        </w:rPr>
        <w:tab/>
      </w:r>
      <w:r w:rsidRPr="00736304">
        <w:rPr>
          <w:b/>
          <w:bCs/>
          <w:lang w:val="fr-FR"/>
        </w:rPr>
        <w:t>thérapie</w:t>
      </w:r>
    </w:p>
    <w:p w14:paraId="03EAAC0E"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KRAS (exon 2 (codons 12,13), exon 3 (codons 59, 61),exon 4 (codons 117, 146)) </w:t>
      </w:r>
      <w:r w:rsidRPr="00736304">
        <w:rPr>
          <w:lang w:val="fr-FR"/>
        </w:rPr>
        <w:tab/>
      </w:r>
      <w:r w:rsidRPr="00736304">
        <w:rPr>
          <w:b/>
          <w:bCs/>
          <w:lang w:val="fr-FR"/>
        </w:rPr>
        <w:t xml:space="preserve">pronostic </w:t>
      </w:r>
    </w:p>
    <w:p w14:paraId="5CD73C92"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MET exon 14 skipping</w:t>
      </w:r>
      <w:r w:rsidRPr="00736304">
        <w:rPr>
          <w:lang w:val="fr-FR"/>
        </w:rPr>
        <w:tab/>
      </w:r>
      <w:r w:rsidRPr="00736304">
        <w:rPr>
          <w:b/>
          <w:bCs/>
          <w:lang w:val="fr-FR"/>
        </w:rPr>
        <w:t>thérapie</w:t>
      </w:r>
    </w:p>
    <w:p w14:paraId="483BA2AD" w14:textId="01AFB9EA" w:rsidR="00407B8C" w:rsidRPr="00736304" w:rsidRDefault="00CF5D2C" w:rsidP="00407B8C">
      <w:pPr>
        <w:pStyle w:val="ListParagraph"/>
        <w:numPr>
          <w:ilvl w:val="0"/>
          <w:numId w:val="15"/>
        </w:numPr>
        <w:tabs>
          <w:tab w:val="right" w:pos="9214"/>
        </w:tabs>
        <w:spacing w:after="160" w:line="259" w:lineRule="auto"/>
        <w:rPr>
          <w:lang w:val="fr-FR"/>
        </w:rPr>
      </w:pPr>
      <w:r>
        <w:rPr>
          <w:lang w:val="fr-FR"/>
        </w:rPr>
        <w:t>ERBB2 (exon 8, exon 19, exon 20, exon 21)</w:t>
      </w:r>
      <w:r w:rsidR="00407B8C" w:rsidRPr="00736304">
        <w:rPr>
          <w:lang w:val="fr-FR"/>
        </w:rPr>
        <w:tab/>
      </w:r>
      <w:r w:rsidR="00407B8C" w:rsidRPr="00736304">
        <w:rPr>
          <w:b/>
          <w:bCs/>
          <w:lang w:val="fr-FR"/>
        </w:rPr>
        <w:t>thérapie</w:t>
      </w:r>
      <w:r w:rsidR="00407B8C" w:rsidRPr="00736304">
        <w:rPr>
          <w:lang w:val="fr-FR"/>
        </w:rPr>
        <w:t xml:space="preserve"> </w:t>
      </w:r>
    </w:p>
    <w:p w14:paraId="32DCA76E" w14:textId="77777777" w:rsidR="00407B8C" w:rsidRPr="00736304" w:rsidRDefault="00407B8C" w:rsidP="00407B8C">
      <w:pPr>
        <w:tabs>
          <w:tab w:val="right" w:pos="9214"/>
        </w:tabs>
      </w:pPr>
    </w:p>
    <w:p w14:paraId="561005F8" w14:textId="77777777" w:rsidR="00407B8C" w:rsidRPr="00736304" w:rsidRDefault="00407B8C" w:rsidP="00407B8C">
      <w:pPr>
        <w:tabs>
          <w:tab w:val="right" w:pos="9214"/>
        </w:tabs>
      </w:pPr>
      <w:r w:rsidRPr="00736304">
        <w:t>Enregistrement obligatoire dans PITTER :</w:t>
      </w:r>
    </w:p>
    <w:p w14:paraId="3FC1E139"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lang w:val="fr-FR"/>
        </w:rPr>
        <w:t xml:space="preserve">594311 – 594322 : « Dépistage d'une mutation EGFR activatrice en cas de cancer du poumon non squameux non à petites cellules primaire avancé (non résécable ou métastatique) » </w:t>
      </w:r>
    </w:p>
    <w:p w14:paraId="0BEA114A" w14:textId="77777777" w:rsidR="00407B8C" w:rsidRDefault="00407B8C" w:rsidP="00407B8C">
      <w:pPr>
        <w:pStyle w:val="ListParagraph"/>
        <w:numPr>
          <w:ilvl w:val="0"/>
          <w:numId w:val="16"/>
        </w:numPr>
        <w:tabs>
          <w:tab w:val="right" w:pos="9214"/>
        </w:tabs>
        <w:spacing w:after="160" w:line="259" w:lineRule="auto"/>
        <w:rPr>
          <w:lang w:val="fr-FR"/>
        </w:rPr>
      </w:pPr>
      <w:r w:rsidRPr="00736304">
        <w:rPr>
          <w:lang w:val="fr-FR"/>
        </w:rPr>
        <w:t>595070 – 595081 : «</w:t>
      </w:r>
      <w:r w:rsidRPr="00096D02">
        <w:rPr>
          <w:lang w:val="fr-FR"/>
        </w:rPr>
        <w:t>Analyse du statut mutationnel du gène BRAF V600 en cas de cancer du poumon non à petites cellules primaire avancé (non résécable ou métastatique)»</w:t>
      </w:r>
    </w:p>
    <w:p w14:paraId="27046B12" w14:textId="77777777" w:rsidR="00E05B5E" w:rsidRPr="00E05B5E" w:rsidRDefault="00E05B5E" w:rsidP="00E05B5E">
      <w:pPr>
        <w:pStyle w:val="ListParagraph"/>
        <w:numPr>
          <w:ilvl w:val="0"/>
          <w:numId w:val="16"/>
        </w:numPr>
        <w:tabs>
          <w:tab w:val="right" w:pos="9214"/>
        </w:tabs>
        <w:spacing w:after="160" w:line="259" w:lineRule="auto"/>
        <w:rPr>
          <w:lang w:val="fr-FR"/>
        </w:rPr>
      </w:pPr>
      <w:r w:rsidRPr="00E05B5E">
        <w:rPr>
          <w:lang w:val="fr-FR"/>
        </w:rPr>
        <w:t>595276 – 595280 : « Dépistage d'une mutation HER2 (ERBB2) activatrice en cas de cancer du poumon non squameux non à petites cellules avancé »</w:t>
      </w:r>
    </w:p>
    <w:p w14:paraId="79E3A520" w14:textId="1FAC1D0E" w:rsidR="00E05B5E" w:rsidRPr="00E05B5E" w:rsidRDefault="00E05B5E" w:rsidP="00E05B5E">
      <w:pPr>
        <w:pStyle w:val="ListParagraph"/>
        <w:numPr>
          <w:ilvl w:val="0"/>
          <w:numId w:val="16"/>
        </w:numPr>
        <w:tabs>
          <w:tab w:val="right" w:pos="9214"/>
        </w:tabs>
        <w:spacing w:after="160" w:line="259" w:lineRule="auto"/>
        <w:rPr>
          <w:lang w:val="fr-FR"/>
        </w:rPr>
      </w:pPr>
      <w:r w:rsidRPr="00E05B5E">
        <w:rPr>
          <w:lang w:val="fr-FR"/>
        </w:rPr>
        <w:t>595210 – 595221 : « Dépistage d'une mutation EGFR activatrice en cas de cancer du poumon non squameux non à petites cellules primaire. »</w:t>
      </w:r>
    </w:p>
    <w:p w14:paraId="2DA60599" w14:textId="77777777" w:rsidR="00407B8C" w:rsidRPr="00736304" w:rsidRDefault="00407B8C" w:rsidP="00407B8C">
      <w:pPr>
        <w:tabs>
          <w:tab w:val="right" w:pos="9214"/>
        </w:tabs>
      </w:pPr>
    </w:p>
    <w:p w14:paraId="55317D85" w14:textId="77777777" w:rsidR="00407B8C" w:rsidRPr="00736304" w:rsidRDefault="00407B8C" w:rsidP="00407B8C">
      <w:pPr>
        <w:tabs>
          <w:tab w:val="right" w:pos="9214"/>
        </w:tabs>
      </w:pPr>
      <w:r w:rsidRPr="00736304">
        <w:t>Règles de cumul :</w:t>
      </w:r>
    </w:p>
    <w:p w14:paraId="66A94755"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072276ED"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50391CE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3A172D67"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26358D9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r>
        <w:rPr>
          <w:b/>
          <w:bCs/>
          <w:u w:val="single"/>
          <w:lang w:val="fr-BE"/>
        </w:rPr>
        <w:t xml:space="preserve"> </w:t>
      </w:r>
      <w:r w:rsidRPr="00736304">
        <w:rPr>
          <w:lang w:val="fr-FR"/>
        </w:rPr>
        <w:br w:type="page"/>
      </w:r>
    </w:p>
    <w:p w14:paraId="6F853357" w14:textId="77777777" w:rsidR="00407B8C" w:rsidRPr="00096D02" w:rsidRDefault="00407B8C" w:rsidP="007C587C">
      <w:pPr>
        <w:pStyle w:val="Heading3"/>
      </w:pPr>
      <w:bookmarkStart w:id="10" w:name="_Toc167180249"/>
      <w:bookmarkStart w:id="11" w:name="_Toc215211249"/>
      <w:r w:rsidRPr="00096D02">
        <w:lastRenderedPageBreak/>
        <w:t>535054-535065 : NGS pour un carcinome pulmonaire squameux</w:t>
      </w:r>
      <w:bookmarkEnd w:id="10"/>
      <w:bookmarkEnd w:id="11"/>
      <w:r w:rsidRPr="00096D02">
        <w:t xml:space="preserve"> </w:t>
      </w:r>
    </w:p>
    <w:p w14:paraId="640F82DF" w14:textId="77777777" w:rsidR="00407B8C" w:rsidRPr="00736304" w:rsidRDefault="00407B8C" w:rsidP="00407B8C"/>
    <w:p w14:paraId="421C7F00" w14:textId="77777777" w:rsidR="00407B8C" w:rsidRPr="00736304" w:rsidRDefault="00407B8C" w:rsidP="00407B8C">
      <w:r w:rsidRPr="00736304">
        <w:t>Remboursement : 600 €</w:t>
      </w:r>
    </w:p>
    <w:p w14:paraId="5A41029B" w14:textId="77777777" w:rsidR="00407B8C" w:rsidRPr="00736304" w:rsidRDefault="00407B8C" w:rsidP="00407B8C">
      <w:r w:rsidRPr="00736304">
        <w:t>Indication:</w:t>
      </w:r>
    </w:p>
    <w:p w14:paraId="0B0DEBD3" w14:textId="77777777" w:rsidR="00407B8C" w:rsidRDefault="00407B8C" w:rsidP="00407B8C">
      <w:pPr>
        <w:pStyle w:val="ListParagraph"/>
        <w:numPr>
          <w:ilvl w:val="0"/>
          <w:numId w:val="15"/>
        </w:numPr>
        <w:spacing w:after="160" w:line="259" w:lineRule="auto"/>
        <w:rPr>
          <w:lang w:val="fr-FR"/>
        </w:rPr>
      </w:pPr>
      <w:r w:rsidRPr="00736304">
        <w:rPr>
          <w:lang w:val="fr-FR"/>
        </w:rPr>
        <w:t>Carcinome pulmonaire squameux du poumon chez un patient qui n'a jamais ou rarement fumé</w:t>
      </w:r>
    </w:p>
    <w:p w14:paraId="10641DF9" w14:textId="2845992D" w:rsidR="00CF5D2C" w:rsidRPr="00736304" w:rsidRDefault="00CF5D2C" w:rsidP="00407B8C">
      <w:pPr>
        <w:pStyle w:val="ListParagraph"/>
        <w:numPr>
          <w:ilvl w:val="0"/>
          <w:numId w:val="15"/>
        </w:numPr>
        <w:spacing w:after="160" w:line="259" w:lineRule="auto"/>
        <w:rPr>
          <w:lang w:val="fr-FR"/>
        </w:rPr>
      </w:pPr>
      <w:r w:rsidRPr="00CF5D2C">
        <w:rPr>
          <w:lang w:val="fr-FR"/>
        </w:rPr>
        <w:t xml:space="preserve">Sur tissu tumoral ou sur </w:t>
      </w:r>
      <w:r w:rsidR="00246BA7">
        <w:rPr>
          <w:lang w:val="fr-FR"/>
        </w:rPr>
        <w:t>biopsie liquide</w:t>
      </w:r>
      <w:r w:rsidRPr="00CF5D2C">
        <w:rPr>
          <w:lang w:val="fr-FR"/>
        </w:rPr>
        <w:t xml:space="preserve"> </w:t>
      </w:r>
      <w:r w:rsidR="00DF772F">
        <w:rPr>
          <w:lang w:val="fr-FR"/>
        </w:rPr>
        <w:t>(</w:t>
      </w:r>
      <w:r w:rsidRPr="00CF5D2C">
        <w:rPr>
          <w:lang w:val="fr-FR"/>
        </w:rPr>
        <w:t>si le tissu tumoral n’est pas disponible</w:t>
      </w:r>
      <w:r w:rsidR="00DF772F">
        <w:rPr>
          <w:lang w:val="fr-FR"/>
        </w:rPr>
        <w:t>)</w:t>
      </w:r>
    </w:p>
    <w:p w14:paraId="301CA644" w14:textId="77777777" w:rsidR="00407B8C" w:rsidRPr="00736304" w:rsidRDefault="00407B8C" w:rsidP="00407B8C"/>
    <w:p w14:paraId="56234369" w14:textId="77777777" w:rsidR="00407B8C" w:rsidRPr="00736304" w:rsidRDefault="00407B8C" w:rsidP="00407B8C">
      <w:r w:rsidRPr="00736304">
        <w:t>Biomarqueurs minimaux à tester :</w:t>
      </w:r>
    </w:p>
    <w:p w14:paraId="21DE02A4"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BRAF (exon 15 (codon 600)) </w:t>
      </w:r>
      <w:r w:rsidRPr="00736304">
        <w:rPr>
          <w:lang w:val="fr-FR"/>
        </w:rPr>
        <w:tab/>
      </w:r>
      <w:r w:rsidRPr="00736304">
        <w:rPr>
          <w:b/>
          <w:bCs/>
          <w:lang w:val="fr-FR"/>
        </w:rPr>
        <w:t>thérapie</w:t>
      </w:r>
    </w:p>
    <w:p w14:paraId="5D180BD8"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EGFR (exon 18, exon 19, exon 20, exon 21) </w:t>
      </w:r>
      <w:r w:rsidRPr="00736304">
        <w:rPr>
          <w:lang w:val="fr-FR"/>
        </w:rPr>
        <w:tab/>
      </w:r>
      <w:r w:rsidRPr="00736304">
        <w:rPr>
          <w:b/>
          <w:bCs/>
          <w:lang w:val="fr-FR"/>
        </w:rPr>
        <w:t>thérapie</w:t>
      </w:r>
    </w:p>
    <w:p w14:paraId="7E8B3522"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KRAS (exon 2 (codons 12,13), exon 3 (codons 59, 61),exon 4 (codons 117, 146))           </w:t>
      </w:r>
      <w:r w:rsidRPr="00736304">
        <w:rPr>
          <w:b/>
          <w:bCs/>
          <w:lang w:val="fr-FR"/>
        </w:rPr>
        <w:t>pronostic</w:t>
      </w:r>
      <w:r w:rsidRPr="00736304">
        <w:rPr>
          <w:lang w:val="fr-FR"/>
        </w:rPr>
        <w:tab/>
      </w:r>
      <w:r w:rsidRPr="00736304">
        <w:rPr>
          <w:b/>
          <w:bCs/>
          <w:lang w:val="fr-FR"/>
        </w:rPr>
        <w:t xml:space="preserve"> </w:t>
      </w:r>
    </w:p>
    <w:p w14:paraId="3D82471F"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MET exon 14 skipping</w:t>
      </w:r>
      <w:r w:rsidRPr="00736304">
        <w:rPr>
          <w:lang w:val="fr-FR"/>
        </w:rPr>
        <w:tab/>
      </w:r>
      <w:r w:rsidRPr="00736304">
        <w:rPr>
          <w:b/>
          <w:bCs/>
          <w:lang w:val="fr-FR"/>
        </w:rPr>
        <w:t>thérapie</w:t>
      </w:r>
    </w:p>
    <w:p w14:paraId="49EF4E26" w14:textId="4D7BFD14" w:rsidR="00407B8C" w:rsidRPr="00736304" w:rsidRDefault="00CF5D2C" w:rsidP="00407B8C">
      <w:pPr>
        <w:pStyle w:val="ListParagraph"/>
        <w:numPr>
          <w:ilvl w:val="0"/>
          <w:numId w:val="15"/>
        </w:numPr>
        <w:tabs>
          <w:tab w:val="right" w:pos="9214"/>
        </w:tabs>
        <w:spacing w:after="160" w:line="259" w:lineRule="auto"/>
        <w:rPr>
          <w:lang w:val="fr-FR"/>
        </w:rPr>
      </w:pPr>
      <w:r>
        <w:rPr>
          <w:lang w:val="fr-FR"/>
        </w:rPr>
        <w:t>ERBB2 (exon 8, exon 19, exon 20, exon 21)</w:t>
      </w:r>
      <w:r w:rsidR="00407B8C" w:rsidRPr="00736304">
        <w:rPr>
          <w:lang w:val="fr-FR"/>
        </w:rPr>
        <w:tab/>
      </w:r>
      <w:r w:rsidR="00407B8C" w:rsidRPr="00736304">
        <w:rPr>
          <w:b/>
          <w:bCs/>
          <w:lang w:val="fr-FR"/>
        </w:rPr>
        <w:t xml:space="preserve">thérapie </w:t>
      </w:r>
    </w:p>
    <w:p w14:paraId="7C95D221" w14:textId="77777777" w:rsidR="00407B8C" w:rsidRPr="00736304" w:rsidRDefault="00407B8C" w:rsidP="00407B8C">
      <w:pPr>
        <w:tabs>
          <w:tab w:val="right" w:pos="9214"/>
        </w:tabs>
      </w:pPr>
    </w:p>
    <w:p w14:paraId="1AAB4363" w14:textId="77777777" w:rsidR="00407B8C" w:rsidRPr="00736304" w:rsidRDefault="00407B8C" w:rsidP="00407B8C">
      <w:pPr>
        <w:tabs>
          <w:tab w:val="right" w:pos="9214"/>
        </w:tabs>
      </w:pPr>
      <w:r w:rsidRPr="00736304">
        <w:t>Enregistrement obligatoire dans PITTER :</w:t>
      </w:r>
    </w:p>
    <w:p w14:paraId="3744E922" w14:textId="19C2F89E" w:rsidR="00407B8C" w:rsidRPr="00C71F70" w:rsidRDefault="00C71F70" w:rsidP="00C71F70">
      <w:pPr>
        <w:pStyle w:val="ListParagraph"/>
        <w:numPr>
          <w:ilvl w:val="0"/>
          <w:numId w:val="16"/>
        </w:numPr>
        <w:tabs>
          <w:tab w:val="right" w:pos="9214"/>
        </w:tabs>
        <w:spacing w:after="160" w:line="259" w:lineRule="auto"/>
        <w:rPr>
          <w:lang w:val="fr-FR"/>
        </w:rPr>
      </w:pPr>
      <w:r w:rsidRPr="00C71F70">
        <w:rPr>
          <w:lang w:val="fr-FR"/>
        </w:rPr>
        <w:t>595070 – 595081 : « Analyse du statut mutationnel du gène BRAF V600 en cas de cancer du poumon non à petites cellules primaire avancé (non résécable ou métastatique) »</w:t>
      </w:r>
    </w:p>
    <w:p w14:paraId="69B091B8" w14:textId="77777777" w:rsidR="00407B8C" w:rsidRPr="00736304" w:rsidRDefault="00407B8C" w:rsidP="00407B8C">
      <w:pPr>
        <w:tabs>
          <w:tab w:val="right" w:pos="9214"/>
        </w:tabs>
      </w:pPr>
    </w:p>
    <w:p w14:paraId="35D32DEA" w14:textId="77777777" w:rsidR="00407B8C" w:rsidRPr="00736304" w:rsidRDefault="00407B8C" w:rsidP="00407B8C">
      <w:pPr>
        <w:tabs>
          <w:tab w:val="right" w:pos="9214"/>
        </w:tabs>
      </w:pPr>
      <w:r w:rsidRPr="00736304">
        <w:t>Règles de cumul :</w:t>
      </w:r>
    </w:p>
    <w:p w14:paraId="01953D55"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55E98C1"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29170AC5"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7404E0A9"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7A2B9CF7"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631AD62" w14:textId="77777777" w:rsidR="00407B8C" w:rsidRPr="00736304" w:rsidRDefault="00407B8C" w:rsidP="00407B8C">
      <w:pPr>
        <w:tabs>
          <w:tab w:val="right" w:pos="9214"/>
        </w:tabs>
      </w:pPr>
    </w:p>
    <w:p w14:paraId="6AD579F7" w14:textId="77777777" w:rsidR="00407B8C" w:rsidRPr="00736304" w:rsidRDefault="00407B8C" w:rsidP="00407B8C">
      <w:r w:rsidRPr="00736304">
        <w:br w:type="page"/>
      </w:r>
    </w:p>
    <w:p w14:paraId="1AB4F231" w14:textId="77777777" w:rsidR="00407B8C" w:rsidRPr="00096D02" w:rsidRDefault="00407B8C" w:rsidP="007C587C">
      <w:pPr>
        <w:pStyle w:val="Heading3"/>
      </w:pPr>
      <w:bookmarkStart w:id="12" w:name="_Toc167180250"/>
      <w:bookmarkStart w:id="13" w:name="_Toc215211250"/>
      <w:r w:rsidRPr="00096D02">
        <w:lastRenderedPageBreak/>
        <w:t>535076-535080 : NGS pour un carcinome pulmonaire avec progression endéans un an</w:t>
      </w:r>
      <w:bookmarkEnd w:id="12"/>
      <w:bookmarkEnd w:id="13"/>
      <w:r w:rsidRPr="00096D02">
        <w:t xml:space="preserve"> </w:t>
      </w:r>
    </w:p>
    <w:p w14:paraId="2ABC0636" w14:textId="77777777" w:rsidR="00407B8C" w:rsidRPr="00736304" w:rsidRDefault="00407B8C" w:rsidP="00407B8C"/>
    <w:p w14:paraId="0A47193E" w14:textId="77777777" w:rsidR="00407B8C" w:rsidRPr="00736304" w:rsidRDefault="00407B8C" w:rsidP="00407B8C">
      <w:r w:rsidRPr="00736304">
        <w:t>Remboursement : 600 €</w:t>
      </w:r>
    </w:p>
    <w:p w14:paraId="64A007E8" w14:textId="77777777" w:rsidR="00407B8C" w:rsidRPr="00736304" w:rsidRDefault="00407B8C" w:rsidP="00407B8C">
      <w:r w:rsidRPr="00736304">
        <w:t>Indication:</w:t>
      </w:r>
    </w:p>
    <w:p w14:paraId="6A5C4BCF" w14:textId="77777777" w:rsidR="00407B8C" w:rsidRPr="00736304" w:rsidRDefault="00407B8C" w:rsidP="00407B8C">
      <w:pPr>
        <w:pStyle w:val="ListParagraph"/>
        <w:numPr>
          <w:ilvl w:val="0"/>
          <w:numId w:val="15"/>
        </w:numPr>
        <w:spacing w:after="160" w:line="259" w:lineRule="auto"/>
        <w:rPr>
          <w:lang w:val="fr-FR"/>
        </w:rPr>
      </w:pPr>
      <w:r w:rsidRPr="00736304">
        <w:rPr>
          <w:lang w:val="fr-FR"/>
        </w:rPr>
        <w:t xml:space="preserve">Carcinome pulmonaire avec progression </w:t>
      </w:r>
      <w:r w:rsidRPr="00191060">
        <w:rPr>
          <w:lang w:val="fr-FR"/>
        </w:rPr>
        <w:t xml:space="preserve">endéans </w:t>
      </w:r>
      <w:r w:rsidRPr="00736304">
        <w:rPr>
          <w:lang w:val="fr-FR"/>
        </w:rPr>
        <w:t xml:space="preserve">1 an sous thérapie ciblée. </w:t>
      </w:r>
    </w:p>
    <w:p w14:paraId="71D5400E" w14:textId="77777777" w:rsidR="00407B8C" w:rsidRDefault="00407B8C" w:rsidP="00407B8C">
      <w:pPr>
        <w:pStyle w:val="ListParagraph"/>
        <w:numPr>
          <w:ilvl w:val="0"/>
          <w:numId w:val="15"/>
        </w:numPr>
        <w:spacing w:after="160" w:line="259" w:lineRule="auto"/>
        <w:rPr>
          <w:lang w:val="fr-FR"/>
        </w:rPr>
      </w:pPr>
      <w:r w:rsidRPr="00736304">
        <w:rPr>
          <w:lang w:val="fr-FR"/>
        </w:rPr>
        <w:t>Un test NGS est permis après un avis favorable d’une COM (consultation oncologique multidisciplinaire). Une vérification à postériori du dossier est possible.</w:t>
      </w:r>
    </w:p>
    <w:p w14:paraId="7901CC1E" w14:textId="3183ED33" w:rsidR="00807C50" w:rsidRPr="00736304" w:rsidRDefault="00807C50" w:rsidP="00407B8C">
      <w:pPr>
        <w:pStyle w:val="ListParagraph"/>
        <w:numPr>
          <w:ilvl w:val="0"/>
          <w:numId w:val="15"/>
        </w:numPr>
        <w:spacing w:after="160" w:line="259" w:lineRule="auto"/>
        <w:rPr>
          <w:lang w:val="fr-FR"/>
        </w:rPr>
      </w:pPr>
      <w:r w:rsidRPr="00807C50">
        <w:rPr>
          <w:lang w:val="fr-FR"/>
        </w:rPr>
        <w:t xml:space="preserve">Sur tissu tumoral ou sur </w:t>
      </w:r>
      <w:r w:rsidR="00246BA7">
        <w:rPr>
          <w:lang w:val="fr-FR"/>
        </w:rPr>
        <w:t>biopsie liquide</w:t>
      </w:r>
      <w:r w:rsidRPr="00807C50">
        <w:rPr>
          <w:lang w:val="fr-FR"/>
        </w:rPr>
        <w:t xml:space="preserve"> </w:t>
      </w:r>
      <w:r w:rsidR="00DF772F">
        <w:rPr>
          <w:lang w:val="fr-FR"/>
        </w:rPr>
        <w:t>(</w:t>
      </w:r>
      <w:r w:rsidRPr="00807C50">
        <w:rPr>
          <w:lang w:val="fr-FR"/>
        </w:rPr>
        <w:t>si le tissu tumoral n’est pas disponible</w:t>
      </w:r>
      <w:r w:rsidR="00DF772F">
        <w:rPr>
          <w:lang w:val="fr-FR"/>
        </w:rPr>
        <w:t>)</w:t>
      </w:r>
    </w:p>
    <w:p w14:paraId="1D073C98" w14:textId="77777777" w:rsidR="00407B8C" w:rsidRPr="00736304" w:rsidRDefault="00407B8C" w:rsidP="00407B8C"/>
    <w:p w14:paraId="39AC4F16" w14:textId="77777777" w:rsidR="00407B8C" w:rsidRPr="00736304" w:rsidRDefault="00407B8C" w:rsidP="00407B8C">
      <w:r w:rsidRPr="00736304">
        <w:t>Biomarqueurs minimaux à tester :</w:t>
      </w:r>
    </w:p>
    <w:p w14:paraId="2262DDDB"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EGFR (exon 18, exon 19, exon 20, exon 21) </w:t>
      </w:r>
      <w:r w:rsidRPr="00736304">
        <w:rPr>
          <w:lang w:val="fr-FR"/>
        </w:rPr>
        <w:tab/>
      </w:r>
      <w:r w:rsidRPr="00736304">
        <w:rPr>
          <w:b/>
          <w:bCs/>
          <w:lang w:val="fr-FR"/>
        </w:rPr>
        <w:t>thérapie</w:t>
      </w:r>
    </w:p>
    <w:p w14:paraId="45E5CC63"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MET exon 14 skipping</w:t>
      </w:r>
      <w:r w:rsidRPr="00736304">
        <w:rPr>
          <w:lang w:val="fr-FR"/>
        </w:rPr>
        <w:tab/>
      </w:r>
      <w:r w:rsidRPr="00736304">
        <w:rPr>
          <w:b/>
          <w:bCs/>
          <w:lang w:val="fr-FR"/>
        </w:rPr>
        <w:t>thérapie</w:t>
      </w:r>
    </w:p>
    <w:p w14:paraId="1BDEC3CA" w14:textId="28A8D584" w:rsidR="00407B8C" w:rsidRPr="00736304" w:rsidRDefault="00807C50" w:rsidP="00407B8C">
      <w:pPr>
        <w:pStyle w:val="ListParagraph"/>
        <w:numPr>
          <w:ilvl w:val="0"/>
          <w:numId w:val="15"/>
        </w:numPr>
        <w:tabs>
          <w:tab w:val="right" w:pos="9214"/>
        </w:tabs>
        <w:spacing w:after="160" w:line="259" w:lineRule="auto"/>
        <w:rPr>
          <w:lang w:val="fr-FR"/>
        </w:rPr>
      </w:pPr>
      <w:r>
        <w:rPr>
          <w:lang w:val="fr-FR"/>
        </w:rPr>
        <w:t>ERBB2 (exon 8, exon 19, exon 20, exon 21)</w:t>
      </w:r>
      <w:r w:rsidR="00407B8C" w:rsidRPr="00736304">
        <w:rPr>
          <w:lang w:val="fr-FR"/>
        </w:rPr>
        <w:tab/>
      </w:r>
      <w:r w:rsidR="00407B8C" w:rsidRPr="00736304">
        <w:rPr>
          <w:b/>
          <w:bCs/>
          <w:lang w:val="fr-FR"/>
        </w:rPr>
        <w:t xml:space="preserve">thérapie </w:t>
      </w:r>
    </w:p>
    <w:p w14:paraId="4C09DD58"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ALK (exon 20, exon 21, exon 22, exon 23, exon 24, exon 25) </w:t>
      </w:r>
      <w:r w:rsidRPr="00736304">
        <w:rPr>
          <w:lang w:val="fr-FR"/>
        </w:rPr>
        <w:tab/>
      </w:r>
      <w:r w:rsidRPr="00736304">
        <w:rPr>
          <w:b/>
          <w:bCs/>
          <w:lang w:val="fr-FR"/>
        </w:rPr>
        <w:t>thérapie</w:t>
      </w:r>
    </w:p>
    <w:p w14:paraId="317D6551" w14:textId="77777777" w:rsidR="00407B8C" w:rsidRPr="00736304" w:rsidRDefault="00407B8C" w:rsidP="00407B8C">
      <w:pPr>
        <w:tabs>
          <w:tab w:val="right" w:pos="9214"/>
        </w:tabs>
      </w:pPr>
    </w:p>
    <w:p w14:paraId="32A4A0EE" w14:textId="77777777" w:rsidR="00407B8C" w:rsidRPr="00736304" w:rsidRDefault="00407B8C" w:rsidP="00407B8C">
      <w:pPr>
        <w:tabs>
          <w:tab w:val="right" w:pos="9214"/>
        </w:tabs>
      </w:pPr>
      <w:r w:rsidRPr="00736304">
        <w:t>Enregistrement obligatoire dans PITTER :</w:t>
      </w:r>
    </w:p>
    <w:p w14:paraId="70BE8F64" w14:textId="77777777" w:rsidR="00407B8C" w:rsidRPr="00736304" w:rsidRDefault="00407B8C" w:rsidP="00407B8C">
      <w:pPr>
        <w:tabs>
          <w:tab w:val="right" w:pos="9214"/>
        </w:tabs>
        <w:ind w:left="360"/>
      </w:pPr>
      <w:r w:rsidRPr="00736304">
        <w:t>En cas de cancer du poumon non squameux non à petites cellules</w:t>
      </w:r>
      <w:r w:rsidRPr="00736304" w:rsidDel="00AF6B85">
        <w:t xml:space="preserve"> </w:t>
      </w:r>
      <w:r w:rsidRPr="00736304">
        <w:t>et progression pendant ou après le thérapie avec une TKI EGFR :</w:t>
      </w:r>
    </w:p>
    <w:p w14:paraId="598FF3B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lang w:val="fr-FR"/>
        </w:rPr>
        <w:t>594370 - 594381 : « Dépistage d'une mutation EGFR T790M en cas de progression pendant ou après le thérapie avec une TKI EGFR d'un cancer du poumon non squameux non à petites cellules avancé (non résécable ou métastatique)»</w:t>
      </w:r>
    </w:p>
    <w:p w14:paraId="0285FEEA" w14:textId="77777777" w:rsidR="00407B8C" w:rsidRPr="00736304" w:rsidRDefault="00407B8C" w:rsidP="00407B8C">
      <w:pPr>
        <w:tabs>
          <w:tab w:val="right" w:pos="9214"/>
        </w:tabs>
      </w:pPr>
    </w:p>
    <w:p w14:paraId="69911067" w14:textId="77777777" w:rsidR="00407B8C" w:rsidRPr="00736304" w:rsidRDefault="00407B8C" w:rsidP="00407B8C">
      <w:pPr>
        <w:tabs>
          <w:tab w:val="right" w:pos="9214"/>
        </w:tabs>
      </w:pPr>
      <w:r w:rsidRPr="00736304">
        <w:t>Règles de cumul :</w:t>
      </w:r>
    </w:p>
    <w:p w14:paraId="7D2F1E80"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13B2189A"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3266886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228C1464"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72F6F78C"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1F9F1C87" w14:textId="77777777" w:rsidR="00807C50" w:rsidRDefault="00807C50">
      <w:pPr>
        <w:rPr>
          <w:rFonts w:asciiTheme="majorHAnsi" w:eastAsiaTheme="majorEastAsia" w:hAnsiTheme="majorHAnsi" w:cstheme="majorBidi"/>
          <w:i/>
          <w:color w:val="0070C0"/>
          <w:sz w:val="26"/>
          <w:szCs w:val="24"/>
        </w:rPr>
      </w:pPr>
      <w:bookmarkStart w:id="14" w:name="_Toc167180251"/>
      <w:r>
        <w:br w:type="page"/>
      </w:r>
    </w:p>
    <w:p w14:paraId="622BBE26" w14:textId="256E1904" w:rsidR="00407B8C" w:rsidRPr="00096D02" w:rsidRDefault="00407B8C" w:rsidP="007C587C">
      <w:pPr>
        <w:pStyle w:val="Heading3"/>
      </w:pPr>
      <w:bookmarkStart w:id="15" w:name="_Toc215211251"/>
      <w:r w:rsidRPr="00096D02">
        <w:lastRenderedPageBreak/>
        <w:t>535091-535102 : RNA</w:t>
      </w:r>
      <w:r w:rsidR="00983DC8">
        <w:t>-s</w:t>
      </w:r>
      <w:r w:rsidRPr="00096D02">
        <w:t>eq pour un carcinome pulmonaire sans mutation driver ou d’un patient n’ayant jamais/peu fumé</w:t>
      </w:r>
      <w:bookmarkEnd w:id="14"/>
      <w:bookmarkEnd w:id="15"/>
    </w:p>
    <w:p w14:paraId="432A98C3" w14:textId="77777777" w:rsidR="00407B8C" w:rsidRPr="00736304" w:rsidRDefault="00407B8C" w:rsidP="00407B8C"/>
    <w:p w14:paraId="54334C54" w14:textId="77777777" w:rsidR="00407B8C" w:rsidRPr="00736304" w:rsidRDefault="00407B8C" w:rsidP="00407B8C">
      <w:r w:rsidRPr="00736304">
        <w:t>Remboursement : 600 €</w:t>
      </w:r>
    </w:p>
    <w:p w14:paraId="4F040409" w14:textId="77777777" w:rsidR="00407B8C" w:rsidRPr="00736304" w:rsidRDefault="00407B8C" w:rsidP="00407B8C">
      <w:r w:rsidRPr="00736304">
        <w:t>Indication:</w:t>
      </w:r>
    </w:p>
    <w:p w14:paraId="681BBF15" w14:textId="77777777" w:rsidR="00407B8C" w:rsidRDefault="00407B8C" w:rsidP="00407B8C">
      <w:pPr>
        <w:pStyle w:val="ListParagraph"/>
        <w:numPr>
          <w:ilvl w:val="0"/>
          <w:numId w:val="21"/>
        </w:numPr>
        <w:spacing w:after="160" w:line="259" w:lineRule="auto"/>
        <w:rPr>
          <w:lang w:val="fr-FR"/>
        </w:rPr>
      </w:pPr>
      <w:r w:rsidRPr="00736304">
        <w:rPr>
          <w:lang w:val="fr-FR"/>
        </w:rPr>
        <w:t xml:space="preserve">RNASeq pour un carcinome pulmonaire d'un patient pour lequel aucun mutation driver n'a été trouvé (avec NGS ou autre technique moléculaire) </w:t>
      </w:r>
      <w:bookmarkStart w:id="16" w:name="_Hlk150264360"/>
      <w:r w:rsidRPr="00736304">
        <w:rPr>
          <w:lang w:val="fr-FR"/>
        </w:rPr>
        <w:t>ou d’un patient n’ayant jamais/peu fumé</w:t>
      </w:r>
      <w:bookmarkEnd w:id="16"/>
    </w:p>
    <w:p w14:paraId="5987147C" w14:textId="128D69D9" w:rsidR="00807C50" w:rsidRPr="00736304" w:rsidRDefault="00807C50" w:rsidP="00407B8C">
      <w:pPr>
        <w:pStyle w:val="ListParagraph"/>
        <w:numPr>
          <w:ilvl w:val="0"/>
          <w:numId w:val="21"/>
        </w:numPr>
        <w:spacing w:after="160" w:line="259" w:lineRule="auto"/>
        <w:rPr>
          <w:lang w:val="fr-FR"/>
        </w:rPr>
      </w:pPr>
      <w:r w:rsidRPr="00807C50">
        <w:rPr>
          <w:lang w:val="fr-FR"/>
        </w:rPr>
        <w:t xml:space="preserve">Sur tissu tumoral ou sur </w:t>
      </w:r>
      <w:r w:rsidR="00246BA7">
        <w:rPr>
          <w:lang w:val="fr-FR"/>
        </w:rPr>
        <w:t>biopsie liquide</w:t>
      </w:r>
      <w:r w:rsidRPr="00807C50">
        <w:rPr>
          <w:lang w:val="fr-FR"/>
        </w:rPr>
        <w:t xml:space="preserve"> </w:t>
      </w:r>
      <w:r w:rsidR="00DF772F">
        <w:rPr>
          <w:lang w:val="fr-FR"/>
        </w:rPr>
        <w:t>(</w:t>
      </w:r>
      <w:r w:rsidRPr="00807C50">
        <w:rPr>
          <w:lang w:val="fr-FR"/>
        </w:rPr>
        <w:t>si le tissu tumoral n’est pas disponible</w:t>
      </w:r>
      <w:r w:rsidR="00DF772F">
        <w:rPr>
          <w:lang w:val="fr-FR"/>
        </w:rPr>
        <w:t>)</w:t>
      </w:r>
    </w:p>
    <w:p w14:paraId="0B7E8577" w14:textId="77777777" w:rsidR="00407B8C" w:rsidRPr="00736304" w:rsidRDefault="00407B8C" w:rsidP="00407B8C"/>
    <w:p w14:paraId="0FD2CAE0" w14:textId="77777777" w:rsidR="00407B8C" w:rsidRPr="00736304" w:rsidRDefault="00407B8C" w:rsidP="00407B8C">
      <w:r w:rsidRPr="00736304">
        <w:t>Biomarqueurs minimaux à tester :</w:t>
      </w:r>
    </w:p>
    <w:p w14:paraId="24BDA009" w14:textId="77777777" w:rsidR="00407B8C" w:rsidRPr="00736304" w:rsidRDefault="00407B8C" w:rsidP="00407B8C">
      <w:pPr>
        <w:ind w:firstLine="360"/>
      </w:pPr>
      <w:r w:rsidRPr="00736304">
        <w:t>Recherche des fusions impliquant les gènes suivants :</w:t>
      </w:r>
    </w:p>
    <w:p w14:paraId="19B136A3"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ALK </w:t>
      </w:r>
    </w:p>
    <w:p w14:paraId="3E89DBFD"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MET exon 14 skipping. </w:t>
      </w:r>
      <w:r w:rsidRPr="00736304">
        <w:rPr>
          <w:lang w:val="fr-FR"/>
        </w:rPr>
        <w:tab/>
      </w:r>
      <w:r w:rsidRPr="00736304">
        <w:rPr>
          <w:b/>
          <w:bCs/>
          <w:lang w:val="fr-FR"/>
        </w:rPr>
        <w:t xml:space="preserve">thérapie </w:t>
      </w:r>
    </w:p>
    <w:p w14:paraId="49C94B68"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NTRK1, NTRK2, NTRK3 </w:t>
      </w:r>
      <w:r w:rsidRPr="00736304">
        <w:rPr>
          <w:lang w:val="fr-FR"/>
        </w:rPr>
        <w:tab/>
      </w:r>
      <w:r w:rsidRPr="00736304">
        <w:rPr>
          <w:b/>
          <w:bCs/>
          <w:lang w:val="fr-FR"/>
        </w:rPr>
        <w:t>thérapie</w:t>
      </w:r>
      <w:r w:rsidRPr="00736304">
        <w:rPr>
          <w:lang w:val="fr-FR"/>
        </w:rPr>
        <w:t xml:space="preserve"> </w:t>
      </w:r>
    </w:p>
    <w:p w14:paraId="4A5EAE18"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RET </w:t>
      </w:r>
      <w:r w:rsidRPr="00736304">
        <w:rPr>
          <w:lang w:val="fr-FR"/>
        </w:rPr>
        <w:tab/>
      </w:r>
      <w:r w:rsidRPr="00736304">
        <w:rPr>
          <w:b/>
          <w:bCs/>
          <w:lang w:val="fr-FR"/>
        </w:rPr>
        <w:t>thérapie</w:t>
      </w:r>
      <w:r w:rsidRPr="00736304">
        <w:rPr>
          <w:lang w:val="fr-FR"/>
        </w:rPr>
        <w:t xml:space="preserve"> </w:t>
      </w:r>
    </w:p>
    <w:p w14:paraId="2D49BC57" w14:textId="77777777" w:rsidR="00407B8C" w:rsidRPr="00736304" w:rsidRDefault="00407B8C" w:rsidP="00407B8C">
      <w:pPr>
        <w:pStyle w:val="ListParagraph"/>
        <w:numPr>
          <w:ilvl w:val="0"/>
          <w:numId w:val="15"/>
        </w:numPr>
        <w:tabs>
          <w:tab w:val="right" w:pos="9214"/>
        </w:tabs>
        <w:spacing w:after="160" w:line="259" w:lineRule="auto"/>
        <w:rPr>
          <w:lang w:val="fr-FR"/>
        </w:rPr>
      </w:pPr>
      <w:r w:rsidRPr="00736304">
        <w:rPr>
          <w:lang w:val="fr-FR"/>
        </w:rPr>
        <w:t xml:space="preserve">ROS1 </w:t>
      </w:r>
      <w:r w:rsidRPr="00736304">
        <w:rPr>
          <w:lang w:val="fr-FR"/>
        </w:rPr>
        <w:tab/>
      </w:r>
      <w:r w:rsidRPr="00736304">
        <w:rPr>
          <w:b/>
          <w:bCs/>
          <w:lang w:val="fr-FR"/>
        </w:rPr>
        <w:t>thérapie</w:t>
      </w:r>
    </w:p>
    <w:p w14:paraId="00CB257C" w14:textId="77777777" w:rsidR="00407B8C" w:rsidRPr="00736304" w:rsidRDefault="00407B8C" w:rsidP="00407B8C">
      <w:pPr>
        <w:tabs>
          <w:tab w:val="right" w:pos="9214"/>
        </w:tabs>
      </w:pPr>
    </w:p>
    <w:p w14:paraId="0C69AB4A" w14:textId="77777777" w:rsidR="00407B8C" w:rsidRPr="00736304" w:rsidRDefault="00407B8C" w:rsidP="00407B8C">
      <w:pPr>
        <w:tabs>
          <w:tab w:val="right" w:pos="9214"/>
        </w:tabs>
      </w:pPr>
      <w:r w:rsidRPr="00736304">
        <w:t>Enregistrement obligatoire dans PITTER :</w:t>
      </w:r>
    </w:p>
    <w:p w14:paraId="4CDCF3ED" w14:textId="77777777" w:rsidR="00407B8C" w:rsidRPr="00736304" w:rsidRDefault="00407B8C" w:rsidP="00407B8C">
      <w:pPr>
        <w:pStyle w:val="ListParagraph"/>
        <w:numPr>
          <w:ilvl w:val="0"/>
          <w:numId w:val="17"/>
        </w:numPr>
        <w:tabs>
          <w:tab w:val="right" w:pos="9214"/>
        </w:tabs>
        <w:spacing w:after="160" w:line="259" w:lineRule="auto"/>
        <w:rPr>
          <w:lang w:val="fr-FR"/>
        </w:rPr>
      </w:pPr>
      <w:r w:rsidRPr="00736304">
        <w:rPr>
          <w:lang w:val="fr-FR"/>
        </w:rPr>
        <w:t xml:space="preserve">En cas de </w:t>
      </w:r>
      <w:r w:rsidRPr="00736304">
        <w:rPr>
          <w:rFonts w:eastAsia="Times New Roman"/>
          <w:lang w:val="fr-FR"/>
        </w:rPr>
        <w:t>carcinome du poumon non squameux non à petites cellules :</w:t>
      </w:r>
    </w:p>
    <w:p w14:paraId="5386995C"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 xml:space="preserve">594333 – 594344 : « </w:t>
      </w:r>
      <w:r w:rsidRPr="000F19E7">
        <w:rPr>
          <w:rFonts w:eastAsia="Times New Roman"/>
          <w:lang w:val="fr-FR"/>
        </w:rPr>
        <w:t>Analyse du réarrangement du gène ALK en cas de carcinome du poumon non squameux non à petites cellules avancé (non résécable ou métastatique)</w:t>
      </w:r>
      <w:r w:rsidRPr="00736304">
        <w:rPr>
          <w:rFonts w:eastAsia="Times New Roman"/>
          <w:lang w:val="fr-FR"/>
        </w:rPr>
        <w:t>»</w:t>
      </w:r>
    </w:p>
    <w:p w14:paraId="6DB640E0"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 xml:space="preserve">595136 – 595140 : « </w:t>
      </w:r>
      <w:r w:rsidRPr="00736304">
        <w:rPr>
          <w:rFonts w:eastAsia="Cambria"/>
          <w:lang w:val="fr-FR"/>
        </w:rPr>
        <w:t>Détection d’une fusion du gène RET en cas de cancer du poumon non squameux non à petites cellules avancé (non résécable ou métastatique)»</w:t>
      </w:r>
    </w:p>
    <w:p w14:paraId="03E3C525"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594355-594366 : « Analyse du réaménagement du gène ROS1 en cas de cancer du poumon non squameux non à petites cellules ROS1 positif (IHC) avancé (non résécable ou métastatique)»</w:t>
      </w:r>
    </w:p>
    <w:p w14:paraId="540EC1FB" w14:textId="77777777" w:rsidR="00407B8C" w:rsidRPr="00736304" w:rsidRDefault="00407B8C" w:rsidP="00407B8C">
      <w:pPr>
        <w:pStyle w:val="ListParagraph"/>
        <w:tabs>
          <w:tab w:val="right" w:pos="9214"/>
        </w:tabs>
        <w:ind w:left="1440"/>
        <w:rPr>
          <w:lang w:val="fr-FR"/>
        </w:rPr>
      </w:pPr>
    </w:p>
    <w:p w14:paraId="55349419" w14:textId="77777777" w:rsidR="00407B8C" w:rsidRPr="00736304" w:rsidRDefault="00407B8C" w:rsidP="00407B8C">
      <w:pPr>
        <w:pStyle w:val="ListParagraph"/>
        <w:numPr>
          <w:ilvl w:val="0"/>
          <w:numId w:val="17"/>
        </w:numPr>
        <w:tabs>
          <w:tab w:val="right" w:pos="9214"/>
        </w:tabs>
        <w:spacing w:after="160" w:line="259" w:lineRule="auto"/>
        <w:rPr>
          <w:lang w:val="fr-FR"/>
        </w:rPr>
      </w:pPr>
      <w:r w:rsidRPr="00736304">
        <w:rPr>
          <w:lang w:val="fr-FR"/>
        </w:rPr>
        <w:t>En cas de TRK positif en immunohistochimie :</w:t>
      </w:r>
    </w:p>
    <w:p w14:paraId="5D225BB9"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594952 – 594963 : « Détection d’une fusion du gène NTRK1 chez une tumeur TRK-positive (ICH) tumeur solide avancée»</w:t>
      </w:r>
    </w:p>
    <w:p w14:paraId="0A259D7B"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594974 – 594985 : « Détection d’une fusion du gène NTRK2 chez une tumeur TRK-positive (ICH) tumeur solide avancée»</w:t>
      </w:r>
    </w:p>
    <w:p w14:paraId="60171FEB" w14:textId="77777777" w:rsidR="00407B8C" w:rsidRPr="00736304" w:rsidRDefault="00407B8C" w:rsidP="00407B8C">
      <w:pPr>
        <w:pStyle w:val="ListParagraph"/>
        <w:numPr>
          <w:ilvl w:val="1"/>
          <w:numId w:val="17"/>
        </w:numPr>
        <w:tabs>
          <w:tab w:val="right" w:pos="9214"/>
        </w:tabs>
        <w:spacing w:after="160" w:line="259" w:lineRule="auto"/>
        <w:rPr>
          <w:lang w:val="fr-FR"/>
        </w:rPr>
      </w:pPr>
      <w:r w:rsidRPr="00736304">
        <w:rPr>
          <w:lang w:val="fr-FR"/>
        </w:rPr>
        <w:t>594996 – 595000 : « Détection d’une fusion du gène NTRK3 chez une tumeur TRK-positive (ICH) tumeur solide avancée»</w:t>
      </w:r>
    </w:p>
    <w:p w14:paraId="723068F6" w14:textId="77777777" w:rsidR="00407B8C" w:rsidRDefault="00407B8C" w:rsidP="00407B8C">
      <w:pPr>
        <w:tabs>
          <w:tab w:val="right" w:pos="9214"/>
        </w:tabs>
      </w:pPr>
    </w:p>
    <w:p w14:paraId="4637A977" w14:textId="77777777" w:rsidR="00407B8C" w:rsidRDefault="00407B8C" w:rsidP="00407B8C">
      <w:pPr>
        <w:tabs>
          <w:tab w:val="right" w:pos="9214"/>
        </w:tabs>
      </w:pPr>
    </w:p>
    <w:p w14:paraId="606D1D0F" w14:textId="77777777" w:rsidR="00407B8C" w:rsidRPr="00736304" w:rsidRDefault="00407B8C" w:rsidP="00407B8C">
      <w:pPr>
        <w:tabs>
          <w:tab w:val="right" w:pos="9214"/>
        </w:tabs>
      </w:pPr>
    </w:p>
    <w:p w14:paraId="5500B8B1" w14:textId="77777777" w:rsidR="00407B8C" w:rsidRPr="00736304" w:rsidRDefault="00407B8C" w:rsidP="00407B8C">
      <w:pPr>
        <w:tabs>
          <w:tab w:val="right" w:pos="9214"/>
        </w:tabs>
      </w:pPr>
      <w:r w:rsidRPr="00736304">
        <w:t>Règles de cumul :</w:t>
      </w:r>
    </w:p>
    <w:p w14:paraId="17BA3BE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E984848"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1319E3A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63401E7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2DDCB08A" w14:textId="77777777" w:rsidR="00407B8C" w:rsidRPr="00961D74" w:rsidRDefault="00407B8C" w:rsidP="00407B8C">
      <w:pPr>
        <w:pStyle w:val="ListParagraph"/>
        <w:numPr>
          <w:ilvl w:val="0"/>
          <w:numId w:val="16"/>
        </w:numPr>
        <w:spacing w:after="160" w:line="259" w:lineRule="auto"/>
        <w:rPr>
          <w:lang w:val="fr-FR"/>
        </w:rPr>
      </w:pPr>
      <w:r w:rsidRPr="00736304">
        <w:rPr>
          <w:i/>
          <w:iCs/>
          <w:lang w:val="fr-FR"/>
        </w:rPr>
        <w:t>Règle diagnostique 5</w:t>
      </w:r>
      <w:r w:rsidRPr="00736304">
        <w:rPr>
          <w:lang w:val="fr-FR"/>
        </w:rPr>
        <w:t xml:space="preserve"> : Le pseudo-code n'est facturable que si le pseudo-code </w:t>
      </w:r>
      <w:r>
        <w:rPr>
          <w:lang w:val="fr-FR"/>
        </w:rPr>
        <w:t>535032-535043</w:t>
      </w:r>
      <w:r w:rsidRPr="00736304">
        <w:rPr>
          <w:lang w:val="fr-FR"/>
        </w:rPr>
        <w:t xml:space="preserve">, </w:t>
      </w:r>
      <w:r>
        <w:rPr>
          <w:lang w:val="fr-FR"/>
        </w:rPr>
        <w:t>535054-535065</w:t>
      </w:r>
      <w:r w:rsidRPr="00736304">
        <w:rPr>
          <w:lang w:val="fr-FR"/>
        </w:rPr>
        <w:t xml:space="preserve"> ou </w:t>
      </w:r>
      <w:r>
        <w:rPr>
          <w:lang w:val="fr-FR"/>
        </w:rPr>
        <w:t>535076-535080</w:t>
      </w:r>
      <w:r w:rsidRPr="00736304">
        <w:rPr>
          <w:lang w:val="fr-FR"/>
        </w:rPr>
        <w:t xml:space="preserve"> est également facturé </w:t>
      </w:r>
      <w:r w:rsidRPr="009F5717">
        <w:rPr>
          <w:b/>
          <w:bCs/>
          <w:u w:val="single"/>
          <w:lang w:val="fr-FR"/>
        </w:rPr>
        <w:t>pendant la phase d’investigation diagnostique</w:t>
      </w:r>
      <w:r w:rsidRPr="00736304">
        <w:rPr>
          <w:b/>
          <w:bCs/>
          <w:lang w:val="fr-FR"/>
        </w:rPr>
        <w:t>.</w:t>
      </w:r>
    </w:p>
    <w:p w14:paraId="066D6FA9" w14:textId="77777777" w:rsidR="00407B8C" w:rsidRPr="00736304" w:rsidRDefault="00407B8C" w:rsidP="00407B8C">
      <w:pPr>
        <w:pStyle w:val="ListParagraph"/>
        <w:numPr>
          <w:ilvl w:val="0"/>
          <w:numId w:val="16"/>
        </w:numPr>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2F614B7C" w14:textId="77777777" w:rsidR="00407B8C" w:rsidRPr="00736304" w:rsidRDefault="00407B8C" w:rsidP="00407B8C">
      <w:pPr>
        <w:tabs>
          <w:tab w:val="right" w:pos="9214"/>
        </w:tabs>
      </w:pPr>
    </w:p>
    <w:p w14:paraId="4299AA84" w14:textId="77777777" w:rsidR="00407B8C" w:rsidRPr="00736304" w:rsidRDefault="00407B8C" w:rsidP="00407B8C">
      <w:r w:rsidRPr="00736304">
        <w:br w:type="page"/>
      </w:r>
    </w:p>
    <w:p w14:paraId="1C2F54F5" w14:textId="77777777" w:rsidR="00407B8C" w:rsidRPr="00096D02" w:rsidRDefault="00407B8C" w:rsidP="0040407D">
      <w:pPr>
        <w:pStyle w:val="Heading3"/>
      </w:pPr>
      <w:bookmarkStart w:id="17" w:name="_Toc167180252"/>
      <w:bookmarkStart w:id="18" w:name="_Toc215211252"/>
      <w:r w:rsidRPr="00096D02">
        <w:lastRenderedPageBreak/>
        <w:t xml:space="preserve">535113-535124 : NGS pour un </w:t>
      </w:r>
      <w:bookmarkStart w:id="19" w:name="_Hlk150263584"/>
      <w:r w:rsidRPr="00096D02">
        <w:t>cancer des tissus mous, susp</w:t>
      </w:r>
      <w:bookmarkEnd w:id="19"/>
      <w:r w:rsidRPr="00096D02">
        <w:t>icion de GIST</w:t>
      </w:r>
      <w:bookmarkEnd w:id="17"/>
      <w:bookmarkEnd w:id="18"/>
    </w:p>
    <w:p w14:paraId="5EDB0E06" w14:textId="77777777" w:rsidR="00407B8C" w:rsidRPr="00736304" w:rsidRDefault="00407B8C" w:rsidP="00407B8C"/>
    <w:p w14:paraId="14B5DFEA" w14:textId="77777777" w:rsidR="00407B8C" w:rsidRPr="00736304" w:rsidRDefault="00407B8C" w:rsidP="00407B8C">
      <w:r w:rsidRPr="00736304">
        <w:t>Remboursement : 600 €</w:t>
      </w:r>
    </w:p>
    <w:p w14:paraId="205BBE6B" w14:textId="77777777" w:rsidR="00407B8C" w:rsidRPr="00736304" w:rsidRDefault="00407B8C" w:rsidP="00407B8C">
      <w:r w:rsidRPr="00736304">
        <w:t>Indication:</w:t>
      </w:r>
    </w:p>
    <w:p w14:paraId="7AA4E15D" w14:textId="77777777" w:rsidR="00407B8C" w:rsidRPr="00736304" w:rsidRDefault="00407B8C" w:rsidP="00407B8C">
      <w:pPr>
        <w:pStyle w:val="ListParagraph"/>
        <w:numPr>
          <w:ilvl w:val="0"/>
          <w:numId w:val="19"/>
        </w:numPr>
        <w:spacing w:after="160" w:line="259" w:lineRule="auto"/>
        <w:rPr>
          <w:rFonts w:ascii="Calibri" w:hAnsi="Calibri" w:cs="Calibri"/>
          <w:iCs/>
          <w:lang w:val="fr-FR"/>
        </w:rPr>
      </w:pPr>
      <w:r w:rsidRPr="00736304">
        <w:rPr>
          <w:lang w:val="fr-FR"/>
        </w:rPr>
        <w:t xml:space="preserve">Cancer des tissus mous, suspicion de </w:t>
      </w:r>
      <w:r w:rsidRPr="00736304">
        <w:rPr>
          <w:rFonts w:ascii="Calibri" w:hAnsi="Calibri" w:cs="Calibri"/>
          <w:iCs/>
          <w:lang w:val="fr-FR"/>
        </w:rPr>
        <w:t>tumeur stromale gastro-intestinale</w:t>
      </w:r>
      <w:r w:rsidRPr="00736304">
        <w:rPr>
          <w:lang w:val="fr-FR"/>
        </w:rPr>
        <w:t xml:space="preserve"> (GIST)</w:t>
      </w:r>
    </w:p>
    <w:p w14:paraId="2266AC77" w14:textId="77777777" w:rsidR="00407B8C" w:rsidRPr="00736304" w:rsidRDefault="00407B8C" w:rsidP="00407B8C"/>
    <w:p w14:paraId="57F3187C" w14:textId="77777777" w:rsidR="00407B8C" w:rsidRPr="00736304" w:rsidRDefault="00407B8C" w:rsidP="00407B8C">
      <w:r w:rsidRPr="00736304">
        <w:t>Biomarqueurs minimaux à tester :</w:t>
      </w:r>
    </w:p>
    <w:p w14:paraId="23FF4349" w14:textId="77777777" w:rsidR="00407B8C" w:rsidRPr="00736304" w:rsidRDefault="00407B8C" w:rsidP="00407B8C">
      <w:pPr>
        <w:pStyle w:val="ListParagraph"/>
        <w:numPr>
          <w:ilvl w:val="0"/>
          <w:numId w:val="15"/>
        </w:numPr>
        <w:tabs>
          <w:tab w:val="left" w:pos="8505"/>
        </w:tabs>
        <w:spacing w:after="0" w:line="259" w:lineRule="auto"/>
        <w:rPr>
          <w:rFonts w:ascii="Calibri" w:hAnsi="Calibri" w:cs="Calibri"/>
          <w:iCs/>
          <w:lang w:val="fr-FR"/>
        </w:rPr>
      </w:pPr>
      <w:r w:rsidRPr="00736304">
        <w:rPr>
          <w:rFonts w:ascii="Calibri" w:hAnsi="Calibri" w:cs="Calibri"/>
          <w:iCs/>
          <w:lang w:val="fr-FR"/>
        </w:rPr>
        <w:t xml:space="preserve">KIT </w:t>
      </w:r>
      <w:r w:rsidRPr="00736304">
        <w:rPr>
          <w:rFonts w:ascii="Calibri" w:hAnsi="Calibri" w:cs="Calibri"/>
          <w:iCs/>
          <w:sz w:val="20"/>
          <w:szCs w:val="20"/>
          <w:lang w:val="fr-FR"/>
        </w:rPr>
        <w:t xml:space="preserve">(exon 9, exon 11, exon 13, exon 14, exon 17, exon 18,  intron10/exon11 boundary)         </w:t>
      </w:r>
      <w:r w:rsidRPr="00736304">
        <w:rPr>
          <w:rFonts w:ascii="Calibri" w:hAnsi="Calibri" w:cs="Calibri"/>
          <w:b/>
          <w:bCs/>
          <w:iCs/>
          <w:lang w:val="fr-FR"/>
        </w:rPr>
        <w:t>diagnostic</w:t>
      </w:r>
    </w:p>
    <w:p w14:paraId="12C51320" w14:textId="77777777" w:rsidR="00407B8C" w:rsidRPr="00736304" w:rsidRDefault="00407B8C" w:rsidP="00407B8C">
      <w:pPr>
        <w:pStyle w:val="ListParagraph"/>
        <w:numPr>
          <w:ilvl w:val="0"/>
          <w:numId w:val="15"/>
        </w:numPr>
        <w:tabs>
          <w:tab w:val="left" w:pos="7655"/>
        </w:tabs>
        <w:spacing w:after="0" w:line="259" w:lineRule="auto"/>
        <w:rPr>
          <w:rFonts w:ascii="Calibri" w:hAnsi="Calibri" w:cs="Calibri"/>
          <w:b/>
          <w:iCs/>
          <w:lang w:val="fr-FR"/>
        </w:rPr>
      </w:pPr>
      <w:r w:rsidRPr="00736304">
        <w:rPr>
          <w:rFonts w:ascii="Calibri" w:hAnsi="Calibri" w:cs="Calibri"/>
          <w:iCs/>
          <w:lang w:val="fr-FR"/>
        </w:rPr>
        <w:t xml:space="preserve">PDGFRA (exon 12, exon 14, exon 18)                                                                   </w:t>
      </w:r>
      <w:r w:rsidRPr="00736304">
        <w:rPr>
          <w:rFonts w:ascii="Calibri" w:hAnsi="Calibri" w:cs="Calibri"/>
          <w:b/>
          <w:iCs/>
          <w:lang w:val="fr-FR"/>
        </w:rPr>
        <w:t>diagnostic/thérapie</w:t>
      </w:r>
    </w:p>
    <w:p w14:paraId="2D7B70AB" w14:textId="77777777" w:rsidR="00407B8C" w:rsidRPr="00736304" w:rsidRDefault="00407B8C" w:rsidP="00407B8C">
      <w:pPr>
        <w:tabs>
          <w:tab w:val="right" w:pos="9214"/>
        </w:tabs>
      </w:pPr>
    </w:p>
    <w:p w14:paraId="739E12E1" w14:textId="77777777" w:rsidR="00407B8C" w:rsidRPr="00736304" w:rsidRDefault="00407B8C" w:rsidP="00407B8C">
      <w:pPr>
        <w:tabs>
          <w:tab w:val="right" w:pos="9214"/>
        </w:tabs>
      </w:pPr>
      <w:r w:rsidRPr="00736304">
        <w:t>Enregistrement obligatoire dans PITTER :</w:t>
      </w:r>
    </w:p>
    <w:p w14:paraId="12473BE0"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rFonts w:ascii="Calibri" w:hAnsi="Calibri" w:cs="Calibri"/>
          <w:iCs/>
          <w:lang w:val="fr-FR"/>
        </w:rPr>
        <w:t>594414 – 594425 : « Analyse de la mutation PDGFRA D842V en cas de tumeur stromale gastro-intestinale »</w:t>
      </w:r>
    </w:p>
    <w:p w14:paraId="51D0B6D9" w14:textId="77777777" w:rsidR="00407B8C" w:rsidRPr="00736304" w:rsidRDefault="00407B8C" w:rsidP="00407B8C">
      <w:pPr>
        <w:tabs>
          <w:tab w:val="right" w:pos="9214"/>
        </w:tabs>
      </w:pPr>
    </w:p>
    <w:p w14:paraId="4F037EB2" w14:textId="77777777" w:rsidR="00407B8C" w:rsidRPr="00736304" w:rsidRDefault="00407B8C" w:rsidP="00407B8C">
      <w:pPr>
        <w:tabs>
          <w:tab w:val="right" w:pos="9214"/>
        </w:tabs>
      </w:pPr>
      <w:r w:rsidRPr="00736304">
        <w:t>Règles de cumul :</w:t>
      </w:r>
    </w:p>
    <w:p w14:paraId="542040A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45D96F7"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4575806F"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7CD0228"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1ED89E96"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748A31A" w14:textId="77777777" w:rsidR="00407B8C" w:rsidRPr="00736304" w:rsidRDefault="00407B8C" w:rsidP="00407B8C">
      <w:pPr>
        <w:pStyle w:val="ListParagraph"/>
        <w:tabs>
          <w:tab w:val="right" w:pos="9214"/>
        </w:tabs>
        <w:rPr>
          <w:lang w:val="fr-FR"/>
        </w:rPr>
      </w:pPr>
    </w:p>
    <w:p w14:paraId="38A608A4"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54A66081" w14:textId="77777777" w:rsidR="00407B8C" w:rsidRPr="00096D02" w:rsidRDefault="00407B8C" w:rsidP="007C587C">
      <w:pPr>
        <w:pStyle w:val="Heading3"/>
      </w:pPr>
      <w:bookmarkStart w:id="20" w:name="_Toc167180253"/>
      <w:bookmarkStart w:id="21" w:name="_Toc215211253"/>
      <w:r w:rsidRPr="00096D02">
        <w:lastRenderedPageBreak/>
        <w:t>535135-535146 : NGS pour un mélanome avec métastases à distance ou métastasé aux nodules lymphoïdes stade III</w:t>
      </w:r>
      <w:bookmarkEnd w:id="20"/>
      <w:bookmarkEnd w:id="21"/>
      <w:r w:rsidRPr="00096D02">
        <w:t xml:space="preserve"> </w:t>
      </w:r>
    </w:p>
    <w:p w14:paraId="0DD12868" w14:textId="77777777" w:rsidR="00407B8C" w:rsidRPr="00736304" w:rsidRDefault="00407B8C" w:rsidP="00407B8C"/>
    <w:p w14:paraId="2C07D4B5" w14:textId="77777777" w:rsidR="00407B8C" w:rsidRPr="00736304" w:rsidRDefault="00407B8C" w:rsidP="00407B8C">
      <w:r w:rsidRPr="00736304">
        <w:t>Remboursement : 600 €</w:t>
      </w:r>
    </w:p>
    <w:p w14:paraId="4377DCB3" w14:textId="77777777" w:rsidR="00407B8C" w:rsidRPr="00736304" w:rsidRDefault="00407B8C" w:rsidP="00407B8C">
      <w:r w:rsidRPr="00736304">
        <w:t xml:space="preserve">Indication: </w:t>
      </w:r>
    </w:p>
    <w:p w14:paraId="685A9AAA" w14:textId="77777777" w:rsidR="00407B8C" w:rsidRPr="00736304" w:rsidRDefault="00407B8C" w:rsidP="00407B8C">
      <w:pPr>
        <w:pStyle w:val="ListParagraph"/>
        <w:numPr>
          <w:ilvl w:val="0"/>
          <w:numId w:val="30"/>
        </w:numPr>
        <w:spacing w:after="160" w:line="259" w:lineRule="auto"/>
        <w:rPr>
          <w:lang w:val="fr-FR"/>
        </w:rPr>
      </w:pPr>
      <w:r w:rsidRPr="00736304">
        <w:rPr>
          <w:lang w:val="fr-FR"/>
        </w:rPr>
        <w:t xml:space="preserve">Mélanome </w:t>
      </w:r>
      <w:r w:rsidRPr="00191060">
        <w:rPr>
          <w:lang w:val="fr-FR"/>
        </w:rPr>
        <w:t xml:space="preserve">avec métastases à distance </w:t>
      </w:r>
      <w:r w:rsidRPr="00736304">
        <w:rPr>
          <w:lang w:val="fr-FR"/>
        </w:rPr>
        <w:t>ou métastasé aux nodules lymphoïdes stade III</w:t>
      </w:r>
    </w:p>
    <w:p w14:paraId="76EC4B37" w14:textId="77777777" w:rsidR="00407B8C" w:rsidRPr="00736304" w:rsidRDefault="00407B8C" w:rsidP="00407B8C"/>
    <w:p w14:paraId="620E668D" w14:textId="77777777" w:rsidR="00407B8C" w:rsidRPr="00736304" w:rsidRDefault="00407B8C" w:rsidP="00407B8C">
      <w:r w:rsidRPr="00736304">
        <w:t>Biomarqueurs minimaux à tester :</w:t>
      </w:r>
    </w:p>
    <w:p w14:paraId="5D812CE0" w14:textId="77777777" w:rsidR="00407B8C" w:rsidRPr="00736304" w:rsidRDefault="00407B8C" w:rsidP="00407B8C">
      <w:pPr>
        <w:pStyle w:val="ListParagraph"/>
        <w:numPr>
          <w:ilvl w:val="0"/>
          <w:numId w:val="15"/>
        </w:numPr>
        <w:tabs>
          <w:tab w:val="left" w:pos="8505"/>
        </w:tabs>
        <w:spacing w:after="0" w:line="259" w:lineRule="auto"/>
        <w:rPr>
          <w:rFonts w:ascii="Calibri" w:hAnsi="Calibri" w:cs="Calibri"/>
          <w:iCs/>
          <w:lang w:val="fr-FR"/>
        </w:rPr>
      </w:pPr>
      <w:r w:rsidRPr="00736304">
        <w:rPr>
          <w:rFonts w:ascii="Calibri" w:hAnsi="Calibri" w:cs="Calibri"/>
          <w:iCs/>
          <w:lang w:val="fr-FR"/>
        </w:rPr>
        <w:t>BRAF (exon 15 (codon 600))</w:t>
      </w:r>
      <w:r w:rsidRPr="00736304">
        <w:rPr>
          <w:rFonts w:ascii="Calibri" w:hAnsi="Calibri" w:cs="Calibri"/>
          <w:iCs/>
          <w:lang w:val="fr-FR"/>
        </w:rPr>
        <w:tab/>
        <w:t xml:space="preserve"> </w:t>
      </w:r>
      <w:r w:rsidRPr="00736304">
        <w:rPr>
          <w:rFonts w:ascii="Calibri" w:hAnsi="Calibri" w:cs="Calibri"/>
          <w:b/>
          <w:bCs/>
          <w:iCs/>
          <w:lang w:val="fr-FR"/>
        </w:rPr>
        <w:t xml:space="preserve">thérapie </w:t>
      </w:r>
    </w:p>
    <w:p w14:paraId="3FA37EAB" w14:textId="77777777" w:rsidR="00407B8C" w:rsidRPr="00736304" w:rsidRDefault="00407B8C" w:rsidP="00407B8C">
      <w:pPr>
        <w:pStyle w:val="ListParagraph"/>
        <w:numPr>
          <w:ilvl w:val="0"/>
          <w:numId w:val="15"/>
        </w:numPr>
        <w:tabs>
          <w:tab w:val="left" w:pos="8505"/>
        </w:tabs>
        <w:spacing w:after="0" w:line="259" w:lineRule="auto"/>
        <w:rPr>
          <w:rFonts w:ascii="Calibri" w:hAnsi="Calibri" w:cs="Calibri"/>
          <w:iCs/>
          <w:lang w:val="fr-FR"/>
        </w:rPr>
      </w:pPr>
      <w:r w:rsidRPr="00736304">
        <w:rPr>
          <w:rFonts w:ascii="Calibri" w:hAnsi="Calibri" w:cs="Calibri"/>
          <w:iCs/>
          <w:lang w:val="fr-FR"/>
        </w:rPr>
        <w:t xml:space="preserve">KIT </w:t>
      </w:r>
      <w:r w:rsidRPr="00736304">
        <w:rPr>
          <w:rFonts w:ascii="Calibri" w:hAnsi="Calibri" w:cs="Calibri"/>
          <w:iCs/>
          <w:sz w:val="20"/>
          <w:szCs w:val="20"/>
          <w:lang w:val="fr-FR"/>
        </w:rPr>
        <w:t xml:space="preserve">(exon 9, exon 11, exon 13, exon 17, exon 18, frontière </w:t>
      </w:r>
      <w:r w:rsidRPr="00736304">
        <w:rPr>
          <w:sz w:val="20"/>
          <w:szCs w:val="20"/>
          <w:lang w:val="fr-FR"/>
        </w:rPr>
        <w:t>intron10/exon11)</w:t>
      </w:r>
      <w:r w:rsidRPr="00736304">
        <w:rPr>
          <w:rFonts w:ascii="Calibri" w:hAnsi="Calibri" w:cs="Calibri"/>
          <w:b/>
          <w:bCs/>
          <w:iCs/>
          <w:sz w:val="20"/>
          <w:szCs w:val="20"/>
          <w:lang w:val="fr-FR"/>
        </w:rPr>
        <w:t xml:space="preserve">                                 </w:t>
      </w:r>
      <w:r w:rsidRPr="00736304">
        <w:rPr>
          <w:rFonts w:ascii="Calibri" w:hAnsi="Calibri" w:cs="Calibri"/>
          <w:b/>
          <w:bCs/>
          <w:iCs/>
          <w:lang w:val="fr-FR"/>
        </w:rPr>
        <w:t>diagnostic</w:t>
      </w:r>
      <w:r w:rsidRPr="00736304">
        <w:rPr>
          <w:rFonts w:ascii="Calibri" w:hAnsi="Calibri" w:cs="Calibri"/>
          <w:iCs/>
          <w:lang w:val="fr-FR"/>
        </w:rPr>
        <w:t xml:space="preserve">                                                            </w:t>
      </w:r>
    </w:p>
    <w:p w14:paraId="7E3F322B" w14:textId="77777777" w:rsidR="00407B8C" w:rsidRPr="00736304" w:rsidRDefault="00407B8C" w:rsidP="00407B8C">
      <w:pPr>
        <w:pStyle w:val="ListParagraph"/>
        <w:numPr>
          <w:ilvl w:val="0"/>
          <w:numId w:val="15"/>
        </w:numPr>
        <w:tabs>
          <w:tab w:val="left" w:pos="8505"/>
        </w:tabs>
        <w:spacing w:after="0" w:line="259" w:lineRule="auto"/>
        <w:rPr>
          <w:rFonts w:ascii="Calibri" w:hAnsi="Calibri" w:cs="Calibri"/>
          <w:iCs/>
          <w:lang w:val="fr-FR"/>
        </w:rPr>
      </w:pPr>
      <w:r w:rsidRPr="00736304">
        <w:rPr>
          <w:rFonts w:ascii="Calibri" w:hAnsi="Calibri" w:cs="Calibri"/>
          <w:iCs/>
          <w:lang w:val="fr-FR"/>
        </w:rPr>
        <w:t xml:space="preserve">NRAS (exon 2 (codons 12,13), exon 3 (codons 59, 61), exon 4 (codons 117, 146))           </w:t>
      </w:r>
      <w:r w:rsidRPr="00736304">
        <w:rPr>
          <w:rFonts w:ascii="Calibri" w:hAnsi="Calibri" w:cs="Calibri"/>
          <w:b/>
          <w:bCs/>
          <w:iCs/>
          <w:lang w:val="fr-FR"/>
        </w:rPr>
        <w:t>diagnostic</w:t>
      </w:r>
      <w:r w:rsidRPr="00736304">
        <w:rPr>
          <w:rFonts w:ascii="Calibri" w:hAnsi="Calibri" w:cs="Calibri"/>
          <w:iCs/>
          <w:lang w:val="fr-FR"/>
        </w:rPr>
        <w:t xml:space="preserve"> </w:t>
      </w:r>
    </w:p>
    <w:p w14:paraId="5974A9D5" w14:textId="77777777" w:rsidR="00407B8C" w:rsidRPr="00736304" w:rsidRDefault="00407B8C" w:rsidP="00407B8C">
      <w:pPr>
        <w:pStyle w:val="ListParagraph"/>
        <w:numPr>
          <w:ilvl w:val="0"/>
          <w:numId w:val="15"/>
        </w:numPr>
        <w:tabs>
          <w:tab w:val="left" w:pos="8505"/>
        </w:tabs>
        <w:spacing w:after="0" w:line="259" w:lineRule="auto"/>
        <w:rPr>
          <w:rFonts w:ascii="Calibri" w:hAnsi="Calibri" w:cs="Calibri"/>
          <w:iCs/>
          <w:lang w:val="fr-FR"/>
        </w:rPr>
      </w:pPr>
      <w:r w:rsidRPr="00736304">
        <w:rPr>
          <w:rFonts w:ascii="Calibri" w:hAnsi="Calibri" w:cs="Calibri"/>
          <w:iCs/>
          <w:lang w:val="fr-FR"/>
        </w:rPr>
        <w:t xml:space="preserve">Promoteur TERT (c.-124C&gt;T (C228T), c.-146C&gt;T (C250T))                                  </w:t>
      </w:r>
      <w:r w:rsidRPr="00736304">
        <w:rPr>
          <w:rFonts w:ascii="Calibri" w:hAnsi="Calibri" w:cs="Calibri"/>
          <w:b/>
          <w:bCs/>
          <w:iCs/>
          <w:lang w:val="fr-FR"/>
        </w:rPr>
        <w:t>diagnostic/pronostic</w:t>
      </w:r>
      <w:r w:rsidRPr="00736304">
        <w:rPr>
          <w:rFonts w:ascii="Calibri" w:hAnsi="Calibri" w:cs="Calibri"/>
          <w:iCs/>
          <w:lang w:val="fr-FR"/>
        </w:rPr>
        <w:tab/>
      </w:r>
    </w:p>
    <w:p w14:paraId="6BA4474A" w14:textId="77777777" w:rsidR="00407B8C" w:rsidRPr="00736304" w:rsidRDefault="00407B8C" w:rsidP="00407B8C">
      <w:pPr>
        <w:tabs>
          <w:tab w:val="right" w:pos="9214"/>
        </w:tabs>
      </w:pPr>
    </w:p>
    <w:p w14:paraId="184FC5D7" w14:textId="77777777" w:rsidR="00407B8C" w:rsidRPr="00736304" w:rsidRDefault="00407B8C" w:rsidP="00407B8C">
      <w:pPr>
        <w:tabs>
          <w:tab w:val="right" w:pos="9214"/>
        </w:tabs>
      </w:pPr>
      <w:r w:rsidRPr="00736304">
        <w:t>Enregistrement obligatoire dans PITTER :</w:t>
      </w:r>
    </w:p>
    <w:p w14:paraId="47658892" w14:textId="77777777" w:rsidR="00407B8C" w:rsidRPr="00736304" w:rsidRDefault="00407B8C" w:rsidP="00407B8C">
      <w:pPr>
        <w:tabs>
          <w:tab w:val="left" w:pos="284"/>
          <w:tab w:val="right" w:pos="9214"/>
        </w:tabs>
      </w:pPr>
      <w:r w:rsidRPr="00736304">
        <w:tab/>
        <w:t xml:space="preserve">L’un des de ces </w:t>
      </w:r>
      <w:r>
        <w:t xml:space="preserve">codes de pseudonomenclature  </w:t>
      </w:r>
      <w:r w:rsidRPr="00736304">
        <w:t> :</w:t>
      </w:r>
    </w:p>
    <w:p w14:paraId="1D351D1C"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594392 – 594403 : Analyse du statut mutationnel du gène BRAF V600 en cas de mélanome primaire avancé (non résécable ou métastatique)</w:t>
      </w:r>
    </w:p>
    <w:p w14:paraId="19AA8D5F"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594296 – 594300 : Analyse du statut mutationnel du gène BRAF V600 en cas de mélanome de stade III résécable</w:t>
      </w:r>
    </w:p>
    <w:p w14:paraId="3EFE32F4" w14:textId="77777777" w:rsidR="00407B8C" w:rsidRPr="00736304" w:rsidRDefault="00407B8C" w:rsidP="00407B8C">
      <w:pPr>
        <w:tabs>
          <w:tab w:val="right" w:pos="9214"/>
        </w:tabs>
      </w:pPr>
    </w:p>
    <w:p w14:paraId="38F59262" w14:textId="77777777" w:rsidR="00407B8C" w:rsidRPr="00736304" w:rsidRDefault="00407B8C" w:rsidP="00407B8C">
      <w:pPr>
        <w:tabs>
          <w:tab w:val="right" w:pos="9214"/>
        </w:tabs>
      </w:pPr>
      <w:r w:rsidRPr="00736304">
        <w:t>Règles de cumul :</w:t>
      </w:r>
    </w:p>
    <w:p w14:paraId="3FFD87F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C565B82"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1801745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0AD875CA"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2D2B6D7F"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61473EE" w14:textId="77777777" w:rsidR="00407B8C" w:rsidRPr="00736304" w:rsidRDefault="00407B8C" w:rsidP="00407B8C"/>
    <w:p w14:paraId="09B066A7" w14:textId="77777777" w:rsidR="00407B8C" w:rsidRPr="00096D02" w:rsidRDefault="00407B8C" w:rsidP="007C587C">
      <w:pPr>
        <w:pStyle w:val="Heading3"/>
      </w:pPr>
      <w:bookmarkStart w:id="22" w:name="_Toc167180254"/>
      <w:bookmarkStart w:id="23" w:name="_Toc215211254"/>
      <w:r w:rsidRPr="00096D02">
        <w:t>535150-535161 : HRD pour un carcinome ovarien épithélial de haut grade non mucineux, un carcinome des trompes de Fallope ou un carcinome péritonéal primaire</w:t>
      </w:r>
      <w:bookmarkEnd w:id="22"/>
      <w:bookmarkEnd w:id="23"/>
    </w:p>
    <w:p w14:paraId="4F5ECB71" w14:textId="77777777" w:rsidR="00407B8C" w:rsidRPr="00736304" w:rsidRDefault="00407B8C" w:rsidP="00407B8C"/>
    <w:p w14:paraId="02AF7F6D" w14:textId="77777777" w:rsidR="00407B8C" w:rsidRPr="00736304" w:rsidRDefault="00407B8C" w:rsidP="00407B8C">
      <w:r w:rsidRPr="00736304">
        <w:t xml:space="preserve">Remboursement : 1.200 € </w:t>
      </w:r>
    </w:p>
    <w:p w14:paraId="21B8361E" w14:textId="77777777" w:rsidR="00407B8C" w:rsidRPr="00736304" w:rsidRDefault="00407B8C" w:rsidP="00407B8C">
      <w:r w:rsidRPr="00736304">
        <w:t>Indication:</w:t>
      </w:r>
    </w:p>
    <w:p w14:paraId="3300D53F" w14:textId="77777777" w:rsidR="00407B8C" w:rsidRPr="00736304" w:rsidRDefault="00407B8C" w:rsidP="00407B8C">
      <w:pPr>
        <w:pStyle w:val="ListParagraph"/>
        <w:numPr>
          <w:ilvl w:val="0"/>
          <w:numId w:val="20"/>
        </w:numPr>
        <w:spacing w:after="160" w:line="259" w:lineRule="auto"/>
        <w:rPr>
          <w:lang w:val="fr-FR"/>
        </w:rPr>
      </w:pPr>
      <w:r w:rsidRPr="00736304">
        <w:rPr>
          <w:lang w:val="fr-FR"/>
        </w:rPr>
        <w:t>Carcinome ovarien épithélial de haut grade non mucineux</w:t>
      </w:r>
    </w:p>
    <w:p w14:paraId="4201B325" w14:textId="77777777" w:rsidR="00407B8C" w:rsidRPr="00736304" w:rsidRDefault="00407B8C" w:rsidP="00407B8C">
      <w:pPr>
        <w:pStyle w:val="ListParagraph"/>
        <w:numPr>
          <w:ilvl w:val="0"/>
          <w:numId w:val="20"/>
        </w:numPr>
        <w:spacing w:after="160" w:line="259" w:lineRule="auto"/>
        <w:rPr>
          <w:lang w:val="fr-FR"/>
        </w:rPr>
      </w:pPr>
      <w:r w:rsidRPr="00736304">
        <w:rPr>
          <w:lang w:val="fr-FR"/>
        </w:rPr>
        <w:t>Carcinome des trompes de Fallope</w:t>
      </w:r>
    </w:p>
    <w:p w14:paraId="56426370" w14:textId="77777777" w:rsidR="00407B8C" w:rsidRPr="00736304" w:rsidRDefault="00407B8C" w:rsidP="00407B8C">
      <w:pPr>
        <w:pStyle w:val="ListParagraph"/>
        <w:numPr>
          <w:ilvl w:val="0"/>
          <w:numId w:val="20"/>
        </w:numPr>
        <w:spacing w:after="160" w:line="259" w:lineRule="auto"/>
        <w:rPr>
          <w:lang w:val="fr-FR"/>
        </w:rPr>
      </w:pPr>
      <w:r w:rsidRPr="00736304">
        <w:rPr>
          <w:lang w:val="fr-FR"/>
        </w:rPr>
        <w:t>Carcinome péritonéal primaire</w:t>
      </w:r>
      <w:r w:rsidRPr="00736304">
        <w:rPr>
          <w:lang w:val="fr-FR"/>
        </w:rPr>
        <w:cr/>
      </w:r>
    </w:p>
    <w:p w14:paraId="4BEDA717" w14:textId="77777777" w:rsidR="00407B8C" w:rsidRPr="00736304" w:rsidRDefault="00407B8C" w:rsidP="00407B8C">
      <w:r w:rsidRPr="00736304">
        <w:t>Biomarqueurs minimaux à tester :</w:t>
      </w:r>
    </w:p>
    <w:p w14:paraId="772FEA4E" w14:textId="77777777" w:rsidR="00407B8C" w:rsidRPr="00736304" w:rsidRDefault="00407B8C" w:rsidP="00407B8C">
      <w:pPr>
        <w:pStyle w:val="ListParagraph"/>
        <w:numPr>
          <w:ilvl w:val="0"/>
          <w:numId w:val="15"/>
        </w:numPr>
        <w:tabs>
          <w:tab w:val="left" w:pos="8505"/>
        </w:tabs>
        <w:spacing w:after="0" w:line="259" w:lineRule="auto"/>
        <w:rPr>
          <w:lang w:val="fr-FR"/>
        </w:rPr>
      </w:pPr>
      <w:r w:rsidRPr="00736304">
        <w:rPr>
          <w:lang w:val="fr-FR"/>
        </w:rPr>
        <w:t>BRCA1 (tous les exons codants et toutes les régions de sites de splicing)</w:t>
      </w:r>
      <w:r w:rsidRPr="00736304">
        <w:rPr>
          <w:lang w:val="fr-FR"/>
        </w:rPr>
        <w:tab/>
        <w:t xml:space="preserve"> </w:t>
      </w:r>
      <w:r w:rsidRPr="00736304">
        <w:rPr>
          <w:b/>
          <w:bCs/>
          <w:lang w:val="fr-FR"/>
        </w:rPr>
        <w:t>thérapie</w:t>
      </w:r>
      <w:r w:rsidRPr="00736304">
        <w:rPr>
          <w:lang w:val="fr-FR"/>
        </w:rPr>
        <w:t xml:space="preserve"> </w:t>
      </w:r>
    </w:p>
    <w:p w14:paraId="043CA115" w14:textId="77777777" w:rsidR="00407B8C" w:rsidRPr="00631325" w:rsidRDefault="00407B8C" w:rsidP="00407B8C">
      <w:pPr>
        <w:pStyle w:val="ListParagraph"/>
        <w:numPr>
          <w:ilvl w:val="0"/>
          <w:numId w:val="15"/>
        </w:numPr>
        <w:tabs>
          <w:tab w:val="left" w:pos="8505"/>
        </w:tabs>
        <w:spacing w:after="0" w:line="259" w:lineRule="auto"/>
        <w:rPr>
          <w:lang w:val="fr-FR"/>
        </w:rPr>
      </w:pPr>
      <w:r w:rsidRPr="00736304">
        <w:rPr>
          <w:lang w:val="fr-FR"/>
        </w:rPr>
        <w:t>BRCA2 (tous les exons codants et toutes les régions de sites de splicing)</w:t>
      </w:r>
      <w:r w:rsidRPr="00736304">
        <w:rPr>
          <w:lang w:val="fr-FR"/>
        </w:rPr>
        <w:tab/>
        <w:t xml:space="preserve"> </w:t>
      </w:r>
      <w:r w:rsidRPr="00736304">
        <w:rPr>
          <w:b/>
          <w:bCs/>
          <w:lang w:val="fr-FR"/>
        </w:rPr>
        <w:t>thérapie</w:t>
      </w:r>
    </w:p>
    <w:p w14:paraId="24FC6817" w14:textId="3B6DE35A" w:rsidR="00407B8C" w:rsidRPr="00736304" w:rsidRDefault="00407B8C" w:rsidP="00407B8C">
      <w:pPr>
        <w:pStyle w:val="ListParagraph"/>
        <w:numPr>
          <w:ilvl w:val="0"/>
          <w:numId w:val="15"/>
        </w:numPr>
        <w:tabs>
          <w:tab w:val="left" w:pos="8505"/>
        </w:tabs>
        <w:spacing w:after="0" w:line="259" w:lineRule="auto"/>
        <w:rPr>
          <w:lang w:val="fr-FR"/>
        </w:rPr>
      </w:pPr>
      <w:bookmarkStart w:id="24" w:name="_Hlk159571197"/>
      <w:r w:rsidRPr="00736304">
        <w:rPr>
          <w:lang w:val="fr-FR"/>
        </w:rPr>
        <w:t>Calcul d’un score d’instabilité génomique</w:t>
      </w:r>
      <w:bookmarkEnd w:id="24"/>
      <w:r w:rsidRPr="00736304">
        <w:rPr>
          <w:lang w:val="fr-FR"/>
        </w:rPr>
        <w:t xml:space="preserve">     </w:t>
      </w:r>
      <w:r>
        <w:rPr>
          <w:lang w:val="fr-FR"/>
        </w:rPr>
        <w:t>(GIS)</w:t>
      </w:r>
      <w:r w:rsidRPr="00736304">
        <w:rPr>
          <w:lang w:val="fr-FR"/>
        </w:rPr>
        <w:t xml:space="preserve">                                                           </w:t>
      </w:r>
      <w:r>
        <w:rPr>
          <w:lang w:val="fr-FR"/>
        </w:rPr>
        <w:tab/>
      </w:r>
      <w:r w:rsidR="007C587C">
        <w:rPr>
          <w:lang w:val="fr-FR"/>
        </w:rPr>
        <w:t xml:space="preserve"> </w:t>
      </w:r>
      <w:r w:rsidRPr="007C587C">
        <w:rPr>
          <w:b/>
          <w:bCs/>
          <w:lang w:val="fr-FR"/>
        </w:rPr>
        <w:t xml:space="preserve">thérapie                                                                     </w:t>
      </w:r>
    </w:p>
    <w:p w14:paraId="0231FC72" w14:textId="77777777" w:rsidR="00407B8C" w:rsidRDefault="00407B8C" w:rsidP="00407B8C">
      <w:pPr>
        <w:pStyle w:val="ListParagraph"/>
        <w:tabs>
          <w:tab w:val="left" w:pos="8505"/>
        </w:tabs>
        <w:spacing w:after="0"/>
        <w:rPr>
          <w:lang w:val="fr-FR"/>
        </w:rPr>
      </w:pPr>
    </w:p>
    <w:p w14:paraId="52AE5CD5" w14:textId="77777777" w:rsidR="00407B8C" w:rsidRPr="00B561F6" w:rsidRDefault="00407B8C" w:rsidP="00407B8C">
      <w:pPr>
        <w:pStyle w:val="ListParagraph"/>
        <w:tabs>
          <w:tab w:val="left" w:pos="8505"/>
        </w:tabs>
        <w:spacing w:after="0"/>
        <w:ind w:left="0"/>
        <w:rPr>
          <w:i/>
          <w:iCs/>
          <w:lang w:val="fr-FR"/>
        </w:rPr>
      </w:pPr>
      <w:r w:rsidRPr="00B561F6">
        <w:rPr>
          <w:i/>
          <w:iCs/>
          <w:lang w:val="fr-FR"/>
        </w:rPr>
        <w:t xml:space="preserve">Remarque : un test NGS pour </w:t>
      </w:r>
      <w:r w:rsidRPr="00E44318">
        <w:rPr>
          <w:i/>
          <w:iCs/>
          <w:lang w:val="fr-FR"/>
        </w:rPr>
        <w:t>les</w:t>
      </w:r>
      <w:r w:rsidRPr="00B561F6">
        <w:rPr>
          <w:i/>
          <w:iCs/>
          <w:lang w:val="fr-FR"/>
        </w:rPr>
        <w:t xml:space="preserve"> seuls BRCA1/2 ne sera plus remboursé à partir du 1</w:t>
      </w:r>
      <w:r w:rsidRPr="00B561F6">
        <w:rPr>
          <w:i/>
          <w:iCs/>
          <w:vertAlign w:val="superscript"/>
          <w:lang w:val="fr-FR"/>
        </w:rPr>
        <w:t>er</w:t>
      </w:r>
      <w:r w:rsidRPr="00B561F6">
        <w:rPr>
          <w:i/>
          <w:iCs/>
          <w:lang w:val="fr-FR"/>
        </w:rPr>
        <w:t xml:space="preserve"> juillet 2024</w:t>
      </w:r>
    </w:p>
    <w:p w14:paraId="062C32CC" w14:textId="77777777" w:rsidR="00407B8C" w:rsidRPr="00736304" w:rsidRDefault="00407B8C" w:rsidP="00407B8C">
      <w:pPr>
        <w:tabs>
          <w:tab w:val="right" w:pos="9214"/>
        </w:tabs>
      </w:pPr>
    </w:p>
    <w:p w14:paraId="68A5774D" w14:textId="77777777" w:rsidR="00407B8C" w:rsidRPr="00736304" w:rsidRDefault="00407B8C" w:rsidP="00407B8C">
      <w:pPr>
        <w:tabs>
          <w:tab w:val="right" w:pos="9214"/>
        </w:tabs>
      </w:pPr>
      <w:r w:rsidRPr="00736304">
        <w:t>Enregistrement obligatoire dans PITTER :</w:t>
      </w:r>
    </w:p>
    <w:p w14:paraId="2EDEB1D8" w14:textId="77777777" w:rsidR="00407B8C" w:rsidRPr="00736304" w:rsidRDefault="00407B8C" w:rsidP="00407B8C">
      <w:pPr>
        <w:pStyle w:val="ListParagraph"/>
        <w:numPr>
          <w:ilvl w:val="0"/>
          <w:numId w:val="20"/>
        </w:numPr>
        <w:tabs>
          <w:tab w:val="right" w:pos="9214"/>
        </w:tabs>
        <w:spacing w:after="160" w:line="259" w:lineRule="auto"/>
        <w:rPr>
          <w:lang w:val="fr-FR"/>
        </w:rPr>
      </w:pPr>
      <w:bookmarkStart w:id="25" w:name="_Hlk161645720"/>
      <w:r w:rsidRPr="00736304">
        <w:rPr>
          <w:lang w:val="fr-FR"/>
        </w:rPr>
        <w:t>Pas d’application</w:t>
      </w:r>
    </w:p>
    <w:bookmarkEnd w:id="25"/>
    <w:p w14:paraId="30598263" w14:textId="77777777" w:rsidR="00407B8C" w:rsidRPr="00736304" w:rsidRDefault="00407B8C" w:rsidP="00407B8C">
      <w:pPr>
        <w:tabs>
          <w:tab w:val="right" w:pos="9214"/>
        </w:tabs>
      </w:pPr>
    </w:p>
    <w:p w14:paraId="74EBDE69" w14:textId="77777777" w:rsidR="00407B8C" w:rsidRPr="00736304" w:rsidRDefault="00407B8C" w:rsidP="00407B8C">
      <w:pPr>
        <w:tabs>
          <w:tab w:val="right" w:pos="9214"/>
        </w:tabs>
      </w:pPr>
      <w:r w:rsidRPr="00736304">
        <w:t>Règles de cumul :</w:t>
      </w:r>
    </w:p>
    <w:p w14:paraId="17C0692B"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B8F5662"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Règle diagnostique 2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54F1DD8B"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5DCD0592"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1D5B9758" w14:textId="77777777" w:rsidR="00407B8C" w:rsidRPr="00B34B2C" w:rsidRDefault="00407B8C" w:rsidP="00407B8C">
      <w:pPr>
        <w:pStyle w:val="ListParagraph"/>
        <w:numPr>
          <w:ilvl w:val="0"/>
          <w:numId w:val="16"/>
        </w:numPr>
        <w:tabs>
          <w:tab w:val="right" w:pos="9214"/>
        </w:tabs>
        <w:spacing w:after="160" w:line="259" w:lineRule="auto"/>
        <w:rPr>
          <w:rFonts w:asciiTheme="majorHAnsi" w:eastAsiaTheme="majorEastAsia" w:hAnsiTheme="majorHAnsi" w:cstheme="majorBidi"/>
          <w:color w:val="365F91" w:themeColor="accent1" w:themeShade="BF"/>
          <w:sz w:val="26"/>
          <w:szCs w:val="26"/>
          <w:lang w:val="fr-FR"/>
        </w:rPr>
      </w:pPr>
      <w:r w:rsidRPr="00B34B2C">
        <w:rPr>
          <w:i/>
          <w:iCs/>
          <w:lang w:val="fr-FR"/>
        </w:rPr>
        <w:t xml:space="preserve">Règle diagnostique 7 : </w:t>
      </w:r>
      <w:r w:rsidRPr="00B34B2C">
        <w:rPr>
          <w:lang w:val="fr-FR"/>
        </w:rPr>
        <w:t xml:space="preserve">Le code de pseudonomenclature n'est pas cumulable </w:t>
      </w:r>
      <w:r w:rsidRPr="00B34B2C">
        <w:rPr>
          <w:b/>
          <w:bCs/>
          <w:u w:val="single"/>
          <w:lang w:val="fr-FR"/>
        </w:rPr>
        <w:t>pendant la phase d'investigation diagnostique</w:t>
      </w:r>
      <w:r w:rsidRPr="00B34B2C">
        <w:rPr>
          <w:lang w:val="fr-FR"/>
        </w:rPr>
        <w:t xml:space="preserve"> avec les prestations 565154-565165, 565515-565526, 565530-565541 of 565552-565563 de l’article 33 </w:t>
      </w:r>
      <w:r w:rsidRPr="00B34B2C">
        <w:rPr>
          <w:rFonts w:ascii="Calibri" w:eastAsia="Times New Roman" w:hAnsi="Calibri" w:cs="Calibri"/>
          <w:b/>
          <w:bCs/>
          <w:u w:val="single"/>
          <w:lang w:val="fr-BE" w:eastAsia="nl-NL"/>
        </w:rPr>
        <w:t xml:space="preserve">des </w:t>
      </w:r>
      <w:r w:rsidRPr="00B34B2C">
        <w:rPr>
          <w:b/>
          <w:bCs/>
          <w:u w:val="single"/>
          <w:lang w:val="fr-BE"/>
        </w:rPr>
        <w:t>anomalies génomiques somatiques</w:t>
      </w:r>
      <w:r w:rsidRPr="00B34B2C">
        <w:rPr>
          <w:lang w:val="fr-FR"/>
        </w:rPr>
        <w:br w:type="page"/>
      </w:r>
    </w:p>
    <w:p w14:paraId="5DC9D49F" w14:textId="77777777" w:rsidR="00407B8C" w:rsidRPr="00096D02" w:rsidRDefault="00407B8C" w:rsidP="007C587C">
      <w:pPr>
        <w:pStyle w:val="Heading3"/>
      </w:pPr>
      <w:bookmarkStart w:id="26" w:name="_Toc167180255"/>
      <w:bookmarkStart w:id="27" w:name="_Toc215211255"/>
      <w:r w:rsidRPr="00096D02">
        <w:lastRenderedPageBreak/>
        <w:t>535172-535183 : NGS pour un médulloblastome/autres tumeurs embryonnaires du système nerveux central</w:t>
      </w:r>
      <w:bookmarkEnd w:id="26"/>
      <w:bookmarkEnd w:id="27"/>
    </w:p>
    <w:p w14:paraId="22EEC6CF" w14:textId="77777777" w:rsidR="00407B8C" w:rsidRPr="00736304" w:rsidRDefault="00407B8C" w:rsidP="00407B8C"/>
    <w:p w14:paraId="3D4DAE05" w14:textId="77777777" w:rsidR="00407B8C" w:rsidRPr="00736304" w:rsidRDefault="00407B8C" w:rsidP="00407B8C">
      <w:r w:rsidRPr="00736304">
        <w:t>Remboursement : 600 €</w:t>
      </w:r>
    </w:p>
    <w:p w14:paraId="6819BFD8" w14:textId="77777777" w:rsidR="00407B8C" w:rsidRPr="00736304" w:rsidRDefault="00407B8C" w:rsidP="00407B8C">
      <w:r w:rsidRPr="00736304">
        <w:t>Indication:</w:t>
      </w:r>
    </w:p>
    <w:p w14:paraId="3EE1ACFE" w14:textId="77777777" w:rsidR="00407B8C" w:rsidRPr="00736304" w:rsidRDefault="00407B8C" w:rsidP="00407B8C">
      <w:pPr>
        <w:pStyle w:val="ListParagraph"/>
        <w:numPr>
          <w:ilvl w:val="0"/>
          <w:numId w:val="29"/>
        </w:numPr>
        <w:spacing w:after="160" w:line="259" w:lineRule="auto"/>
        <w:rPr>
          <w:lang w:val="fr-FR"/>
        </w:rPr>
      </w:pPr>
      <w:r w:rsidRPr="00736304">
        <w:rPr>
          <w:lang w:val="fr-FR"/>
        </w:rPr>
        <w:t>Médulloblastome</w:t>
      </w:r>
    </w:p>
    <w:p w14:paraId="72B658D9" w14:textId="77777777" w:rsidR="00407B8C" w:rsidRPr="00736304" w:rsidRDefault="00407B8C" w:rsidP="00407B8C">
      <w:pPr>
        <w:pStyle w:val="ListParagraph"/>
        <w:numPr>
          <w:ilvl w:val="0"/>
          <w:numId w:val="29"/>
        </w:numPr>
        <w:spacing w:after="160" w:line="259" w:lineRule="auto"/>
        <w:rPr>
          <w:lang w:val="fr-FR"/>
        </w:rPr>
      </w:pPr>
      <w:r w:rsidRPr="00736304">
        <w:rPr>
          <w:lang w:val="fr-FR"/>
        </w:rPr>
        <w:t>Autres tumeurs embryonnaires</w:t>
      </w:r>
      <w:r>
        <w:rPr>
          <w:lang w:val="fr-FR"/>
        </w:rPr>
        <w:t xml:space="preserve"> </w:t>
      </w:r>
      <w:r w:rsidRPr="00191060">
        <w:rPr>
          <w:lang w:val="fr-FR"/>
        </w:rPr>
        <w:t>du système nerveux centra</w:t>
      </w:r>
      <w:r>
        <w:rPr>
          <w:lang w:val="fr-FR"/>
        </w:rPr>
        <w:t>l</w:t>
      </w:r>
    </w:p>
    <w:p w14:paraId="587B6F19" w14:textId="77777777" w:rsidR="00407B8C" w:rsidRPr="00736304" w:rsidRDefault="00407B8C" w:rsidP="00407B8C"/>
    <w:p w14:paraId="1261EC13" w14:textId="77777777" w:rsidR="00407B8C" w:rsidRPr="00736304" w:rsidRDefault="00407B8C" w:rsidP="00407B8C">
      <w:r w:rsidRPr="00736304">
        <w:t>Biomarqueurs minimaux à tester :</w:t>
      </w:r>
    </w:p>
    <w:p w14:paraId="51AA4E26" w14:textId="54369AA0" w:rsidR="00407B8C" w:rsidRPr="00736304" w:rsidRDefault="00407B8C" w:rsidP="00407B8C">
      <w:pPr>
        <w:pStyle w:val="ListParagraph"/>
        <w:numPr>
          <w:ilvl w:val="0"/>
          <w:numId w:val="15"/>
        </w:numPr>
        <w:tabs>
          <w:tab w:val="right" w:pos="9214"/>
        </w:tabs>
        <w:spacing w:after="0" w:line="259" w:lineRule="auto"/>
        <w:rPr>
          <w:lang w:val="fr-FR"/>
        </w:rPr>
      </w:pPr>
      <w:r w:rsidRPr="00736304">
        <w:rPr>
          <w:lang w:val="fr-FR"/>
        </w:rPr>
        <w:t>CTNNB1 (exon 3)</w:t>
      </w:r>
      <w:r w:rsidRPr="00736304">
        <w:rPr>
          <w:lang w:val="fr-FR"/>
        </w:rPr>
        <w:tab/>
      </w:r>
      <w:r w:rsidRPr="00EE5BF8">
        <w:rPr>
          <w:b/>
          <w:bCs/>
          <w:lang w:val="fr-FR"/>
        </w:rPr>
        <w:t>diagnostic</w:t>
      </w:r>
    </w:p>
    <w:p w14:paraId="0D84D8F5" w14:textId="77777777" w:rsidR="00407B8C" w:rsidRPr="00736304" w:rsidRDefault="00407B8C" w:rsidP="00407B8C">
      <w:pPr>
        <w:pStyle w:val="ListParagraph"/>
        <w:numPr>
          <w:ilvl w:val="0"/>
          <w:numId w:val="15"/>
        </w:numPr>
        <w:tabs>
          <w:tab w:val="right" w:pos="9214"/>
        </w:tabs>
        <w:spacing w:after="0" w:line="259" w:lineRule="auto"/>
        <w:rPr>
          <w:lang w:val="fr-FR"/>
        </w:rPr>
      </w:pPr>
      <w:r w:rsidRPr="00736304">
        <w:rPr>
          <w:lang w:val="fr-FR"/>
        </w:rPr>
        <w:t xml:space="preserve">TP53 (tous les exons codants et les régions de sites de splicing) </w:t>
      </w:r>
      <w:r w:rsidRPr="00736304">
        <w:rPr>
          <w:lang w:val="fr-FR"/>
        </w:rPr>
        <w:tab/>
      </w:r>
      <w:r w:rsidRPr="00EE5BF8">
        <w:rPr>
          <w:b/>
          <w:bCs/>
          <w:lang w:val="fr-FR"/>
        </w:rPr>
        <w:t>diagnostic</w:t>
      </w:r>
    </w:p>
    <w:p w14:paraId="3C83D79E" w14:textId="7013ECFC" w:rsidR="00407B8C" w:rsidRPr="00736304" w:rsidRDefault="00407B8C" w:rsidP="00407B8C">
      <w:pPr>
        <w:pStyle w:val="ListParagraph"/>
        <w:numPr>
          <w:ilvl w:val="0"/>
          <w:numId w:val="15"/>
        </w:numPr>
        <w:tabs>
          <w:tab w:val="right" w:pos="9214"/>
        </w:tabs>
        <w:spacing w:after="0" w:line="259" w:lineRule="auto"/>
        <w:rPr>
          <w:lang w:val="fr-FR"/>
        </w:rPr>
      </w:pPr>
      <w:r w:rsidRPr="00736304">
        <w:rPr>
          <w:lang w:val="fr-FR"/>
        </w:rPr>
        <w:t xml:space="preserve"> </w:t>
      </w:r>
      <w:r w:rsidR="00A16F8D">
        <w:rPr>
          <w:lang w:val="fr-FR"/>
        </w:rPr>
        <w:t xml:space="preserve">PTCH1 </w:t>
      </w:r>
      <w:r w:rsidRPr="00736304">
        <w:rPr>
          <w:lang w:val="fr-FR"/>
        </w:rPr>
        <w:t>(tous les exons codants et les régions de sites de splicing)</w:t>
      </w:r>
      <w:r w:rsidRPr="00736304">
        <w:rPr>
          <w:lang w:val="fr-FR"/>
        </w:rPr>
        <w:tab/>
      </w:r>
      <w:r w:rsidRPr="00EE5BF8">
        <w:rPr>
          <w:b/>
          <w:bCs/>
          <w:lang w:val="fr-FR"/>
        </w:rPr>
        <w:t>diagnostic</w:t>
      </w:r>
    </w:p>
    <w:p w14:paraId="28F38D1C" w14:textId="77777777" w:rsidR="00407B8C" w:rsidRPr="00736304" w:rsidRDefault="00407B8C" w:rsidP="00407B8C">
      <w:pPr>
        <w:pStyle w:val="ListParagraph"/>
        <w:numPr>
          <w:ilvl w:val="0"/>
          <w:numId w:val="15"/>
        </w:numPr>
        <w:tabs>
          <w:tab w:val="right" w:pos="9214"/>
        </w:tabs>
        <w:spacing w:after="0" w:line="259" w:lineRule="auto"/>
        <w:rPr>
          <w:lang w:val="fr-FR"/>
        </w:rPr>
      </w:pPr>
      <w:r w:rsidRPr="00736304">
        <w:rPr>
          <w:lang w:val="fr-FR"/>
        </w:rPr>
        <w:t xml:space="preserve">SUFU (tous les exons codants et les régions de sites de splicing) </w:t>
      </w:r>
      <w:r w:rsidRPr="00736304">
        <w:rPr>
          <w:lang w:val="fr-FR"/>
        </w:rPr>
        <w:tab/>
      </w:r>
      <w:r w:rsidRPr="00EE5BF8">
        <w:rPr>
          <w:b/>
          <w:bCs/>
          <w:lang w:val="fr-FR"/>
        </w:rPr>
        <w:t>diagnostic</w:t>
      </w:r>
    </w:p>
    <w:p w14:paraId="2279344E" w14:textId="47777D0D" w:rsidR="00407B8C" w:rsidRDefault="00407B8C" w:rsidP="00407B8C">
      <w:pPr>
        <w:pStyle w:val="ListParagraph"/>
        <w:numPr>
          <w:ilvl w:val="0"/>
          <w:numId w:val="15"/>
        </w:numPr>
        <w:tabs>
          <w:tab w:val="right" w:pos="9214"/>
        </w:tabs>
        <w:spacing w:after="0" w:line="259" w:lineRule="auto"/>
        <w:rPr>
          <w:lang w:val="fr-FR"/>
        </w:rPr>
      </w:pPr>
      <w:r w:rsidRPr="00736304">
        <w:rPr>
          <w:lang w:val="fr-FR"/>
        </w:rPr>
        <w:t>SMARCB1 (tous les exons codants et les régions de sites de splicing)</w:t>
      </w:r>
      <w:r w:rsidRPr="00736304">
        <w:rPr>
          <w:lang w:val="fr-FR"/>
        </w:rPr>
        <w:tab/>
        <w:t xml:space="preserve"> </w:t>
      </w:r>
      <w:r w:rsidRPr="00EE5BF8">
        <w:rPr>
          <w:b/>
          <w:bCs/>
          <w:lang w:val="fr-FR"/>
        </w:rPr>
        <w:t>diagnostic</w:t>
      </w:r>
    </w:p>
    <w:p w14:paraId="2E483C27" w14:textId="11832109" w:rsidR="00A16F8D" w:rsidRPr="00736304" w:rsidRDefault="00A16F8D" w:rsidP="00407B8C">
      <w:pPr>
        <w:pStyle w:val="ListParagraph"/>
        <w:numPr>
          <w:ilvl w:val="0"/>
          <w:numId w:val="15"/>
        </w:numPr>
        <w:tabs>
          <w:tab w:val="right" w:pos="9214"/>
        </w:tabs>
        <w:spacing w:after="0" w:line="259" w:lineRule="auto"/>
        <w:rPr>
          <w:lang w:val="fr-FR"/>
        </w:rPr>
      </w:pPr>
      <w:r w:rsidRPr="00736304">
        <w:rPr>
          <w:lang w:val="fr-FR"/>
        </w:rPr>
        <w:t>SMARCA4</w:t>
      </w:r>
      <w:r>
        <w:rPr>
          <w:lang w:val="fr-FR"/>
        </w:rPr>
        <w:t xml:space="preserve"> </w:t>
      </w:r>
      <w:r w:rsidRPr="00736304">
        <w:rPr>
          <w:lang w:val="fr-FR"/>
        </w:rPr>
        <w:t>(tous les exons codants et les régions de sites de splicing)</w:t>
      </w:r>
      <w:r w:rsidRPr="00736304">
        <w:rPr>
          <w:lang w:val="fr-FR"/>
        </w:rPr>
        <w:tab/>
        <w:t xml:space="preserve"> </w:t>
      </w:r>
      <w:r w:rsidRPr="00EE5BF8">
        <w:rPr>
          <w:b/>
          <w:bCs/>
          <w:lang w:val="fr-FR"/>
        </w:rPr>
        <w:t>diagnostic</w:t>
      </w:r>
    </w:p>
    <w:p w14:paraId="1ED8529B" w14:textId="77777777" w:rsidR="00407B8C" w:rsidRPr="00736304" w:rsidRDefault="00407B8C" w:rsidP="00407B8C">
      <w:pPr>
        <w:pStyle w:val="ListParagraph"/>
        <w:numPr>
          <w:ilvl w:val="0"/>
          <w:numId w:val="15"/>
        </w:numPr>
        <w:tabs>
          <w:tab w:val="right" w:pos="9214"/>
        </w:tabs>
        <w:spacing w:after="0" w:line="259" w:lineRule="auto"/>
        <w:rPr>
          <w:lang w:val="fr-FR"/>
        </w:rPr>
      </w:pPr>
      <w:r w:rsidRPr="00736304">
        <w:rPr>
          <w:lang w:val="fr-FR"/>
        </w:rPr>
        <w:t>DICER1  (tous les exons codants et les régions de sites de splicing)</w:t>
      </w:r>
      <w:r w:rsidRPr="00736304">
        <w:rPr>
          <w:lang w:val="fr-FR"/>
        </w:rPr>
        <w:tab/>
      </w:r>
      <w:r w:rsidRPr="00EE5BF8">
        <w:rPr>
          <w:b/>
          <w:bCs/>
          <w:lang w:val="fr-FR"/>
        </w:rPr>
        <w:t>diagnostic</w:t>
      </w:r>
    </w:p>
    <w:p w14:paraId="6BE5B59C" w14:textId="77777777" w:rsidR="00407B8C" w:rsidRPr="00736304" w:rsidRDefault="00407B8C" w:rsidP="00407B8C"/>
    <w:p w14:paraId="66750F71" w14:textId="77777777" w:rsidR="00407B8C" w:rsidRPr="00736304" w:rsidRDefault="00407B8C" w:rsidP="00407B8C">
      <w:r w:rsidRPr="00736304">
        <w:t>Enregistrement obligatoire dans PITTER :</w:t>
      </w:r>
    </w:p>
    <w:p w14:paraId="33DE3FF0"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7047A484" w14:textId="77777777" w:rsidR="00407B8C" w:rsidRPr="00736304" w:rsidRDefault="00407B8C" w:rsidP="00407B8C">
      <w:pPr>
        <w:tabs>
          <w:tab w:val="right" w:pos="9214"/>
        </w:tabs>
      </w:pPr>
    </w:p>
    <w:p w14:paraId="077F3CFD" w14:textId="77777777" w:rsidR="00407B8C" w:rsidRPr="00736304" w:rsidRDefault="00407B8C" w:rsidP="00407B8C">
      <w:pPr>
        <w:tabs>
          <w:tab w:val="right" w:pos="9214"/>
        </w:tabs>
      </w:pPr>
      <w:r w:rsidRPr="00736304">
        <w:t>Règles de cumul :</w:t>
      </w:r>
    </w:p>
    <w:p w14:paraId="3753721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174C3DA3"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62E55DEB"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1450FA0F"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0195C454"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69998ACD" w14:textId="77777777" w:rsidR="00407B8C" w:rsidRPr="00096D02" w:rsidRDefault="00407B8C" w:rsidP="0040407D">
      <w:pPr>
        <w:pStyle w:val="Heading3"/>
      </w:pPr>
      <w:bookmarkStart w:id="28" w:name="_Toc167180256"/>
      <w:bookmarkStart w:id="29" w:name="_Toc215211256"/>
      <w:r w:rsidRPr="00096D02">
        <w:lastRenderedPageBreak/>
        <w:t>535194-535205 : NGS pour un gliome diffus, un gliome circonscrit ou un épendymome</w:t>
      </w:r>
      <w:bookmarkEnd w:id="28"/>
      <w:bookmarkEnd w:id="29"/>
    </w:p>
    <w:p w14:paraId="426ED4D5" w14:textId="77777777" w:rsidR="00407B8C" w:rsidRPr="00736304" w:rsidRDefault="00407B8C" w:rsidP="00407B8C"/>
    <w:p w14:paraId="30E7C612" w14:textId="77777777" w:rsidR="00407B8C" w:rsidRPr="00736304" w:rsidRDefault="00407B8C" w:rsidP="00407B8C">
      <w:r w:rsidRPr="00736304">
        <w:t>Remboursement : 600 €</w:t>
      </w:r>
    </w:p>
    <w:p w14:paraId="46A68072" w14:textId="77777777" w:rsidR="00407B8C" w:rsidRPr="00736304" w:rsidRDefault="00407B8C" w:rsidP="00407B8C">
      <w:r w:rsidRPr="00736304">
        <w:t xml:space="preserve">Indication: </w:t>
      </w:r>
    </w:p>
    <w:p w14:paraId="7C9A826E" w14:textId="77777777" w:rsidR="00407B8C" w:rsidRPr="00736304" w:rsidRDefault="00407B8C" w:rsidP="00407B8C">
      <w:pPr>
        <w:pStyle w:val="ListParagraph"/>
        <w:numPr>
          <w:ilvl w:val="0"/>
          <w:numId w:val="28"/>
        </w:numPr>
        <w:spacing w:after="160" w:line="259" w:lineRule="auto"/>
        <w:rPr>
          <w:lang w:val="fr-FR"/>
        </w:rPr>
      </w:pPr>
      <w:r w:rsidRPr="00736304">
        <w:rPr>
          <w:lang w:val="fr-FR"/>
        </w:rPr>
        <w:t>Gliome diffus</w:t>
      </w:r>
    </w:p>
    <w:p w14:paraId="4E8AC12D" w14:textId="77777777" w:rsidR="00407B8C" w:rsidRPr="00736304" w:rsidRDefault="00407B8C" w:rsidP="00407B8C">
      <w:pPr>
        <w:pStyle w:val="ListParagraph"/>
        <w:numPr>
          <w:ilvl w:val="0"/>
          <w:numId w:val="28"/>
        </w:numPr>
        <w:spacing w:after="160" w:line="259" w:lineRule="auto"/>
        <w:rPr>
          <w:lang w:val="fr-FR"/>
        </w:rPr>
      </w:pPr>
      <w:r w:rsidRPr="00736304">
        <w:rPr>
          <w:lang w:val="fr-FR"/>
        </w:rPr>
        <w:t>Gliome circonscrit</w:t>
      </w:r>
    </w:p>
    <w:p w14:paraId="3C21C812" w14:textId="77777777" w:rsidR="00407B8C" w:rsidRPr="00736304" w:rsidRDefault="00407B8C" w:rsidP="00407B8C">
      <w:pPr>
        <w:pStyle w:val="ListParagraph"/>
        <w:numPr>
          <w:ilvl w:val="0"/>
          <w:numId w:val="28"/>
        </w:numPr>
        <w:spacing w:after="160" w:line="259" w:lineRule="auto"/>
        <w:rPr>
          <w:lang w:val="fr-FR"/>
        </w:rPr>
      </w:pPr>
      <w:r w:rsidRPr="00736304">
        <w:rPr>
          <w:lang w:val="fr-FR"/>
        </w:rPr>
        <w:t>Ependymome</w:t>
      </w:r>
    </w:p>
    <w:p w14:paraId="77052384" w14:textId="77777777" w:rsidR="00407B8C" w:rsidRPr="00736304" w:rsidRDefault="00407B8C" w:rsidP="00407B8C"/>
    <w:p w14:paraId="1B307C03" w14:textId="77777777" w:rsidR="00407B8C" w:rsidRPr="00736304" w:rsidRDefault="00407B8C" w:rsidP="00407B8C">
      <w:r w:rsidRPr="00736304">
        <w:t>Biomarqueurs minimaux à tester :</w:t>
      </w:r>
    </w:p>
    <w:p w14:paraId="2E1238B6" w14:textId="77777777" w:rsidR="00407B8C" w:rsidRPr="00736304" w:rsidRDefault="00407B8C" w:rsidP="00407B8C">
      <w:pPr>
        <w:pStyle w:val="ListParagraph"/>
        <w:numPr>
          <w:ilvl w:val="0"/>
          <w:numId w:val="15"/>
        </w:numPr>
        <w:tabs>
          <w:tab w:val="left" w:pos="7655"/>
          <w:tab w:val="right" w:pos="9214"/>
        </w:tabs>
        <w:spacing w:after="0" w:line="259" w:lineRule="auto"/>
        <w:rPr>
          <w:rFonts w:ascii="Calibri" w:hAnsi="Calibri" w:cs="Calibri"/>
          <w:iCs/>
          <w:lang w:val="fr-FR"/>
        </w:rPr>
      </w:pPr>
      <w:r w:rsidRPr="00736304">
        <w:rPr>
          <w:rFonts w:ascii="Calibri" w:hAnsi="Calibri" w:cs="Calibri"/>
          <w:iCs/>
          <w:lang w:val="fr-FR"/>
        </w:rPr>
        <w:t>IDH1 (exon 4</w:t>
      </w:r>
      <w:r w:rsidRPr="00736304">
        <w:rPr>
          <w:lang w:val="fr-FR"/>
        </w:rPr>
        <w:t xml:space="preserve"> (codon 132)</w:t>
      </w:r>
      <w:r w:rsidRPr="00736304">
        <w:rPr>
          <w:rFonts w:ascii="Calibri" w:hAnsi="Calibri" w:cs="Calibri"/>
          <w:iCs/>
          <w:lang w:val="fr-FR"/>
        </w:rPr>
        <w:t>)</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0C166BBF" w14:textId="77777777" w:rsidR="00407B8C" w:rsidRPr="00736304" w:rsidRDefault="00407B8C" w:rsidP="00407B8C">
      <w:pPr>
        <w:pStyle w:val="ListParagraph"/>
        <w:numPr>
          <w:ilvl w:val="0"/>
          <w:numId w:val="15"/>
        </w:numPr>
        <w:tabs>
          <w:tab w:val="left" w:pos="7655"/>
          <w:tab w:val="right" w:pos="9214"/>
        </w:tabs>
        <w:spacing w:after="0" w:line="259" w:lineRule="auto"/>
        <w:rPr>
          <w:rFonts w:ascii="Calibri" w:hAnsi="Calibri" w:cs="Calibri"/>
          <w:iCs/>
          <w:lang w:val="fr-FR"/>
        </w:rPr>
      </w:pPr>
      <w:r w:rsidRPr="00736304">
        <w:rPr>
          <w:rFonts w:ascii="Calibri" w:hAnsi="Calibri" w:cs="Calibri"/>
          <w:iCs/>
          <w:lang w:val="fr-FR"/>
        </w:rPr>
        <w:t>IDH2 (exon 4</w:t>
      </w:r>
      <w:r w:rsidRPr="00736304">
        <w:rPr>
          <w:lang w:val="fr-FR"/>
        </w:rPr>
        <w:t xml:space="preserve"> (codon 140,172)</w:t>
      </w:r>
      <w:r w:rsidRPr="00736304">
        <w:rPr>
          <w:rFonts w:ascii="Calibri" w:hAnsi="Calibri" w:cs="Calibri"/>
          <w:iCs/>
          <w:lang w:val="fr-FR"/>
        </w:rPr>
        <w:t>)</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533038C1" w14:textId="77777777" w:rsidR="00407B8C" w:rsidRPr="00736304" w:rsidRDefault="00407B8C" w:rsidP="00407B8C">
      <w:pPr>
        <w:pStyle w:val="ListParagraph"/>
        <w:numPr>
          <w:ilvl w:val="0"/>
          <w:numId w:val="15"/>
        </w:numPr>
        <w:tabs>
          <w:tab w:val="left" w:pos="7655"/>
          <w:tab w:val="right" w:pos="9214"/>
        </w:tabs>
        <w:spacing w:after="0" w:line="259" w:lineRule="auto"/>
        <w:rPr>
          <w:rFonts w:ascii="Calibri" w:hAnsi="Calibri" w:cs="Calibri"/>
          <w:iCs/>
          <w:lang w:val="fr-FR"/>
        </w:rPr>
      </w:pPr>
      <w:r w:rsidRPr="00736304">
        <w:rPr>
          <w:rFonts w:ascii="Calibri" w:hAnsi="Calibri" w:cs="Calibri"/>
          <w:iCs/>
          <w:lang w:val="fr-FR"/>
        </w:rPr>
        <w:t>H3-3A (exon 2</w:t>
      </w:r>
      <w:r w:rsidRPr="00736304">
        <w:rPr>
          <w:lang w:val="fr-FR"/>
        </w:rPr>
        <w:t xml:space="preserve"> (codon 28)</w:t>
      </w:r>
      <w:r w:rsidRPr="00736304">
        <w:rPr>
          <w:rFonts w:ascii="Calibri" w:hAnsi="Calibri" w:cs="Calibri"/>
          <w:iCs/>
          <w:lang w:val="fr-FR"/>
        </w:rPr>
        <w:t>)</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7BFE310E" w14:textId="6102F4F0" w:rsidR="00407B8C" w:rsidRPr="007C587C" w:rsidRDefault="00407B8C" w:rsidP="007C587C">
      <w:pPr>
        <w:pStyle w:val="ListParagraph"/>
        <w:numPr>
          <w:ilvl w:val="0"/>
          <w:numId w:val="15"/>
        </w:numPr>
        <w:tabs>
          <w:tab w:val="right" w:pos="9214"/>
        </w:tabs>
        <w:spacing w:after="0" w:line="259" w:lineRule="auto"/>
        <w:rPr>
          <w:rFonts w:ascii="Calibri" w:hAnsi="Calibri" w:cs="Calibri"/>
          <w:iCs/>
          <w:lang w:val="fr-BE"/>
        </w:rPr>
      </w:pPr>
      <w:r w:rsidRPr="007C587C">
        <w:rPr>
          <w:rFonts w:ascii="Calibri" w:hAnsi="Calibri" w:cs="Calibri"/>
          <w:iCs/>
          <w:lang w:val="fr-BE"/>
        </w:rPr>
        <w:t>BRAF (exon 15 (codon 600))</w:t>
      </w:r>
      <w:r w:rsidR="0040407D">
        <w:rPr>
          <w:rFonts w:ascii="Calibri" w:hAnsi="Calibri" w:cs="Calibri"/>
          <w:iCs/>
          <w:lang w:val="fr-BE"/>
        </w:rPr>
        <w:tab/>
      </w:r>
      <w:r w:rsidRPr="007C587C">
        <w:rPr>
          <w:rFonts w:ascii="Calibri" w:hAnsi="Calibri" w:cs="Calibri"/>
          <w:b/>
          <w:bCs/>
          <w:iCs/>
          <w:lang w:val="fr-BE"/>
        </w:rPr>
        <w:t>diagnostic</w:t>
      </w:r>
      <w:r w:rsidR="007B1DC0" w:rsidRPr="007C587C">
        <w:rPr>
          <w:rFonts w:ascii="Calibri" w:hAnsi="Calibri" w:cs="Calibri"/>
          <w:b/>
          <w:bCs/>
          <w:iCs/>
          <w:lang w:val="fr-BE"/>
        </w:rPr>
        <w:t>/thérapie</w:t>
      </w:r>
    </w:p>
    <w:p w14:paraId="61ACEA55" w14:textId="77777777" w:rsidR="00407B8C" w:rsidRPr="00736304" w:rsidRDefault="00407B8C" w:rsidP="00407B8C">
      <w:pPr>
        <w:pStyle w:val="ListParagraph"/>
        <w:numPr>
          <w:ilvl w:val="0"/>
          <w:numId w:val="15"/>
        </w:numPr>
        <w:tabs>
          <w:tab w:val="right" w:pos="9214"/>
        </w:tabs>
        <w:spacing w:after="0" w:line="259" w:lineRule="auto"/>
        <w:rPr>
          <w:rFonts w:ascii="Calibri" w:hAnsi="Calibri" w:cs="Calibri"/>
          <w:iCs/>
          <w:lang w:val="fr-FR"/>
        </w:rPr>
      </w:pPr>
      <w:r w:rsidRPr="00736304">
        <w:rPr>
          <w:rFonts w:ascii="Calibri" w:hAnsi="Calibri" w:cs="Calibri"/>
          <w:iCs/>
          <w:lang w:val="fr-FR"/>
        </w:rPr>
        <w:t xml:space="preserve">Promoteur TERT (c.-124C&gt;T (C228T), c.-146C&gt;T (C250T))    </w:t>
      </w:r>
      <w:r w:rsidRPr="00736304">
        <w:rPr>
          <w:rFonts w:ascii="Calibri" w:hAnsi="Calibri" w:cs="Calibri"/>
          <w:iCs/>
          <w:lang w:val="fr-FR"/>
        </w:rPr>
        <w:tab/>
      </w:r>
      <w:r w:rsidRPr="00736304">
        <w:rPr>
          <w:rFonts w:ascii="Calibri" w:hAnsi="Calibri" w:cs="Calibri"/>
          <w:b/>
          <w:bCs/>
          <w:iCs/>
          <w:lang w:val="fr-FR"/>
        </w:rPr>
        <w:t>diagnostic/pronostic</w:t>
      </w:r>
    </w:p>
    <w:p w14:paraId="41A6AFA5" w14:textId="77777777" w:rsidR="00407B8C" w:rsidRPr="00736304" w:rsidRDefault="00407B8C" w:rsidP="00407B8C">
      <w:pPr>
        <w:pStyle w:val="ListParagraph"/>
        <w:numPr>
          <w:ilvl w:val="0"/>
          <w:numId w:val="15"/>
        </w:numPr>
        <w:tabs>
          <w:tab w:val="left" w:pos="7655"/>
          <w:tab w:val="right" w:pos="9214"/>
        </w:tabs>
        <w:spacing w:after="0" w:line="259" w:lineRule="auto"/>
        <w:rPr>
          <w:lang w:val="fr-FR"/>
        </w:rPr>
      </w:pPr>
      <w:r w:rsidRPr="00736304">
        <w:rPr>
          <w:rFonts w:ascii="Calibri" w:hAnsi="Calibri" w:cs="Calibri"/>
          <w:iCs/>
          <w:lang w:val="fr-FR"/>
        </w:rPr>
        <w:t>FGFR1 (exon 13 (codon 577), exon 15 (codon 687) (tumeurs pédiatriques)</w:t>
      </w:r>
      <w:r w:rsidRPr="00736304">
        <w:rPr>
          <w:rFonts w:ascii="Calibri" w:hAnsi="Calibri" w:cs="Calibri"/>
          <w:iCs/>
          <w:lang w:val="fr-FR"/>
        </w:rPr>
        <w:tab/>
        <w:t xml:space="preserve"> </w:t>
      </w:r>
      <w:r w:rsidRPr="00736304">
        <w:rPr>
          <w:rFonts w:ascii="Calibri" w:hAnsi="Calibri" w:cs="Calibri"/>
          <w:iCs/>
          <w:lang w:val="fr-FR"/>
        </w:rPr>
        <w:tab/>
      </w:r>
      <w:r w:rsidRPr="00736304">
        <w:rPr>
          <w:rFonts w:ascii="Calibri" w:hAnsi="Calibri" w:cs="Calibri"/>
          <w:b/>
          <w:bCs/>
          <w:iCs/>
          <w:lang w:val="fr-FR"/>
        </w:rPr>
        <w:t>diagnostic</w:t>
      </w:r>
    </w:p>
    <w:p w14:paraId="32AD34F1" w14:textId="77777777" w:rsidR="00407B8C" w:rsidRPr="00736304" w:rsidRDefault="00407B8C" w:rsidP="00407B8C">
      <w:pPr>
        <w:pStyle w:val="ListParagraph"/>
        <w:numPr>
          <w:ilvl w:val="0"/>
          <w:numId w:val="15"/>
        </w:numPr>
        <w:tabs>
          <w:tab w:val="right" w:pos="9214"/>
        </w:tabs>
        <w:spacing w:after="160" w:line="259" w:lineRule="auto"/>
        <w:rPr>
          <w:rFonts w:ascii="Calibri" w:hAnsi="Calibri" w:cs="Calibri"/>
          <w:bCs/>
          <w:lang w:val="fr-FR"/>
        </w:rPr>
      </w:pPr>
      <w:r w:rsidRPr="00736304">
        <w:rPr>
          <w:rFonts w:ascii="Calibri" w:hAnsi="Calibri" w:cs="Calibri"/>
          <w:bCs/>
          <w:lang w:val="fr-FR"/>
        </w:rPr>
        <w:t xml:space="preserve">TP53 </w:t>
      </w:r>
      <w:r w:rsidRPr="00736304">
        <w:rPr>
          <w:rFonts w:ascii="Calibri" w:hAnsi="Calibri" w:cs="Calibri"/>
          <w:lang w:val="fr-FR"/>
        </w:rPr>
        <w:t xml:space="preserve">(tous les exons codants et les régions de sites de splicing)  </w:t>
      </w:r>
      <w:r w:rsidRPr="00736304">
        <w:rPr>
          <w:rFonts w:ascii="Calibri" w:hAnsi="Calibri" w:cs="Calibri"/>
          <w:bCs/>
          <w:lang w:val="fr-FR"/>
        </w:rPr>
        <w:tab/>
      </w:r>
      <w:r w:rsidRPr="00736304">
        <w:rPr>
          <w:rFonts w:ascii="Calibri" w:hAnsi="Calibri" w:cs="Calibri"/>
          <w:b/>
          <w:bCs/>
          <w:lang w:val="fr-FR"/>
        </w:rPr>
        <w:t>diagnostic</w:t>
      </w:r>
    </w:p>
    <w:p w14:paraId="39D4DFE3" w14:textId="4E053F27" w:rsidR="00407B8C" w:rsidRPr="007C587C" w:rsidRDefault="00407B8C" w:rsidP="00407B8C">
      <w:pPr>
        <w:pStyle w:val="ListParagraph"/>
        <w:numPr>
          <w:ilvl w:val="0"/>
          <w:numId w:val="15"/>
        </w:numPr>
        <w:tabs>
          <w:tab w:val="right" w:pos="9214"/>
        </w:tabs>
        <w:spacing w:after="160" w:line="259" w:lineRule="auto"/>
        <w:rPr>
          <w:rFonts w:ascii="Calibri" w:hAnsi="Calibri" w:cs="Calibri"/>
          <w:bCs/>
          <w:lang w:val="fr-FR"/>
        </w:rPr>
      </w:pPr>
      <w:r w:rsidRPr="00736304">
        <w:rPr>
          <w:rFonts w:ascii="Calibri" w:hAnsi="Calibri" w:cs="Calibri"/>
          <w:bCs/>
          <w:lang w:val="fr-FR"/>
        </w:rPr>
        <w:t xml:space="preserve">TSC1 </w:t>
      </w:r>
      <w:r w:rsidRPr="00736304">
        <w:rPr>
          <w:rFonts w:ascii="Calibri" w:hAnsi="Calibri" w:cs="Calibri"/>
          <w:lang w:val="fr-FR"/>
        </w:rPr>
        <w:t xml:space="preserve">(tous les exons codants et les régions de sites de splicing)  </w:t>
      </w:r>
      <w:r w:rsidRPr="00736304">
        <w:rPr>
          <w:rFonts w:ascii="Calibri" w:hAnsi="Calibri" w:cs="Calibri"/>
          <w:lang w:val="fr-FR"/>
        </w:rPr>
        <w:tab/>
      </w:r>
      <w:r w:rsidRPr="00736304">
        <w:rPr>
          <w:rFonts w:ascii="Calibri" w:hAnsi="Calibri" w:cs="Calibri"/>
          <w:b/>
          <w:bCs/>
          <w:lang w:val="fr-FR"/>
        </w:rPr>
        <w:t>diagnostic</w:t>
      </w:r>
    </w:p>
    <w:p w14:paraId="1F540F51" w14:textId="69D40B18" w:rsidR="007B1DC0" w:rsidRPr="00736304" w:rsidRDefault="007B1DC0" w:rsidP="00407B8C">
      <w:pPr>
        <w:pStyle w:val="ListParagraph"/>
        <w:numPr>
          <w:ilvl w:val="0"/>
          <w:numId w:val="15"/>
        </w:numPr>
        <w:tabs>
          <w:tab w:val="right" w:pos="9214"/>
        </w:tabs>
        <w:spacing w:after="160" w:line="259" w:lineRule="auto"/>
        <w:rPr>
          <w:rFonts w:ascii="Calibri" w:hAnsi="Calibri" w:cs="Calibri"/>
          <w:bCs/>
          <w:lang w:val="fr-FR"/>
        </w:rPr>
      </w:pPr>
      <w:r>
        <w:rPr>
          <w:rFonts w:ascii="Calibri" w:hAnsi="Calibri" w:cs="Calibri"/>
          <w:bCs/>
          <w:lang w:val="fr-FR"/>
        </w:rPr>
        <w:t xml:space="preserve">TSC2 </w:t>
      </w:r>
      <w:r w:rsidRPr="00736304">
        <w:rPr>
          <w:rFonts w:ascii="Calibri" w:hAnsi="Calibri" w:cs="Calibri"/>
          <w:lang w:val="fr-FR"/>
        </w:rPr>
        <w:t xml:space="preserve">(tous les exons codants et les régions de sites de splicing)  </w:t>
      </w:r>
      <w:r w:rsidRPr="00736304">
        <w:rPr>
          <w:rFonts w:ascii="Calibri" w:hAnsi="Calibri" w:cs="Calibri"/>
          <w:lang w:val="fr-FR"/>
        </w:rPr>
        <w:tab/>
      </w:r>
      <w:r w:rsidRPr="00736304">
        <w:rPr>
          <w:rFonts w:ascii="Calibri" w:hAnsi="Calibri" w:cs="Calibri"/>
          <w:b/>
          <w:bCs/>
          <w:lang w:val="fr-FR"/>
        </w:rPr>
        <w:t>diagnostic</w:t>
      </w:r>
    </w:p>
    <w:p w14:paraId="369DD53E" w14:textId="77777777" w:rsidR="00407B8C" w:rsidRPr="00736304" w:rsidRDefault="00407B8C" w:rsidP="00407B8C">
      <w:pPr>
        <w:pStyle w:val="ListParagraph"/>
        <w:numPr>
          <w:ilvl w:val="0"/>
          <w:numId w:val="15"/>
        </w:numPr>
        <w:tabs>
          <w:tab w:val="right" w:pos="9214"/>
        </w:tabs>
        <w:spacing w:after="160" w:line="259" w:lineRule="auto"/>
        <w:rPr>
          <w:rFonts w:ascii="Calibri" w:hAnsi="Calibri" w:cs="Calibri"/>
          <w:lang w:val="fr-FR"/>
        </w:rPr>
      </w:pPr>
      <w:r w:rsidRPr="00736304">
        <w:rPr>
          <w:rStyle w:val="contentpasted0"/>
          <w:rFonts w:ascii="Calibri" w:eastAsia="Times New Roman" w:hAnsi="Calibri" w:cs="Calibri"/>
          <w:color w:val="000000"/>
          <w:shd w:val="clear" w:color="auto" w:fill="FFFFFF"/>
          <w:lang w:val="fr-FR"/>
        </w:rPr>
        <w:t>H3C2, H3C3 (exon 1)</w:t>
      </w:r>
      <w:r w:rsidRPr="00736304">
        <w:rPr>
          <w:rFonts w:ascii="Calibri" w:hAnsi="Calibri" w:cs="Calibri"/>
          <w:bCs/>
          <w:lang w:val="fr-FR"/>
        </w:rPr>
        <w:tab/>
        <w:t xml:space="preserve"> </w:t>
      </w:r>
      <w:r w:rsidRPr="00736304">
        <w:rPr>
          <w:rFonts w:ascii="Calibri" w:hAnsi="Calibri" w:cs="Calibri"/>
          <w:b/>
          <w:bCs/>
          <w:lang w:val="fr-FR"/>
        </w:rPr>
        <w:t>diagnostic</w:t>
      </w:r>
    </w:p>
    <w:p w14:paraId="600A73D4" w14:textId="77777777" w:rsidR="00407B8C" w:rsidRPr="00736304" w:rsidRDefault="00407B8C" w:rsidP="00407B8C">
      <w:pPr>
        <w:pStyle w:val="ListParagraph"/>
        <w:numPr>
          <w:ilvl w:val="0"/>
          <w:numId w:val="15"/>
        </w:numPr>
        <w:tabs>
          <w:tab w:val="right" w:pos="9214"/>
        </w:tabs>
        <w:spacing w:after="160" w:line="259" w:lineRule="auto"/>
        <w:rPr>
          <w:rFonts w:ascii="Calibri" w:hAnsi="Calibri" w:cs="Calibri"/>
          <w:lang w:val="fr-FR"/>
        </w:rPr>
      </w:pPr>
      <w:r w:rsidRPr="00736304">
        <w:rPr>
          <w:rFonts w:ascii="Calibri" w:hAnsi="Calibri" w:cs="Calibri"/>
          <w:lang w:val="fr-FR"/>
        </w:rPr>
        <w:t>NF1 (tous les exons codants et les régions de sites de splicing)</w:t>
      </w:r>
      <w:r w:rsidRPr="00736304">
        <w:rPr>
          <w:rFonts w:ascii="Calibri" w:hAnsi="Calibri" w:cs="Calibri"/>
          <w:lang w:val="fr-FR"/>
        </w:rPr>
        <w:tab/>
      </w:r>
      <w:r w:rsidRPr="00736304">
        <w:rPr>
          <w:rFonts w:ascii="Calibri" w:hAnsi="Calibri" w:cs="Calibri"/>
          <w:b/>
          <w:lang w:val="fr-FR"/>
        </w:rPr>
        <w:t>diagnostic</w:t>
      </w:r>
    </w:p>
    <w:p w14:paraId="0C0A70B9" w14:textId="77777777" w:rsidR="00407B8C" w:rsidRPr="00736304" w:rsidRDefault="00407B8C" w:rsidP="00407B8C">
      <w:pPr>
        <w:pStyle w:val="ListParagraph"/>
        <w:numPr>
          <w:ilvl w:val="0"/>
          <w:numId w:val="15"/>
        </w:numPr>
        <w:tabs>
          <w:tab w:val="left" w:pos="7655"/>
          <w:tab w:val="right" w:pos="9214"/>
        </w:tabs>
        <w:spacing w:after="0" w:line="259" w:lineRule="auto"/>
        <w:rPr>
          <w:lang w:val="fr-FR"/>
        </w:rPr>
      </w:pPr>
      <w:r w:rsidRPr="00736304">
        <w:rPr>
          <w:rFonts w:ascii="Calibri" w:hAnsi="Calibri" w:cs="Calibri"/>
          <w:lang w:val="fr-FR"/>
        </w:rPr>
        <w:t xml:space="preserve">NF2 </w:t>
      </w:r>
      <w:r w:rsidRPr="00736304">
        <w:rPr>
          <w:rFonts w:ascii="Calibri" w:hAnsi="Calibri" w:cs="Calibri"/>
          <w:color w:val="FF0000"/>
          <w:lang w:val="fr-FR"/>
        </w:rPr>
        <w:t xml:space="preserve"> </w:t>
      </w:r>
      <w:r w:rsidRPr="00736304">
        <w:rPr>
          <w:rFonts w:ascii="Calibri" w:hAnsi="Calibri" w:cs="Calibri"/>
          <w:lang w:val="fr-FR"/>
        </w:rPr>
        <w:t>(tous les exons codants et les régions de sites de splicing)</w:t>
      </w:r>
      <w:r w:rsidRPr="00736304">
        <w:rPr>
          <w:rFonts w:ascii="Calibri" w:hAnsi="Calibri" w:cs="Calibri"/>
          <w:lang w:val="fr-FR"/>
        </w:rPr>
        <w:tab/>
      </w:r>
      <w:r w:rsidRPr="00736304">
        <w:rPr>
          <w:rFonts w:ascii="Calibri" w:hAnsi="Calibri" w:cs="Calibri"/>
          <w:lang w:val="fr-FR"/>
        </w:rPr>
        <w:tab/>
      </w:r>
      <w:r w:rsidRPr="00736304">
        <w:rPr>
          <w:rFonts w:ascii="Calibri" w:hAnsi="Calibri" w:cs="Calibri"/>
          <w:b/>
          <w:lang w:val="fr-FR"/>
        </w:rPr>
        <w:t>diagnostic</w:t>
      </w:r>
    </w:p>
    <w:p w14:paraId="0793217B" w14:textId="77777777" w:rsidR="00407B8C" w:rsidRPr="00736304" w:rsidRDefault="00407B8C" w:rsidP="00407B8C">
      <w:pPr>
        <w:pStyle w:val="ListParagraph"/>
        <w:tabs>
          <w:tab w:val="left" w:pos="7655"/>
        </w:tabs>
        <w:spacing w:after="0"/>
        <w:rPr>
          <w:lang w:val="fr-FR"/>
        </w:rPr>
      </w:pPr>
      <w:r w:rsidRPr="00736304">
        <w:rPr>
          <w:rFonts w:ascii="Calibri" w:hAnsi="Calibri" w:cs="Calibri"/>
          <w:lang w:val="fr-FR"/>
        </w:rPr>
        <w:tab/>
      </w:r>
    </w:p>
    <w:p w14:paraId="32782EF8" w14:textId="77777777" w:rsidR="00407B8C" w:rsidRPr="00736304" w:rsidRDefault="00407B8C" w:rsidP="00407B8C">
      <w:pPr>
        <w:tabs>
          <w:tab w:val="right" w:pos="9214"/>
        </w:tabs>
      </w:pPr>
    </w:p>
    <w:p w14:paraId="47AEBE47" w14:textId="77777777" w:rsidR="00407B8C" w:rsidRPr="00736304" w:rsidRDefault="00407B8C" w:rsidP="00407B8C">
      <w:pPr>
        <w:tabs>
          <w:tab w:val="right" w:pos="9214"/>
        </w:tabs>
      </w:pPr>
      <w:r w:rsidRPr="00736304">
        <w:t>Enregistrement obligatoire dans PITTER :</w:t>
      </w:r>
    </w:p>
    <w:p w14:paraId="15C69000" w14:textId="3A54966E" w:rsidR="00407B8C" w:rsidRPr="00736304" w:rsidRDefault="007B1DC0" w:rsidP="00407B8C">
      <w:pPr>
        <w:pStyle w:val="ListParagraph"/>
        <w:numPr>
          <w:ilvl w:val="0"/>
          <w:numId w:val="18"/>
        </w:numPr>
        <w:tabs>
          <w:tab w:val="right" w:pos="9214"/>
        </w:tabs>
        <w:spacing w:after="160" w:line="259" w:lineRule="auto"/>
        <w:rPr>
          <w:iCs/>
          <w:lang w:val="fr-FR"/>
        </w:rPr>
      </w:pPr>
      <w:r>
        <w:rPr>
          <w:iCs/>
          <w:lang w:val="fr-FR"/>
        </w:rPr>
        <w:t>595313 – 595324 :</w:t>
      </w:r>
      <w:r w:rsidRPr="00525E02">
        <w:rPr>
          <w:lang w:val="fr-BE"/>
        </w:rPr>
        <w:t xml:space="preserve"> </w:t>
      </w:r>
      <w:r>
        <w:rPr>
          <w:lang w:val="fr-BE"/>
        </w:rPr>
        <w:t>« </w:t>
      </w:r>
      <w:r w:rsidRPr="007B1DC0">
        <w:rPr>
          <w:iCs/>
          <w:lang w:val="fr-FR"/>
        </w:rPr>
        <w:t>Analyse du statut mutationnel du gène BRAF V600 en cas de gliome</w:t>
      </w:r>
      <w:r>
        <w:rPr>
          <w:iCs/>
          <w:lang w:val="fr-FR"/>
        </w:rPr>
        <w:t> »</w:t>
      </w:r>
    </w:p>
    <w:p w14:paraId="7D8EFA2E" w14:textId="77777777" w:rsidR="00407B8C" w:rsidRPr="00736304" w:rsidRDefault="00407B8C" w:rsidP="00407B8C">
      <w:pPr>
        <w:tabs>
          <w:tab w:val="right" w:pos="9214"/>
        </w:tabs>
      </w:pPr>
    </w:p>
    <w:p w14:paraId="7120C107" w14:textId="77777777" w:rsidR="00407B8C" w:rsidRPr="00736304" w:rsidRDefault="00407B8C" w:rsidP="00407B8C">
      <w:pPr>
        <w:tabs>
          <w:tab w:val="right" w:pos="9214"/>
        </w:tabs>
      </w:pPr>
      <w:r w:rsidRPr="00736304">
        <w:t>Règles de cumul :</w:t>
      </w:r>
    </w:p>
    <w:p w14:paraId="109A0F60"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014C83A9"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6F639D3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1A807690" w14:textId="6A65738C" w:rsidR="00407B8C" w:rsidRPr="003D4A3F"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18F6B617" w14:textId="77777777" w:rsidR="007B1DC0" w:rsidRDefault="007B1DC0">
      <w:pPr>
        <w:rPr>
          <w:rFonts w:asciiTheme="majorHAnsi" w:eastAsiaTheme="majorEastAsia" w:hAnsiTheme="majorHAnsi" w:cstheme="majorBidi"/>
          <w:i/>
          <w:color w:val="0070C0"/>
          <w:sz w:val="26"/>
          <w:szCs w:val="24"/>
        </w:rPr>
      </w:pPr>
      <w:bookmarkStart w:id="30" w:name="_Toc167180257"/>
      <w:r>
        <w:br w:type="page"/>
      </w:r>
    </w:p>
    <w:p w14:paraId="04B315BB" w14:textId="2E9EB0F0" w:rsidR="00407B8C" w:rsidRPr="00096D02" w:rsidRDefault="00407B8C" w:rsidP="00A306AE">
      <w:pPr>
        <w:pStyle w:val="Heading3"/>
      </w:pPr>
      <w:bookmarkStart w:id="31" w:name="_Toc215211257"/>
      <w:r w:rsidRPr="00096D02">
        <w:lastRenderedPageBreak/>
        <w:t>535216-535220 : RNA-seq pour un gliome diffus, un gliome circonscrit ou un épendymome</w:t>
      </w:r>
      <w:bookmarkEnd w:id="30"/>
      <w:bookmarkEnd w:id="31"/>
    </w:p>
    <w:p w14:paraId="655547D3" w14:textId="77777777" w:rsidR="00407B8C" w:rsidRPr="00736304" w:rsidRDefault="00407B8C" w:rsidP="00407B8C">
      <w:r w:rsidRPr="00736304">
        <w:t>Remboursement : 600 €</w:t>
      </w:r>
    </w:p>
    <w:p w14:paraId="13B15FE4" w14:textId="77777777" w:rsidR="00407B8C" w:rsidRPr="00736304" w:rsidRDefault="00407B8C" w:rsidP="00407B8C">
      <w:r w:rsidRPr="00736304">
        <w:t>Indication:</w:t>
      </w:r>
    </w:p>
    <w:p w14:paraId="16B8796F" w14:textId="77777777" w:rsidR="00407B8C" w:rsidRPr="00736304" w:rsidRDefault="00407B8C" w:rsidP="00407B8C">
      <w:pPr>
        <w:pStyle w:val="ListParagraph"/>
        <w:numPr>
          <w:ilvl w:val="0"/>
          <w:numId w:val="28"/>
        </w:numPr>
        <w:spacing w:after="160" w:line="259" w:lineRule="auto"/>
        <w:rPr>
          <w:lang w:val="fr-FR"/>
        </w:rPr>
      </w:pPr>
      <w:r w:rsidRPr="00736304">
        <w:rPr>
          <w:lang w:val="fr-FR"/>
        </w:rPr>
        <w:t>Gliome diffus</w:t>
      </w:r>
    </w:p>
    <w:p w14:paraId="3E17555E" w14:textId="77777777" w:rsidR="00407B8C" w:rsidRPr="00736304" w:rsidRDefault="00407B8C" w:rsidP="00407B8C">
      <w:pPr>
        <w:pStyle w:val="ListParagraph"/>
        <w:numPr>
          <w:ilvl w:val="0"/>
          <w:numId w:val="28"/>
        </w:numPr>
        <w:spacing w:after="160" w:line="259" w:lineRule="auto"/>
        <w:rPr>
          <w:lang w:val="fr-FR"/>
        </w:rPr>
      </w:pPr>
      <w:r w:rsidRPr="00736304">
        <w:rPr>
          <w:lang w:val="fr-FR"/>
        </w:rPr>
        <w:t>Gliome circonscrit</w:t>
      </w:r>
    </w:p>
    <w:p w14:paraId="2032B9E9" w14:textId="77777777" w:rsidR="00407B8C" w:rsidRPr="00736304" w:rsidRDefault="00407B8C" w:rsidP="00407B8C">
      <w:pPr>
        <w:pStyle w:val="ListParagraph"/>
        <w:numPr>
          <w:ilvl w:val="0"/>
          <w:numId w:val="28"/>
        </w:numPr>
        <w:spacing w:after="160" w:line="259" w:lineRule="auto"/>
        <w:rPr>
          <w:lang w:val="fr-FR"/>
        </w:rPr>
      </w:pPr>
      <w:r w:rsidRPr="00736304">
        <w:rPr>
          <w:lang w:val="fr-FR"/>
        </w:rPr>
        <w:t>Ependymome</w:t>
      </w:r>
    </w:p>
    <w:p w14:paraId="5512F36A" w14:textId="77777777" w:rsidR="00407B8C" w:rsidRPr="00736304" w:rsidRDefault="00407B8C" w:rsidP="00407B8C"/>
    <w:p w14:paraId="53110631" w14:textId="77777777" w:rsidR="00407B8C" w:rsidRPr="00736304" w:rsidRDefault="00407B8C" w:rsidP="00407B8C">
      <w:r w:rsidRPr="00736304">
        <w:t>Biomarqueurs minimaux à tester :</w:t>
      </w:r>
    </w:p>
    <w:p w14:paraId="4F277A17" w14:textId="77777777" w:rsidR="00407B8C" w:rsidRPr="00736304" w:rsidRDefault="00407B8C" w:rsidP="00407B8C">
      <w:pPr>
        <w:tabs>
          <w:tab w:val="right" w:pos="9214"/>
        </w:tabs>
        <w:ind w:left="360"/>
      </w:pPr>
      <w:bookmarkStart w:id="32" w:name="_Hlk150265017"/>
      <w:r w:rsidRPr="00736304">
        <w:t>Recherche des fusions impliquant les gènes suivants :</w:t>
      </w:r>
    </w:p>
    <w:bookmarkEnd w:id="32"/>
    <w:p w14:paraId="38839A99" w14:textId="77777777" w:rsidR="00407B8C" w:rsidRPr="00736304" w:rsidRDefault="00407B8C"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FGFR1, FGFR2, FGFR3</w:t>
      </w:r>
      <w:r w:rsidRPr="00736304">
        <w:rPr>
          <w:rFonts w:ascii="Calibri" w:eastAsia="Arial" w:hAnsi="Calibri" w:cs="Calibri"/>
          <w:bCs/>
          <w:lang w:val="fr-FR"/>
        </w:rPr>
        <w:tab/>
      </w:r>
      <w:r w:rsidRPr="00736304">
        <w:rPr>
          <w:rFonts w:ascii="Calibri" w:eastAsia="Arial" w:hAnsi="Calibri" w:cs="Calibri"/>
          <w:b/>
          <w:bCs/>
          <w:lang w:val="fr-FR"/>
        </w:rPr>
        <w:t>diagnostic</w:t>
      </w:r>
    </w:p>
    <w:p w14:paraId="2BCEBC0C" w14:textId="77777777" w:rsidR="00407B8C" w:rsidRPr="00736304" w:rsidRDefault="00407B8C"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 xml:space="preserve">KIAA1549::BRAF       </w:t>
      </w:r>
      <w:r w:rsidRPr="00736304">
        <w:rPr>
          <w:rFonts w:ascii="Calibri" w:eastAsia="Arial" w:hAnsi="Calibri" w:cs="Calibri"/>
          <w:bCs/>
          <w:lang w:val="fr-FR"/>
        </w:rPr>
        <w:tab/>
      </w:r>
      <w:r w:rsidRPr="00736304">
        <w:rPr>
          <w:rFonts w:ascii="Calibri" w:eastAsia="Arial" w:hAnsi="Calibri" w:cs="Calibri"/>
          <w:b/>
          <w:bCs/>
          <w:lang w:val="fr-FR"/>
        </w:rPr>
        <w:t>diagnostic</w:t>
      </w:r>
    </w:p>
    <w:p w14:paraId="3510D161" w14:textId="5A1BDCF1" w:rsidR="00407B8C" w:rsidRPr="007C587C" w:rsidRDefault="00407B8C"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 xml:space="preserve">MYB           </w:t>
      </w:r>
      <w:r w:rsidRPr="00736304">
        <w:rPr>
          <w:rFonts w:ascii="Calibri" w:eastAsia="Arial" w:hAnsi="Calibri" w:cs="Calibri"/>
          <w:bCs/>
          <w:lang w:val="fr-FR"/>
        </w:rPr>
        <w:tab/>
      </w:r>
      <w:r w:rsidRPr="00736304">
        <w:rPr>
          <w:rFonts w:ascii="Calibri" w:eastAsia="Arial" w:hAnsi="Calibri" w:cs="Calibri"/>
          <w:b/>
          <w:bCs/>
          <w:lang w:val="fr-FR"/>
        </w:rPr>
        <w:t>diagnostic</w:t>
      </w:r>
    </w:p>
    <w:p w14:paraId="6EF51702" w14:textId="79FCC15A" w:rsidR="00246BA7" w:rsidRPr="00736304" w:rsidRDefault="00246BA7"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 xml:space="preserve">MYBL1           </w:t>
      </w:r>
      <w:r w:rsidRPr="00736304">
        <w:rPr>
          <w:rFonts w:ascii="Calibri" w:eastAsia="Arial" w:hAnsi="Calibri" w:cs="Calibri"/>
          <w:bCs/>
          <w:lang w:val="fr-FR"/>
        </w:rPr>
        <w:tab/>
      </w:r>
      <w:r w:rsidRPr="00736304">
        <w:rPr>
          <w:rFonts w:ascii="Calibri" w:eastAsia="Arial" w:hAnsi="Calibri" w:cs="Calibri"/>
          <w:b/>
          <w:bCs/>
          <w:lang w:val="fr-FR"/>
        </w:rPr>
        <w:t>diagnostic</w:t>
      </w:r>
    </w:p>
    <w:p w14:paraId="613D58D8" w14:textId="77777777" w:rsidR="00407B8C" w:rsidRPr="00736304" w:rsidRDefault="00407B8C"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 xml:space="preserve">MN1          </w:t>
      </w:r>
      <w:r w:rsidRPr="00736304">
        <w:rPr>
          <w:rFonts w:ascii="Calibri" w:eastAsia="Arial" w:hAnsi="Calibri" w:cs="Calibri"/>
          <w:bCs/>
          <w:lang w:val="fr-FR"/>
        </w:rPr>
        <w:tab/>
      </w:r>
      <w:r w:rsidRPr="00736304">
        <w:rPr>
          <w:rFonts w:ascii="Calibri" w:eastAsia="Arial" w:hAnsi="Calibri" w:cs="Calibri"/>
          <w:b/>
          <w:bCs/>
          <w:lang w:val="fr-FR"/>
        </w:rPr>
        <w:t>diagnostic</w:t>
      </w:r>
    </w:p>
    <w:p w14:paraId="098631CF" w14:textId="77777777" w:rsidR="00407B8C" w:rsidRPr="00736304" w:rsidRDefault="00407B8C" w:rsidP="00407B8C">
      <w:pPr>
        <w:pStyle w:val="ListParagraph"/>
        <w:numPr>
          <w:ilvl w:val="0"/>
          <w:numId w:val="18"/>
        </w:numPr>
        <w:tabs>
          <w:tab w:val="right" w:pos="9072"/>
        </w:tabs>
        <w:rPr>
          <w:rFonts w:ascii="Calibri" w:eastAsia="Arial" w:hAnsi="Calibri" w:cs="Calibri"/>
          <w:lang w:val="fr-FR"/>
        </w:rPr>
      </w:pPr>
      <w:r w:rsidRPr="00736304">
        <w:rPr>
          <w:rFonts w:ascii="Calibri" w:eastAsia="Arial" w:hAnsi="Calibri" w:cs="Calibri"/>
          <w:bCs/>
          <w:lang w:val="fr-FR"/>
        </w:rPr>
        <w:t xml:space="preserve">ZFTA           </w:t>
      </w:r>
      <w:r w:rsidRPr="00736304">
        <w:rPr>
          <w:rFonts w:ascii="Calibri" w:eastAsia="Arial" w:hAnsi="Calibri" w:cs="Calibri"/>
          <w:bCs/>
          <w:lang w:val="fr-FR"/>
        </w:rPr>
        <w:tab/>
      </w:r>
      <w:r w:rsidRPr="00736304">
        <w:rPr>
          <w:rFonts w:ascii="Calibri" w:eastAsia="Arial" w:hAnsi="Calibri" w:cs="Calibri"/>
          <w:b/>
          <w:bCs/>
          <w:lang w:val="fr-FR"/>
        </w:rPr>
        <w:t>diagnostic</w:t>
      </w:r>
    </w:p>
    <w:p w14:paraId="7C3195C8" w14:textId="77777777" w:rsidR="00407B8C" w:rsidRPr="00736304" w:rsidRDefault="00407B8C" w:rsidP="00407B8C">
      <w:pPr>
        <w:pStyle w:val="ListParagraph"/>
        <w:numPr>
          <w:ilvl w:val="0"/>
          <w:numId w:val="18"/>
        </w:numPr>
        <w:tabs>
          <w:tab w:val="right" w:pos="9072"/>
        </w:tabs>
        <w:rPr>
          <w:rFonts w:ascii="Calibri" w:eastAsia="Arial" w:hAnsi="Calibri" w:cs="Calibri"/>
          <w:b/>
          <w:bCs/>
          <w:lang w:val="fr-FR"/>
        </w:rPr>
      </w:pPr>
      <w:r w:rsidRPr="00736304">
        <w:rPr>
          <w:rFonts w:ascii="Calibri" w:eastAsia="Arial" w:hAnsi="Calibri" w:cs="Calibri"/>
          <w:bCs/>
          <w:lang w:val="fr-FR"/>
        </w:rPr>
        <w:t xml:space="preserve">YAP1            </w:t>
      </w:r>
      <w:r w:rsidRPr="00736304">
        <w:rPr>
          <w:rFonts w:ascii="Calibri" w:eastAsia="Arial" w:hAnsi="Calibri" w:cs="Calibri"/>
          <w:bCs/>
          <w:lang w:val="fr-FR"/>
        </w:rPr>
        <w:tab/>
      </w:r>
      <w:r w:rsidRPr="00736304">
        <w:rPr>
          <w:rFonts w:ascii="Calibri" w:eastAsia="Arial" w:hAnsi="Calibri" w:cs="Calibri"/>
          <w:b/>
          <w:bCs/>
          <w:lang w:val="fr-FR"/>
        </w:rPr>
        <w:t>diagnostic</w:t>
      </w:r>
    </w:p>
    <w:p w14:paraId="154C13B8" w14:textId="77777777" w:rsidR="00407B8C" w:rsidRPr="00736304" w:rsidRDefault="00407B8C" w:rsidP="00407B8C">
      <w:pPr>
        <w:pStyle w:val="ListParagraph"/>
        <w:numPr>
          <w:ilvl w:val="0"/>
          <w:numId w:val="18"/>
        </w:numPr>
        <w:tabs>
          <w:tab w:val="right" w:pos="9072"/>
        </w:tabs>
        <w:spacing w:after="0"/>
        <w:rPr>
          <w:rFonts w:ascii="Calibri" w:eastAsia="Arial" w:hAnsi="Calibri" w:cs="Calibri"/>
          <w:lang w:val="fr-FR"/>
        </w:rPr>
      </w:pPr>
      <w:r w:rsidRPr="00736304">
        <w:rPr>
          <w:rFonts w:ascii="Calibri" w:eastAsia="Arial" w:hAnsi="Calibri" w:cs="Calibri"/>
          <w:lang w:val="fr-FR"/>
        </w:rPr>
        <w:t xml:space="preserve">NTRK1, NTRK2, NTRK3 </w:t>
      </w:r>
      <w:r w:rsidRPr="00736304">
        <w:rPr>
          <w:rFonts w:ascii="Calibri" w:eastAsia="Arial" w:hAnsi="Calibri" w:cs="Calibri"/>
          <w:lang w:val="fr-FR"/>
        </w:rPr>
        <w:tab/>
      </w:r>
      <w:r w:rsidRPr="00736304">
        <w:rPr>
          <w:rFonts w:ascii="Calibri" w:eastAsia="Arial" w:hAnsi="Calibri" w:cs="Calibri"/>
          <w:b/>
          <w:lang w:val="fr-FR"/>
        </w:rPr>
        <w:t>thérapie</w:t>
      </w:r>
      <w:r w:rsidRPr="00736304">
        <w:rPr>
          <w:rFonts w:ascii="Calibri" w:eastAsia="Arial" w:hAnsi="Calibri" w:cs="Calibri"/>
          <w:lang w:val="fr-FR"/>
        </w:rPr>
        <w:t xml:space="preserve"> </w:t>
      </w:r>
    </w:p>
    <w:p w14:paraId="229D2947" w14:textId="77777777" w:rsidR="00407B8C" w:rsidRPr="00736304" w:rsidRDefault="00407B8C" w:rsidP="00407B8C">
      <w:pPr>
        <w:spacing w:after="0" w:line="276" w:lineRule="auto"/>
        <w:rPr>
          <w:rFonts w:ascii="Calibri" w:eastAsia="Arial" w:hAnsi="Calibri" w:cs="Calibri"/>
          <w:i/>
        </w:rPr>
      </w:pPr>
    </w:p>
    <w:p w14:paraId="02453B73" w14:textId="77777777" w:rsidR="00407B8C" w:rsidRPr="00736304" w:rsidRDefault="00407B8C" w:rsidP="00407B8C">
      <w:pPr>
        <w:tabs>
          <w:tab w:val="right" w:pos="9214"/>
        </w:tabs>
      </w:pPr>
    </w:p>
    <w:p w14:paraId="35065629" w14:textId="77777777" w:rsidR="00407B8C" w:rsidRPr="00736304" w:rsidRDefault="00407B8C" w:rsidP="00407B8C">
      <w:pPr>
        <w:tabs>
          <w:tab w:val="right" w:pos="9214"/>
        </w:tabs>
      </w:pPr>
      <w:r w:rsidRPr="00736304">
        <w:t>Enregistrement obligatoire dans PITTER :</w:t>
      </w:r>
    </w:p>
    <w:p w14:paraId="4F244341"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594952 – 594963 : « Détection d’une fusion du gène NTRK1 chez une tumeur TRK-positive (ICH) tumeur solide avancée»</w:t>
      </w:r>
    </w:p>
    <w:p w14:paraId="3D34F5B9"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594974 – 594985 : « Détection d’une fusion du gène NTRK2 chez une tumeur TRK-positive (ICH) tumeur solide avancée»</w:t>
      </w:r>
    </w:p>
    <w:p w14:paraId="33C37D45"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lang w:val="fr-FR"/>
        </w:rPr>
        <w:t>594996 – 595000 : « Détection d’une fusion du gène NTRK3 chez une tumeur TRK-positive (ICH) tumeur solide avancée»</w:t>
      </w:r>
    </w:p>
    <w:p w14:paraId="6DA98958" w14:textId="77777777" w:rsidR="00407B8C" w:rsidRPr="00736304" w:rsidRDefault="00407B8C" w:rsidP="00407B8C">
      <w:pPr>
        <w:tabs>
          <w:tab w:val="right" w:pos="9214"/>
        </w:tabs>
      </w:pPr>
    </w:p>
    <w:p w14:paraId="1C06E789" w14:textId="77777777" w:rsidR="00407B8C" w:rsidRPr="00736304" w:rsidRDefault="00407B8C" w:rsidP="00407B8C">
      <w:pPr>
        <w:tabs>
          <w:tab w:val="right" w:pos="9214"/>
        </w:tabs>
      </w:pPr>
      <w:r w:rsidRPr="00736304">
        <w:t>Règles de cumul :</w:t>
      </w:r>
    </w:p>
    <w:p w14:paraId="4FED4245"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C142030"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0B23CA73"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771A5EAA"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9AE8523" w14:textId="77777777" w:rsidR="00407B8C" w:rsidRPr="00BC3291" w:rsidRDefault="00407B8C" w:rsidP="00407B8C">
      <w:pPr>
        <w:pStyle w:val="ListParagraph"/>
        <w:numPr>
          <w:ilvl w:val="0"/>
          <w:numId w:val="16"/>
        </w:numPr>
        <w:tabs>
          <w:tab w:val="right" w:pos="9214"/>
        </w:tabs>
        <w:spacing w:after="160" w:line="259" w:lineRule="auto"/>
        <w:rPr>
          <w:strike/>
          <w:highlight w:val="yellow"/>
          <w:lang w:val="fr-FR"/>
        </w:rPr>
      </w:pPr>
      <w:r w:rsidRPr="00BC3291">
        <w:rPr>
          <w:strike/>
          <w:highlight w:val="yellow"/>
          <w:lang w:val="fr-FR"/>
        </w:rPr>
        <w:br w:type="page"/>
      </w:r>
    </w:p>
    <w:p w14:paraId="4736606A" w14:textId="77777777" w:rsidR="00407B8C" w:rsidRPr="00096D02" w:rsidRDefault="00407B8C" w:rsidP="00A306AE">
      <w:pPr>
        <w:pStyle w:val="Heading3"/>
      </w:pPr>
      <w:bookmarkStart w:id="33" w:name="_Toc167180258"/>
      <w:bookmarkStart w:id="34" w:name="_Toc215211258"/>
      <w:r w:rsidRPr="00096D02">
        <w:lastRenderedPageBreak/>
        <w:t>535231-535242 : NGS pour carcinome du sein métastatique</w:t>
      </w:r>
      <w:bookmarkEnd w:id="33"/>
      <w:bookmarkEnd w:id="34"/>
    </w:p>
    <w:p w14:paraId="0C1D8E0A" w14:textId="77777777" w:rsidR="00407B8C" w:rsidRPr="00736304" w:rsidRDefault="00407B8C" w:rsidP="00407B8C"/>
    <w:p w14:paraId="64DECCB4" w14:textId="77777777" w:rsidR="00407B8C" w:rsidRPr="00736304" w:rsidRDefault="00407B8C" w:rsidP="00407B8C">
      <w:r w:rsidRPr="00736304">
        <w:t>Remboursement : 600 €</w:t>
      </w:r>
    </w:p>
    <w:p w14:paraId="526002A3" w14:textId="77777777" w:rsidR="00407B8C" w:rsidRPr="00736304" w:rsidRDefault="00407B8C" w:rsidP="00407B8C">
      <w:r w:rsidRPr="00736304">
        <w:t xml:space="preserve">Indication: </w:t>
      </w:r>
    </w:p>
    <w:p w14:paraId="4851FA9C" w14:textId="77777777" w:rsidR="00407B8C" w:rsidRPr="00736304" w:rsidRDefault="00407B8C" w:rsidP="00407B8C">
      <w:pPr>
        <w:pStyle w:val="ListParagraph"/>
        <w:numPr>
          <w:ilvl w:val="0"/>
          <w:numId w:val="27"/>
        </w:numPr>
        <w:spacing w:after="160" w:line="259" w:lineRule="auto"/>
        <w:rPr>
          <w:lang w:val="fr-FR"/>
        </w:rPr>
      </w:pPr>
      <w:r w:rsidRPr="00736304">
        <w:rPr>
          <w:lang w:val="fr-FR"/>
        </w:rPr>
        <w:t>Carcinome du sein métastatique, ER positif et HER2 négatif</w:t>
      </w:r>
    </w:p>
    <w:p w14:paraId="0C0812E2" w14:textId="79F7E15D" w:rsidR="00407B8C" w:rsidRPr="00736304" w:rsidRDefault="00407B8C" w:rsidP="00407B8C">
      <w:pPr>
        <w:pStyle w:val="ListParagraph"/>
        <w:numPr>
          <w:ilvl w:val="0"/>
          <w:numId w:val="27"/>
        </w:numPr>
        <w:spacing w:after="160" w:line="259" w:lineRule="auto"/>
        <w:rPr>
          <w:lang w:val="fr-FR"/>
        </w:rPr>
      </w:pPr>
      <w:r w:rsidRPr="00736304">
        <w:rPr>
          <w:lang w:val="fr-FR"/>
        </w:rPr>
        <w:t xml:space="preserve">Sur tissu tumoral ou sur </w:t>
      </w:r>
      <w:r w:rsidR="00246BA7">
        <w:rPr>
          <w:lang w:val="fr-FR"/>
        </w:rPr>
        <w:t>biopsie liquide</w:t>
      </w:r>
      <w:r w:rsidRPr="00736304">
        <w:rPr>
          <w:lang w:val="fr-FR"/>
        </w:rPr>
        <w:t xml:space="preserve"> </w:t>
      </w:r>
      <w:r w:rsidR="00C85B81">
        <w:rPr>
          <w:lang w:val="fr-FR"/>
        </w:rPr>
        <w:t>(</w:t>
      </w:r>
      <w:r w:rsidRPr="00736304">
        <w:rPr>
          <w:lang w:val="fr-FR"/>
        </w:rPr>
        <w:t>si le tissu tumoral n’est pas disponible</w:t>
      </w:r>
      <w:r w:rsidR="00C85B81">
        <w:rPr>
          <w:lang w:val="fr-FR"/>
        </w:rPr>
        <w:t>)</w:t>
      </w:r>
    </w:p>
    <w:p w14:paraId="2CC92445" w14:textId="77777777" w:rsidR="00407B8C" w:rsidRPr="00736304" w:rsidRDefault="00407B8C" w:rsidP="00407B8C"/>
    <w:p w14:paraId="3B813F70" w14:textId="77777777" w:rsidR="00407B8C" w:rsidRPr="00736304" w:rsidRDefault="00407B8C" w:rsidP="00407B8C">
      <w:r w:rsidRPr="00736304">
        <w:t>Biomarqueurs minimaux à tester :</w:t>
      </w:r>
    </w:p>
    <w:p w14:paraId="686B7364" w14:textId="77777777" w:rsidR="00407B8C" w:rsidRPr="00736304" w:rsidRDefault="00407B8C" w:rsidP="00407B8C">
      <w:pPr>
        <w:pStyle w:val="ListParagraph"/>
        <w:numPr>
          <w:ilvl w:val="0"/>
          <w:numId w:val="15"/>
        </w:numPr>
        <w:tabs>
          <w:tab w:val="left" w:pos="7655"/>
        </w:tabs>
        <w:spacing w:after="0" w:line="259" w:lineRule="auto"/>
        <w:rPr>
          <w:rFonts w:ascii="Calibri" w:hAnsi="Calibri" w:cs="Calibri"/>
          <w:iCs/>
          <w:lang w:val="fr-FR"/>
        </w:rPr>
      </w:pPr>
      <w:r w:rsidRPr="00736304">
        <w:rPr>
          <w:rFonts w:ascii="Calibri" w:hAnsi="Calibri" w:cs="Calibri"/>
          <w:iCs/>
          <w:lang w:val="fr-FR"/>
        </w:rPr>
        <w:t xml:space="preserve">ESR1 (exon 4, exon 5, exon 8) </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 xml:space="preserve">thérapie </w:t>
      </w:r>
    </w:p>
    <w:p w14:paraId="7D36BD02" w14:textId="77777777" w:rsidR="00407B8C" w:rsidRPr="00736304" w:rsidRDefault="00407B8C" w:rsidP="00407B8C">
      <w:pPr>
        <w:pStyle w:val="ListParagraph"/>
        <w:numPr>
          <w:ilvl w:val="0"/>
          <w:numId w:val="15"/>
        </w:numPr>
        <w:tabs>
          <w:tab w:val="left" w:pos="7655"/>
        </w:tabs>
        <w:spacing w:after="0" w:line="259" w:lineRule="auto"/>
        <w:rPr>
          <w:lang w:val="fr-FR"/>
        </w:rPr>
      </w:pPr>
      <w:r w:rsidRPr="00736304">
        <w:rPr>
          <w:rFonts w:ascii="Calibri" w:hAnsi="Calibri" w:cs="Calibri"/>
          <w:iCs/>
          <w:lang w:val="fr-FR"/>
        </w:rPr>
        <w:t>PIK3CA (exon 2, exon 5, exon 8, exon 10, exon 14, exon 21)</w:t>
      </w:r>
      <w:r w:rsidRPr="00736304">
        <w:rPr>
          <w:rFonts w:ascii="Calibri" w:hAnsi="Calibri" w:cs="Calibri"/>
          <w:iCs/>
          <w:lang w:val="fr-FR"/>
        </w:rPr>
        <w:tab/>
      </w:r>
      <w:r w:rsidRPr="00736304">
        <w:rPr>
          <w:rFonts w:ascii="Calibri" w:hAnsi="Calibri" w:cs="Calibri"/>
          <w:b/>
          <w:bCs/>
          <w:iCs/>
          <w:lang w:val="fr-FR"/>
        </w:rPr>
        <w:tab/>
        <w:t>thérapie</w:t>
      </w:r>
      <w:r w:rsidRPr="00736304">
        <w:rPr>
          <w:rFonts w:ascii="Calibri" w:hAnsi="Calibri" w:cs="Calibri"/>
          <w:iCs/>
          <w:lang w:val="fr-FR"/>
        </w:rPr>
        <w:tab/>
      </w:r>
    </w:p>
    <w:p w14:paraId="37FDF555" w14:textId="77777777" w:rsidR="00407B8C" w:rsidRPr="00736304" w:rsidRDefault="00407B8C" w:rsidP="00407B8C">
      <w:pPr>
        <w:tabs>
          <w:tab w:val="right" w:pos="9214"/>
        </w:tabs>
      </w:pPr>
    </w:p>
    <w:p w14:paraId="24B97E3F" w14:textId="77777777" w:rsidR="00407B8C" w:rsidRPr="00736304" w:rsidRDefault="00407B8C" w:rsidP="00407B8C">
      <w:pPr>
        <w:tabs>
          <w:tab w:val="right" w:pos="9214"/>
        </w:tabs>
      </w:pPr>
      <w:r w:rsidRPr="00736304">
        <w:t>Enregistrement obligatoire dans PITTER :</w:t>
      </w:r>
    </w:p>
    <w:p w14:paraId="7B2CEB7C"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0552E185" w14:textId="77777777" w:rsidR="00407B8C" w:rsidRPr="00736304" w:rsidRDefault="00407B8C" w:rsidP="00407B8C">
      <w:pPr>
        <w:tabs>
          <w:tab w:val="right" w:pos="9214"/>
        </w:tabs>
      </w:pPr>
    </w:p>
    <w:p w14:paraId="57A26D54" w14:textId="77777777" w:rsidR="00407B8C" w:rsidRPr="00736304" w:rsidRDefault="00407B8C" w:rsidP="00407B8C">
      <w:pPr>
        <w:tabs>
          <w:tab w:val="right" w:pos="9214"/>
        </w:tabs>
      </w:pPr>
      <w:r w:rsidRPr="00736304">
        <w:t>Règles de cumul :</w:t>
      </w:r>
    </w:p>
    <w:p w14:paraId="0D490A55"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61E180D"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0B8D74E8"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CCA9503"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12C37EC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0E3D808" w14:textId="77777777" w:rsidR="00407B8C" w:rsidRPr="00736304" w:rsidRDefault="00407B8C" w:rsidP="00407B8C">
      <w:pPr>
        <w:tabs>
          <w:tab w:val="right" w:pos="9214"/>
        </w:tabs>
        <w:ind w:left="360"/>
      </w:pPr>
    </w:p>
    <w:p w14:paraId="6FE3A423"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0B1CCF06" w14:textId="77777777" w:rsidR="00407B8C" w:rsidRPr="00096D02" w:rsidRDefault="00407B8C" w:rsidP="00A306AE">
      <w:pPr>
        <w:pStyle w:val="Heading3"/>
      </w:pPr>
      <w:bookmarkStart w:id="35" w:name="_Toc167180259"/>
      <w:bookmarkStart w:id="36" w:name="_Toc215211259"/>
      <w:r w:rsidRPr="00096D02">
        <w:lastRenderedPageBreak/>
        <w:t>535253-535264 : NGS pour un carcinome thyroïdien non médullaire</w:t>
      </w:r>
      <w:bookmarkEnd w:id="35"/>
      <w:bookmarkEnd w:id="36"/>
    </w:p>
    <w:p w14:paraId="6B3ED9D7" w14:textId="77777777" w:rsidR="00407B8C" w:rsidRPr="00736304" w:rsidRDefault="00407B8C" w:rsidP="00407B8C"/>
    <w:p w14:paraId="653803F1" w14:textId="77777777" w:rsidR="00407B8C" w:rsidRPr="00736304" w:rsidRDefault="00407B8C" w:rsidP="00407B8C">
      <w:r w:rsidRPr="00736304">
        <w:t>Remboursement : 600 €</w:t>
      </w:r>
    </w:p>
    <w:p w14:paraId="30FC11B0" w14:textId="77777777" w:rsidR="00407B8C" w:rsidRPr="00736304" w:rsidRDefault="00407B8C" w:rsidP="00407B8C"/>
    <w:p w14:paraId="513F5E4F" w14:textId="77777777" w:rsidR="00407B8C" w:rsidRPr="00736304" w:rsidRDefault="00407B8C" w:rsidP="00407B8C">
      <w:r w:rsidRPr="00736304">
        <w:t>Indication:</w:t>
      </w:r>
    </w:p>
    <w:p w14:paraId="0711E095" w14:textId="77777777" w:rsidR="00407B8C" w:rsidRPr="00736304" w:rsidRDefault="00407B8C" w:rsidP="00407B8C">
      <w:pPr>
        <w:pStyle w:val="ListParagraph"/>
        <w:numPr>
          <w:ilvl w:val="0"/>
          <w:numId w:val="26"/>
        </w:numPr>
        <w:spacing w:after="160" w:line="259" w:lineRule="auto"/>
        <w:rPr>
          <w:lang w:val="fr-FR"/>
        </w:rPr>
      </w:pPr>
      <w:r w:rsidRPr="00736304">
        <w:rPr>
          <w:lang w:val="fr-FR"/>
        </w:rPr>
        <w:t>Carcinome de la thyroïde</w:t>
      </w:r>
    </w:p>
    <w:p w14:paraId="53E16C79" w14:textId="77777777" w:rsidR="00407B8C" w:rsidRPr="00736304" w:rsidRDefault="00407B8C" w:rsidP="00407B8C">
      <w:pPr>
        <w:pStyle w:val="ListParagraph"/>
        <w:numPr>
          <w:ilvl w:val="1"/>
          <w:numId w:val="26"/>
        </w:numPr>
        <w:spacing w:after="160" w:line="259" w:lineRule="auto"/>
        <w:rPr>
          <w:lang w:val="fr-FR"/>
        </w:rPr>
      </w:pPr>
      <w:r w:rsidRPr="00736304">
        <w:rPr>
          <w:rFonts w:cs="Calibri"/>
          <w:lang w:val="fr-FR"/>
        </w:rPr>
        <w:t>Sur</w:t>
      </w:r>
      <w:r w:rsidRPr="00736304">
        <w:rPr>
          <w:rFonts w:ascii="Calibri" w:hAnsi="Calibri" w:cs="Calibri"/>
          <w:lang w:val="fr-FR"/>
        </w:rPr>
        <w:t xml:space="preserve"> FNA (ponction à l'aiguille fine) ou biopsie, en cas de néoplasie folliculaire selon cytologie (classe Bethesda 3 ou 4)</w:t>
      </w:r>
    </w:p>
    <w:p w14:paraId="0A0B4E94" w14:textId="77777777" w:rsidR="00407B8C" w:rsidRPr="00736304" w:rsidRDefault="00407B8C" w:rsidP="00407B8C">
      <w:pPr>
        <w:pStyle w:val="ListParagraph"/>
        <w:numPr>
          <w:ilvl w:val="1"/>
          <w:numId w:val="18"/>
        </w:numPr>
        <w:spacing w:after="160" w:line="259" w:lineRule="auto"/>
        <w:rPr>
          <w:rFonts w:ascii="Calibri" w:hAnsi="Calibri" w:cs="Calibri"/>
          <w:lang w:val="fr-FR"/>
        </w:rPr>
      </w:pPr>
      <w:r w:rsidRPr="00736304">
        <w:rPr>
          <w:rFonts w:ascii="Calibri" w:hAnsi="Calibri" w:cs="Calibri"/>
          <w:lang w:val="fr-FR"/>
        </w:rPr>
        <w:t>Sur échantillons histologiques : NIFTP (</w:t>
      </w:r>
      <w:r w:rsidRPr="00736304">
        <w:rPr>
          <w:rFonts w:ascii="Calibri" w:hAnsi="Calibri" w:cs="Calibri"/>
          <w:i/>
          <w:iCs/>
          <w:lang w:val="fr-FR"/>
        </w:rPr>
        <w:t>Néoplasme thyroïdien folliculaire non invasif à caractéristiques nucléaires papillaires</w:t>
      </w:r>
      <w:r w:rsidRPr="00736304">
        <w:rPr>
          <w:rFonts w:ascii="Calibri" w:hAnsi="Calibri" w:cs="Calibri"/>
          <w:lang w:val="fr-FR"/>
        </w:rPr>
        <w:t>) et d'autres patients sélectionnés pour lesquels un test NGS permet un diagnostic définitif (histologie agressive ; patients à haut risque au premier diagnostic défini comme T&gt;2, ou N1b, ou M1 ; intervention en cas de maladie locale persistante/récidivante ; maladie métastatique réfractaire à l'iode radioactif).</w:t>
      </w:r>
    </w:p>
    <w:p w14:paraId="6ED23777" w14:textId="77777777" w:rsidR="00407B8C" w:rsidRPr="00736304" w:rsidRDefault="00407B8C" w:rsidP="00407B8C"/>
    <w:p w14:paraId="11A6B6CF" w14:textId="77777777" w:rsidR="00407B8C" w:rsidRPr="00736304" w:rsidRDefault="00407B8C" w:rsidP="00407B8C">
      <w:r w:rsidRPr="00736304">
        <w:t>Biomarqueurs minimaux à tester :</w:t>
      </w:r>
    </w:p>
    <w:p w14:paraId="43BFF04D"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BRAF (exon 15 (codon 600))</w:t>
      </w:r>
      <w:r w:rsidRPr="00736304">
        <w:rPr>
          <w:rFonts w:ascii="Calibri" w:hAnsi="Calibri" w:cs="Calibri"/>
          <w:iCs/>
          <w:lang w:val="fr-FR"/>
        </w:rPr>
        <w:tab/>
      </w:r>
      <w:r w:rsidRPr="00736304">
        <w:rPr>
          <w:rFonts w:ascii="Calibri" w:hAnsi="Calibri" w:cs="Calibri"/>
          <w:b/>
          <w:bCs/>
          <w:iCs/>
          <w:lang w:val="fr-FR"/>
        </w:rPr>
        <w:t>diagnostic</w:t>
      </w:r>
    </w:p>
    <w:p w14:paraId="3572904B"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 xml:space="preserve">KRAS (exon 2 (codons 12,13), exon 3 (codons 59, 61), exon 4 (codons 117, 146)) </w:t>
      </w:r>
      <w:r w:rsidRPr="00736304">
        <w:rPr>
          <w:rFonts w:ascii="Calibri" w:hAnsi="Calibri" w:cs="Calibri"/>
          <w:iCs/>
          <w:lang w:val="fr-FR"/>
        </w:rPr>
        <w:tab/>
      </w:r>
      <w:r w:rsidRPr="00736304">
        <w:rPr>
          <w:rFonts w:ascii="Calibri" w:hAnsi="Calibri" w:cs="Calibri"/>
          <w:b/>
          <w:bCs/>
          <w:iCs/>
          <w:lang w:val="fr-FR"/>
        </w:rPr>
        <w:t>diagnostic</w:t>
      </w:r>
    </w:p>
    <w:p w14:paraId="07164A51"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HRAS (exon 2 (codons 12,13), exon 3 (codons 59, 61), exon 4 (codons 117, 146))</w:t>
      </w:r>
      <w:r w:rsidRPr="00736304">
        <w:rPr>
          <w:rFonts w:ascii="Calibri" w:hAnsi="Calibri" w:cs="Calibri"/>
          <w:iCs/>
          <w:lang w:val="fr-FR"/>
        </w:rPr>
        <w:tab/>
      </w:r>
      <w:r w:rsidRPr="00736304">
        <w:rPr>
          <w:rFonts w:ascii="Calibri" w:hAnsi="Calibri" w:cs="Calibri"/>
          <w:b/>
          <w:bCs/>
          <w:iCs/>
          <w:lang w:val="fr-FR"/>
        </w:rPr>
        <w:t>diagnostic</w:t>
      </w:r>
    </w:p>
    <w:p w14:paraId="7D2DBA52"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NRAS (exon 2 (codons 12,13), exon 3 (codons 59, 61), exon 4 (codons 117, 146))</w:t>
      </w:r>
      <w:r w:rsidRPr="00736304">
        <w:rPr>
          <w:rFonts w:ascii="Calibri" w:hAnsi="Calibri" w:cs="Calibri"/>
          <w:iCs/>
          <w:lang w:val="fr-FR"/>
        </w:rPr>
        <w:tab/>
      </w:r>
      <w:r w:rsidRPr="00736304">
        <w:rPr>
          <w:rFonts w:ascii="Calibri" w:hAnsi="Calibri" w:cs="Calibri"/>
          <w:b/>
          <w:bCs/>
          <w:iCs/>
          <w:lang w:val="fr-FR"/>
        </w:rPr>
        <w:t>diagnostic</w:t>
      </w:r>
    </w:p>
    <w:p w14:paraId="5E51E522"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Promoteur TERT (c.-124C&gt;T (C228T), c.-146C&gt;T (C250T))</w:t>
      </w:r>
      <w:r w:rsidRPr="00736304">
        <w:rPr>
          <w:rFonts w:ascii="Calibri" w:hAnsi="Calibri" w:cs="Calibri"/>
          <w:iCs/>
          <w:lang w:val="fr-FR"/>
        </w:rPr>
        <w:tab/>
      </w:r>
      <w:r w:rsidRPr="00736304">
        <w:rPr>
          <w:rFonts w:ascii="Calibri" w:hAnsi="Calibri" w:cs="Calibri"/>
          <w:b/>
          <w:bCs/>
          <w:iCs/>
          <w:lang w:val="fr-FR"/>
        </w:rPr>
        <w:t>diagnostic</w:t>
      </w:r>
    </w:p>
    <w:p w14:paraId="06D0213F" w14:textId="77777777" w:rsidR="00407B8C" w:rsidRPr="00736304" w:rsidRDefault="00407B8C" w:rsidP="00407B8C">
      <w:pPr>
        <w:pStyle w:val="ListParagraph"/>
        <w:numPr>
          <w:ilvl w:val="0"/>
          <w:numId w:val="15"/>
        </w:numPr>
        <w:tabs>
          <w:tab w:val="left" w:pos="7938"/>
        </w:tabs>
        <w:spacing w:after="0" w:line="259" w:lineRule="auto"/>
        <w:ind w:right="-138"/>
        <w:rPr>
          <w:rFonts w:ascii="Calibri" w:hAnsi="Calibri" w:cs="Calibri"/>
          <w:iCs/>
          <w:lang w:val="fr-FR"/>
        </w:rPr>
      </w:pPr>
      <w:r w:rsidRPr="00736304">
        <w:rPr>
          <w:rFonts w:ascii="Calibri" w:hAnsi="Calibri" w:cs="Calibri"/>
          <w:iCs/>
          <w:lang w:val="fr-FR"/>
        </w:rPr>
        <w:t>TP53 (tous les exons codants et les régions de sites de splicing)</w:t>
      </w:r>
      <w:r w:rsidRPr="00736304">
        <w:rPr>
          <w:rFonts w:ascii="Calibri" w:hAnsi="Calibri" w:cs="Calibri"/>
          <w:iCs/>
          <w:lang w:val="fr-FR"/>
        </w:rPr>
        <w:tab/>
      </w:r>
      <w:r w:rsidRPr="00736304">
        <w:rPr>
          <w:rFonts w:ascii="Calibri" w:hAnsi="Calibri" w:cs="Calibri"/>
          <w:b/>
          <w:bCs/>
          <w:iCs/>
          <w:lang w:val="fr-FR"/>
        </w:rPr>
        <w:t>diagnostic</w:t>
      </w:r>
    </w:p>
    <w:p w14:paraId="799823D5" w14:textId="77777777" w:rsidR="00407B8C" w:rsidRPr="00736304" w:rsidRDefault="00407B8C" w:rsidP="00407B8C">
      <w:pPr>
        <w:tabs>
          <w:tab w:val="right" w:pos="9214"/>
        </w:tabs>
      </w:pPr>
    </w:p>
    <w:p w14:paraId="5CA39A30" w14:textId="77777777" w:rsidR="00407B8C" w:rsidRPr="00736304" w:rsidRDefault="00407B8C" w:rsidP="00407B8C">
      <w:pPr>
        <w:tabs>
          <w:tab w:val="right" w:pos="9214"/>
        </w:tabs>
      </w:pPr>
      <w:r w:rsidRPr="00736304">
        <w:t>Enregistrement obligatoire dans PITTER :</w:t>
      </w:r>
    </w:p>
    <w:p w14:paraId="0B5F0E5D" w14:textId="77777777" w:rsidR="00407B8C" w:rsidRPr="00736304" w:rsidRDefault="00407B8C" w:rsidP="00407B8C">
      <w:pPr>
        <w:pStyle w:val="ListParagraph"/>
        <w:numPr>
          <w:ilvl w:val="0"/>
          <w:numId w:val="32"/>
        </w:numPr>
        <w:tabs>
          <w:tab w:val="right" w:pos="9214"/>
        </w:tabs>
        <w:spacing w:after="160" w:line="259" w:lineRule="auto"/>
        <w:rPr>
          <w:lang w:val="fr-FR"/>
        </w:rPr>
      </w:pPr>
      <w:r w:rsidRPr="00736304">
        <w:rPr>
          <w:lang w:val="fr-FR"/>
        </w:rPr>
        <w:t>Pas d’application</w:t>
      </w:r>
    </w:p>
    <w:p w14:paraId="58B6C0FA" w14:textId="77777777" w:rsidR="00407B8C" w:rsidRPr="00736304" w:rsidRDefault="00407B8C" w:rsidP="00407B8C">
      <w:pPr>
        <w:tabs>
          <w:tab w:val="right" w:pos="9214"/>
        </w:tabs>
      </w:pPr>
    </w:p>
    <w:p w14:paraId="761623B0" w14:textId="77777777" w:rsidR="00407B8C" w:rsidRPr="00736304" w:rsidRDefault="00407B8C" w:rsidP="00407B8C">
      <w:pPr>
        <w:tabs>
          <w:tab w:val="right" w:pos="9214"/>
        </w:tabs>
      </w:pPr>
      <w:r w:rsidRPr="00736304">
        <w:t>Règles de cumul :</w:t>
      </w:r>
    </w:p>
    <w:p w14:paraId="4A641438"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C6876CA"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4EA22A67"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3E41978C"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755F9F70" w14:textId="77777777" w:rsidR="00407B8C" w:rsidRPr="00961D7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07473C3" w14:textId="77777777" w:rsidR="00407B8C" w:rsidRPr="003E4F40" w:rsidRDefault="00407B8C" w:rsidP="00407B8C">
      <w:pPr>
        <w:tabs>
          <w:tab w:val="right" w:pos="9214"/>
        </w:tabs>
      </w:pPr>
    </w:p>
    <w:p w14:paraId="3E89E538" w14:textId="77777777" w:rsidR="00407B8C" w:rsidRPr="00736304" w:rsidRDefault="00407B8C" w:rsidP="00407B8C">
      <w:pPr>
        <w:pStyle w:val="ListParagraph"/>
        <w:tabs>
          <w:tab w:val="right" w:pos="9214"/>
        </w:tabs>
        <w:rPr>
          <w:i/>
          <w:iCs/>
          <w:lang w:val="fr-FR"/>
        </w:rPr>
      </w:pPr>
    </w:p>
    <w:p w14:paraId="4B2B660B" w14:textId="77777777" w:rsidR="00407B8C" w:rsidRDefault="00407B8C" w:rsidP="00407B8C">
      <w:pPr>
        <w:rPr>
          <w:rFonts w:asciiTheme="majorHAnsi" w:eastAsiaTheme="majorEastAsia" w:hAnsiTheme="majorHAnsi" w:cstheme="majorBidi"/>
          <w:color w:val="365F91" w:themeColor="accent1" w:themeShade="BF"/>
          <w:sz w:val="26"/>
          <w:szCs w:val="26"/>
        </w:rPr>
      </w:pPr>
      <w:r>
        <w:br w:type="page"/>
      </w:r>
    </w:p>
    <w:p w14:paraId="5AF67F86" w14:textId="77777777" w:rsidR="00407B8C" w:rsidRPr="00096D02" w:rsidRDefault="00407B8C" w:rsidP="00A306AE">
      <w:pPr>
        <w:pStyle w:val="Heading3"/>
      </w:pPr>
      <w:bookmarkStart w:id="37" w:name="_Toc167180260"/>
      <w:bookmarkStart w:id="38" w:name="_Toc215211260"/>
      <w:r w:rsidRPr="00096D02">
        <w:lastRenderedPageBreak/>
        <w:t>535275-535286 : NGS pour un carcinome thyroïdien médullaire</w:t>
      </w:r>
      <w:bookmarkEnd w:id="37"/>
      <w:bookmarkEnd w:id="38"/>
    </w:p>
    <w:p w14:paraId="3D87151E" w14:textId="77777777" w:rsidR="00407B8C" w:rsidRPr="00736304" w:rsidRDefault="00407B8C" w:rsidP="00407B8C"/>
    <w:p w14:paraId="0241E6C9" w14:textId="77777777" w:rsidR="00407B8C" w:rsidRPr="00736304" w:rsidRDefault="00407B8C" w:rsidP="00407B8C">
      <w:r w:rsidRPr="00736304">
        <w:t>Remboursement : 600 €</w:t>
      </w:r>
    </w:p>
    <w:p w14:paraId="353F5A0D" w14:textId="77777777" w:rsidR="00407B8C" w:rsidRPr="00736304" w:rsidRDefault="00407B8C" w:rsidP="00407B8C"/>
    <w:p w14:paraId="5A6E84EE" w14:textId="77777777" w:rsidR="00407B8C" w:rsidRPr="00736304" w:rsidRDefault="00407B8C" w:rsidP="00407B8C">
      <w:r w:rsidRPr="00736304">
        <w:t>Indication:</w:t>
      </w:r>
    </w:p>
    <w:p w14:paraId="5CEE97FE" w14:textId="77777777" w:rsidR="00407B8C" w:rsidRPr="00736304" w:rsidRDefault="00407B8C" w:rsidP="00407B8C">
      <w:pPr>
        <w:pStyle w:val="ListParagraph"/>
        <w:numPr>
          <w:ilvl w:val="0"/>
          <w:numId w:val="18"/>
        </w:numPr>
        <w:spacing w:after="160" w:line="259" w:lineRule="auto"/>
        <w:rPr>
          <w:lang w:val="fr-FR"/>
        </w:rPr>
      </w:pPr>
      <w:r w:rsidRPr="00736304">
        <w:rPr>
          <w:lang w:val="fr-FR"/>
        </w:rPr>
        <w:t xml:space="preserve">Cancer médullaire de la thyroïde avancé </w:t>
      </w:r>
    </w:p>
    <w:p w14:paraId="4849DCF1" w14:textId="77777777" w:rsidR="00407B8C" w:rsidRPr="00736304" w:rsidRDefault="00407B8C" w:rsidP="00407B8C"/>
    <w:p w14:paraId="54ADD215" w14:textId="77777777" w:rsidR="00407B8C" w:rsidRPr="00736304" w:rsidRDefault="00407B8C" w:rsidP="00407B8C">
      <w:r w:rsidRPr="00736304">
        <w:t>Biomarqueurs minimaux à tester :</w:t>
      </w:r>
    </w:p>
    <w:p w14:paraId="2B6142E0" w14:textId="77777777" w:rsidR="00407B8C" w:rsidRPr="00736304" w:rsidRDefault="00407B8C" w:rsidP="00407B8C">
      <w:pPr>
        <w:pStyle w:val="ListParagraph"/>
        <w:numPr>
          <w:ilvl w:val="0"/>
          <w:numId w:val="15"/>
        </w:numPr>
        <w:tabs>
          <w:tab w:val="left" w:pos="7938"/>
        </w:tabs>
        <w:spacing w:after="0" w:line="259" w:lineRule="auto"/>
        <w:ind w:right="429"/>
        <w:rPr>
          <w:lang w:val="fr-FR"/>
        </w:rPr>
      </w:pPr>
      <w:r w:rsidRPr="00736304">
        <w:rPr>
          <w:rFonts w:ascii="Calibri" w:hAnsi="Calibri" w:cs="Calibri"/>
          <w:iCs/>
          <w:lang w:val="fr-FR"/>
        </w:rPr>
        <w:t>RET (exon 10, exon 11, exon 13, exon 14, exon 15, exon 16)</w:t>
      </w:r>
      <w:r w:rsidRPr="00736304">
        <w:rPr>
          <w:rFonts w:ascii="Calibri" w:hAnsi="Calibri" w:cs="Calibri"/>
          <w:iCs/>
          <w:lang w:val="fr-FR"/>
        </w:rPr>
        <w:tab/>
      </w:r>
      <w:r w:rsidRPr="00736304">
        <w:rPr>
          <w:rFonts w:ascii="Calibri" w:hAnsi="Calibri" w:cs="Calibri"/>
          <w:b/>
          <w:bCs/>
          <w:iCs/>
          <w:lang w:val="fr-FR"/>
        </w:rPr>
        <w:t>thérapie</w:t>
      </w:r>
    </w:p>
    <w:p w14:paraId="4D4F5DA5" w14:textId="77777777" w:rsidR="00407B8C" w:rsidRPr="00736304" w:rsidRDefault="00407B8C" w:rsidP="00407B8C">
      <w:pPr>
        <w:tabs>
          <w:tab w:val="right" w:pos="9214"/>
        </w:tabs>
      </w:pPr>
    </w:p>
    <w:p w14:paraId="78C86DB6" w14:textId="77777777" w:rsidR="00407B8C" w:rsidRPr="00736304" w:rsidRDefault="00407B8C" w:rsidP="00407B8C">
      <w:pPr>
        <w:tabs>
          <w:tab w:val="right" w:pos="9214"/>
        </w:tabs>
      </w:pPr>
      <w:r w:rsidRPr="00736304">
        <w:t>Enregistrement obligatoire dans PITTER :</w:t>
      </w:r>
    </w:p>
    <w:p w14:paraId="3C25D91A"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iCs/>
          <w:lang w:val="fr-FR"/>
        </w:rPr>
        <w:t>595151 – 595162 : « Détection d’un mutation RET (probablement) pathogène en cas de carcinome médullaire avancé (non résécable ou métastasé) de la thyroide »</w:t>
      </w:r>
    </w:p>
    <w:p w14:paraId="13068933" w14:textId="77777777" w:rsidR="00407B8C" w:rsidRPr="00736304" w:rsidRDefault="00407B8C" w:rsidP="00407B8C">
      <w:pPr>
        <w:tabs>
          <w:tab w:val="right" w:pos="9214"/>
        </w:tabs>
      </w:pPr>
    </w:p>
    <w:p w14:paraId="7CCA1954" w14:textId="77777777" w:rsidR="00407B8C" w:rsidRPr="00736304" w:rsidRDefault="00407B8C" w:rsidP="00407B8C">
      <w:pPr>
        <w:tabs>
          <w:tab w:val="right" w:pos="9214"/>
        </w:tabs>
      </w:pPr>
      <w:r w:rsidRPr="00736304">
        <w:t>Règles de cumul :</w:t>
      </w:r>
    </w:p>
    <w:p w14:paraId="703AA75F"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1533CB18"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7F031AA0"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35217432"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5F73769B"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6B9A0D58"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0FFEDE89" w14:textId="77777777" w:rsidR="00407B8C" w:rsidRPr="00096D02" w:rsidRDefault="00407B8C" w:rsidP="00A306AE">
      <w:pPr>
        <w:pStyle w:val="Heading3"/>
      </w:pPr>
      <w:bookmarkStart w:id="39" w:name="_Toc167180261"/>
      <w:bookmarkStart w:id="40" w:name="_Toc215211261"/>
      <w:r w:rsidRPr="00096D02">
        <w:lastRenderedPageBreak/>
        <w:t>535290-535301 : RNA-seq pour un carcinome thyroïdien non-médullaire sans mutation driver</w:t>
      </w:r>
      <w:bookmarkEnd w:id="39"/>
      <w:bookmarkEnd w:id="40"/>
    </w:p>
    <w:p w14:paraId="3FABE119" w14:textId="77777777" w:rsidR="00407B8C" w:rsidRPr="00736304" w:rsidRDefault="00407B8C" w:rsidP="00407B8C"/>
    <w:p w14:paraId="3FE73FD1" w14:textId="77777777" w:rsidR="00407B8C" w:rsidRPr="00736304" w:rsidRDefault="00407B8C" w:rsidP="00407B8C">
      <w:r w:rsidRPr="00736304">
        <w:t>Remboursement : 600 €</w:t>
      </w:r>
    </w:p>
    <w:p w14:paraId="2588168F" w14:textId="77777777" w:rsidR="00407B8C" w:rsidRPr="00736304" w:rsidRDefault="00407B8C" w:rsidP="00407B8C">
      <w:r w:rsidRPr="00736304">
        <w:t>Indication:</w:t>
      </w:r>
    </w:p>
    <w:p w14:paraId="70D6396C" w14:textId="77777777" w:rsidR="00407B8C" w:rsidRPr="00736304" w:rsidRDefault="00407B8C" w:rsidP="00407B8C">
      <w:pPr>
        <w:pStyle w:val="ListParagraph"/>
        <w:numPr>
          <w:ilvl w:val="0"/>
          <w:numId w:val="25"/>
        </w:numPr>
        <w:spacing w:after="160" w:line="259" w:lineRule="auto"/>
        <w:rPr>
          <w:lang w:val="fr-FR"/>
        </w:rPr>
      </w:pPr>
      <w:r w:rsidRPr="00736304">
        <w:rPr>
          <w:lang w:val="fr-FR"/>
        </w:rPr>
        <w:t>Carcinome de la thyroïde non-médullaire sans mutation driver</w:t>
      </w:r>
    </w:p>
    <w:p w14:paraId="6565DD64" w14:textId="77777777" w:rsidR="00407B8C" w:rsidRPr="00736304" w:rsidRDefault="00407B8C" w:rsidP="00407B8C">
      <w:pPr>
        <w:pStyle w:val="ListParagraph"/>
        <w:numPr>
          <w:ilvl w:val="1"/>
          <w:numId w:val="25"/>
        </w:numPr>
        <w:spacing w:after="160" w:line="259" w:lineRule="auto"/>
        <w:rPr>
          <w:lang w:val="fr-FR"/>
        </w:rPr>
      </w:pPr>
      <w:r w:rsidRPr="00736304">
        <w:rPr>
          <w:rFonts w:ascii="Calibri" w:hAnsi="Calibri" w:cs="Calibri"/>
          <w:lang w:val="fr-FR"/>
        </w:rPr>
        <w:t>Sur FNA (ponction à l'aiguille fine) ou biopsie, en cas de néoplasie folliculaire selon cytologie (classe Bethesda 3 ou 4)</w:t>
      </w:r>
    </w:p>
    <w:p w14:paraId="0FEB3A98" w14:textId="77777777" w:rsidR="00407B8C" w:rsidRPr="00736304" w:rsidRDefault="00407B8C" w:rsidP="00407B8C">
      <w:pPr>
        <w:pStyle w:val="ListParagraph"/>
        <w:autoSpaceDE w:val="0"/>
        <w:autoSpaceDN w:val="0"/>
        <w:ind w:left="360"/>
        <w:rPr>
          <w:rFonts w:ascii="Calibri" w:hAnsi="Calibri" w:cs="Calibri"/>
          <w:sz w:val="6"/>
          <w:szCs w:val="6"/>
          <w:lang w:val="fr-FR"/>
        </w:rPr>
      </w:pPr>
    </w:p>
    <w:p w14:paraId="4E3396F6" w14:textId="77777777" w:rsidR="00407B8C" w:rsidRPr="00736304" w:rsidRDefault="00407B8C" w:rsidP="00407B8C">
      <w:pPr>
        <w:pStyle w:val="ListParagraph"/>
        <w:numPr>
          <w:ilvl w:val="1"/>
          <w:numId w:val="18"/>
        </w:numPr>
        <w:spacing w:after="160" w:line="259" w:lineRule="auto"/>
        <w:rPr>
          <w:rFonts w:ascii="Calibri" w:hAnsi="Calibri" w:cs="Calibri"/>
          <w:lang w:val="fr-FR"/>
        </w:rPr>
      </w:pPr>
      <w:r w:rsidRPr="00736304">
        <w:rPr>
          <w:rFonts w:ascii="Calibri" w:hAnsi="Calibri" w:cs="Calibri"/>
          <w:lang w:val="fr-FR"/>
        </w:rPr>
        <w:t>Sur échantillons histologiques : NIFTP (</w:t>
      </w:r>
      <w:r w:rsidRPr="00736304">
        <w:rPr>
          <w:rFonts w:ascii="Calibri" w:hAnsi="Calibri" w:cs="Calibri"/>
          <w:i/>
          <w:iCs/>
          <w:lang w:val="fr-FR"/>
        </w:rPr>
        <w:t>Néoplasme thyroïdien folliculaire non invasif à caractéristiques nucléaires papillaires</w:t>
      </w:r>
      <w:r w:rsidRPr="00736304">
        <w:rPr>
          <w:rFonts w:ascii="Calibri" w:hAnsi="Calibri" w:cs="Calibri"/>
          <w:lang w:val="fr-FR"/>
        </w:rPr>
        <w:t>) et d'autres patients sélectionnés pour lesquels un test RNA-seq permet un diagnostic définitif (histologie agressive ; patients à haut risque au premier diagnostic défini comme T&gt;2, ou N1b, ou M1 ; intervention en cas de maladie locale persistante/récidivante ; maladie métastatique réfractaire à l'iode radioactif).</w:t>
      </w:r>
    </w:p>
    <w:p w14:paraId="2C33289F" w14:textId="77777777" w:rsidR="00407B8C" w:rsidRPr="00736304" w:rsidRDefault="00407B8C" w:rsidP="00407B8C">
      <w:r w:rsidRPr="00736304">
        <w:t>Biomarqueurs minimaux à tester :</w:t>
      </w:r>
    </w:p>
    <w:p w14:paraId="41AA19A7" w14:textId="77777777" w:rsidR="00407B8C" w:rsidRPr="00736304" w:rsidRDefault="00407B8C" w:rsidP="00407B8C">
      <w:pPr>
        <w:ind w:left="360"/>
      </w:pPr>
      <w:r w:rsidRPr="00736304">
        <w:t xml:space="preserve">Recherche des fusions impliquant les gènes suivants </w:t>
      </w:r>
    </w:p>
    <w:p w14:paraId="35A6F6DB" w14:textId="77777777" w:rsidR="00407B8C" w:rsidRPr="00736304" w:rsidRDefault="00407B8C" w:rsidP="00407B8C">
      <w:pPr>
        <w:pStyle w:val="ListParagraph"/>
        <w:numPr>
          <w:ilvl w:val="0"/>
          <w:numId w:val="15"/>
        </w:numPr>
        <w:tabs>
          <w:tab w:val="left" w:pos="7655"/>
        </w:tabs>
        <w:spacing w:after="0" w:line="259" w:lineRule="auto"/>
        <w:rPr>
          <w:rFonts w:ascii="Calibri" w:hAnsi="Calibri" w:cs="Calibri"/>
          <w:iCs/>
          <w:lang w:val="fr-FR"/>
        </w:rPr>
      </w:pPr>
      <w:r w:rsidRPr="00736304">
        <w:rPr>
          <w:rFonts w:ascii="Calibri" w:hAnsi="Calibri" w:cs="Calibri"/>
          <w:iCs/>
          <w:lang w:val="fr-FR"/>
        </w:rPr>
        <w:t>RET</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61590B92" w14:textId="77777777" w:rsidR="00407B8C" w:rsidRPr="00736304" w:rsidRDefault="00407B8C" w:rsidP="00407B8C">
      <w:pPr>
        <w:pStyle w:val="ListParagraph"/>
        <w:numPr>
          <w:ilvl w:val="0"/>
          <w:numId w:val="15"/>
        </w:numPr>
        <w:tabs>
          <w:tab w:val="left" w:pos="7655"/>
        </w:tabs>
        <w:spacing w:after="0" w:line="259" w:lineRule="auto"/>
        <w:rPr>
          <w:rFonts w:ascii="Calibri" w:hAnsi="Calibri" w:cs="Calibri"/>
          <w:iCs/>
          <w:lang w:val="fr-FR"/>
        </w:rPr>
      </w:pPr>
      <w:r w:rsidRPr="00736304">
        <w:rPr>
          <w:rFonts w:ascii="Calibri" w:hAnsi="Calibri" w:cs="Calibri"/>
          <w:iCs/>
          <w:lang w:val="fr-FR"/>
        </w:rPr>
        <w:t>NTRK1, NTRK2, NTRK3</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301DBBFA" w14:textId="77777777" w:rsidR="00407B8C" w:rsidRPr="00736304" w:rsidRDefault="00407B8C" w:rsidP="00407B8C">
      <w:pPr>
        <w:pStyle w:val="ListParagraph"/>
        <w:numPr>
          <w:ilvl w:val="0"/>
          <w:numId w:val="15"/>
        </w:numPr>
        <w:tabs>
          <w:tab w:val="left" w:pos="7655"/>
        </w:tabs>
        <w:spacing w:after="0" w:line="259" w:lineRule="auto"/>
        <w:rPr>
          <w:lang w:val="fr-FR"/>
        </w:rPr>
      </w:pPr>
      <w:r w:rsidRPr="00736304">
        <w:rPr>
          <w:rFonts w:ascii="Calibri" w:hAnsi="Calibri" w:cs="Calibri"/>
          <w:iCs/>
          <w:lang w:val="fr-FR"/>
        </w:rPr>
        <w:t>PAX8::PPARG</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r w:rsidRPr="00736304">
        <w:rPr>
          <w:rFonts w:ascii="Calibri" w:hAnsi="Calibri" w:cs="Calibri"/>
          <w:iCs/>
          <w:lang w:val="fr-FR"/>
        </w:rPr>
        <w:t xml:space="preserve"> </w:t>
      </w:r>
    </w:p>
    <w:p w14:paraId="7FC13AC9" w14:textId="77777777" w:rsidR="00407B8C" w:rsidRPr="00736304" w:rsidRDefault="00407B8C" w:rsidP="00407B8C">
      <w:pPr>
        <w:pStyle w:val="ListParagraph"/>
        <w:tabs>
          <w:tab w:val="left" w:pos="7655"/>
        </w:tabs>
        <w:spacing w:after="0"/>
        <w:rPr>
          <w:lang w:val="fr-FR"/>
        </w:rPr>
      </w:pPr>
      <w:r w:rsidRPr="00736304">
        <w:rPr>
          <w:rFonts w:ascii="Calibri" w:hAnsi="Calibri" w:cs="Calibri"/>
          <w:iCs/>
          <w:lang w:val="fr-FR"/>
        </w:rPr>
        <w:tab/>
      </w:r>
    </w:p>
    <w:p w14:paraId="32F93079" w14:textId="77777777" w:rsidR="00407B8C" w:rsidRPr="00736304" w:rsidRDefault="00407B8C" w:rsidP="00407B8C">
      <w:pPr>
        <w:tabs>
          <w:tab w:val="right" w:pos="9214"/>
        </w:tabs>
      </w:pPr>
      <w:r w:rsidRPr="00736304">
        <w:t>Enregistrement obligatoire dans PITTER :</w:t>
      </w:r>
    </w:p>
    <w:p w14:paraId="1CC56AC0"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En cas de TRK positif en immunohistochimie :</w:t>
      </w:r>
    </w:p>
    <w:p w14:paraId="5C9D0497" w14:textId="77777777" w:rsidR="00407B8C" w:rsidRPr="00736304" w:rsidRDefault="00407B8C" w:rsidP="00407B8C">
      <w:pPr>
        <w:pStyle w:val="ListParagraph"/>
        <w:numPr>
          <w:ilvl w:val="1"/>
          <w:numId w:val="18"/>
        </w:numPr>
        <w:tabs>
          <w:tab w:val="right" w:pos="9214"/>
        </w:tabs>
        <w:spacing w:after="160" w:line="259" w:lineRule="auto"/>
        <w:rPr>
          <w:lang w:val="fr-FR"/>
        </w:rPr>
      </w:pPr>
      <w:r w:rsidRPr="00736304">
        <w:rPr>
          <w:lang w:val="fr-FR"/>
        </w:rPr>
        <w:t>594952 – 594963 : « Détection d’une fusion du gène NTRK1 chez une tumeur TRK-positive (ICH) tumeur solide avancée»</w:t>
      </w:r>
    </w:p>
    <w:p w14:paraId="0EC60194" w14:textId="77777777" w:rsidR="00407B8C" w:rsidRPr="00736304" w:rsidRDefault="00407B8C" w:rsidP="00407B8C">
      <w:pPr>
        <w:pStyle w:val="ListParagraph"/>
        <w:numPr>
          <w:ilvl w:val="1"/>
          <w:numId w:val="18"/>
        </w:numPr>
        <w:tabs>
          <w:tab w:val="right" w:pos="9214"/>
        </w:tabs>
        <w:spacing w:after="160" w:line="259" w:lineRule="auto"/>
        <w:rPr>
          <w:lang w:val="fr-FR"/>
        </w:rPr>
      </w:pPr>
      <w:r w:rsidRPr="00736304">
        <w:rPr>
          <w:lang w:val="fr-FR"/>
        </w:rPr>
        <w:t>594974 – 594985 : « Détection d’une fusion du gène NTRK2 chez une tumeur TRK-positive (ICH) tumeur solide avancée»</w:t>
      </w:r>
    </w:p>
    <w:p w14:paraId="5D3753BF" w14:textId="77777777" w:rsidR="00407B8C" w:rsidRPr="00736304" w:rsidRDefault="00407B8C" w:rsidP="00407B8C">
      <w:pPr>
        <w:pStyle w:val="ListParagraph"/>
        <w:numPr>
          <w:ilvl w:val="1"/>
          <w:numId w:val="18"/>
        </w:numPr>
        <w:tabs>
          <w:tab w:val="right" w:pos="9214"/>
        </w:tabs>
        <w:spacing w:after="160" w:line="259" w:lineRule="auto"/>
        <w:rPr>
          <w:lang w:val="fr-FR"/>
        </w:rPr>
      </w:pPr>
      <w:r w:rsidRPr="00736304">
        <w:rPr>
          <w:lang w:val="fr-FR"/>
        </w:rPr>
        <w:t>594996 – 595000 : « Détection d’une fusion du gène NTRK3 chez une tumeur TRK-positive (ICH) tumeur solide avancée»</w:t>
      </w:r>
    </w:p>
    <w:p w14:paraId="2E949D15" w14:textId="77777777" w:rsidR="00407B8C" w:rsidRPr="00736304" w:rsidRDefault="00407B8C" w:rsidP="00407B8C">
      <w:pPr>
        <w:tabs>
          <w:tab w:val="right" w:pos="9214"/>
        </w:tabs>
      </w:pPr>
      <w:r w:rsidRPr="00736304">
        <w:t>Règles de cumul :</w:t>
      </w:r>
    </w:p>
    <w:p w14:paraId="165AE82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3889CD01"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198A8438"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71FF1E8D"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6343E8A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r w:rsidRPr="00736304">
        <w:rPr>
          <w:lang w:val="fr-FR"/>
        </w:rPr>
        <w:br w:type="page"/>
      </w:r>
    </w:p>
    <w:p w14:paraId="3F40476C" w14:textId="77777777" w:rsidR="00407B8C" w:rsidRPr="00096D02" w:rsidRDefault="00407B8C" w:rsidP="00A306AE">
      <w:pPr>
        <w:pStyle w:val="Heading3"/>
      </w:pPr>
      <w:bookmarkStart w:id="41" w:name="_Toc167180262"/>
      <w:bookmarkStart w:id="42" w:name="_Toc215211262"/>
      <w:r w:rsidRPr="00096D02">
        <w:lastRenderedPageBreak/>
        <w:t>535312-535323 : NGS pour un carcinome du pancréas</w:t>
      </w:r>
      <w:bookmarkEnd w:id="41"/>
      <w:bookmarkEnd w:id="42"/>
    </w:p>
    <w:p w14:paraId="2000D965" w14:textId="77777777" w:rsidR="00407B8C" w:rsidRPr="00736304" w:rsidRDefault="00407B8C" w:rsidP="00407B8C"/>
    <w:p w14:paraId="5BA0C564" w14:textId="77777777" w:rsidR="00407B8C" w:rsidRPr="00736304" w:rsidRDefault="00407B8C" w:rsidP="00407B8C">
      <w:r w:rsidRPr="00736304">
        <w:t>Remboursement : 600 €</w:t>
      </w:r>
    </w:p>
    <w:p w14:paraId="41C17507" w14:textId="77777777" w:rsidR="00407B8C" w:rsidRPr="00736304" w:rsidRDefault="00407B8C" w:rsidP="00407B8C"/>
    <w:p w14:paraId="35B3765E" w14:textId="77777777" w:rsidR="00407B8C" w:rsidRPr="00736304" w:rsidRDefault="00407B8C" w:rsidP="00407B8C">
      <w:r w:rsidRPr="00736304">
        <w:t xml:space="preserve">Indication: </w:t>
      </w:r>
    </w:p>
    <w:p w14:paraId="40D0D269" w14:textId="77777777" w:rsidR="00407B8C" w:rsidRPr="00736304" w:rsidRDefault="00407B8C" w:rsidP="00407B8C">
      <w:pPr>
        <w:pStyle w:val="ListParagraph"/>
        <w:numPr>
          <w:ilvl w:val="0"/>
          <w:numId w:val="15"/>
        </w:numPr>
        <w:tabs>
          <w:tab w:val="left" w:pos="7655"/>
        </w:tabs>
        <w:spacing w:after="0" w:line="259" w:lineRule="auto"/>
        <w:rPr>
          <w:lang w:val="fr-FR"/>
        </w:rPr>
      </w:pPr>
      <w:r w:rsidRPr="00736304">
        <w:rPr>
          <w:lang w:val="fr-FR"/>
        </w:rPr>
        <w:t>sur FNA (</w:t>
      </w:r>
      <w:r w:rsidRPr="00736304">
        <w:rPr>
          <w:rFonts w:ascii="Calibri" w:hAnsi="Calibri" w:cs="Calibri"/>
          <w:iCs/>
          <w:lang w:val="fr-FR"/>
        </w:rPr>
        <w:t>ponction</w:t>
      </w:r>
      <w:r w:rsidRPr="00736304">
        <w:rPr>
          <w:lang w:val="fr-FR"/>
        </w:rPr>
        <w:t xml:space="preserve"> à l'aiguille fine), en cas de présence d'un kyste pancréatique (diagnostic)</w:t>
      </w:r>
    </w:p>
    <w:p w14:paraId="2624CCF4" w14:textId="77777777" w:rsidR="00407B8C" w:rsidRPr="00736304" w:rsidRDefault="00407B8C" w:rsidP="00407B8C"/>
    <w:p w14:paraId="6CD77911" w14:textId="77777777" w:rsidR="00407B8C" w:rsidRPr="00736304" w:rsidRDefault="00407B8C" w:rsidP="00407B8C">
      <w:r w:rsidRPr="00736304">
        <w:t>Biomarqueurs minimaux à tester :</w:t>
      </w:r>
    </w:p>
    <w:p w14:paraId="214C6582" w14:textId="77777777" w:rsidR="00407B8C" w:rsidRPr="00736304" w:rsidRDefault="00407B8C" w:rsidP="00407B8C">
      <w:pPr>
        <w:pStyle w:val="ListParagraph"/>
        <w:numPr>
          <w:ilvl w:val="0"/>
          <w:numId w:val="15"/>
        </w:numPr>
        <w:tabs>
          <w:tab w:val="left" w:pos="7655"/>
        </w:tabs>
        <w:spacing w:after="0" w:line="259" w:lineRule="auto"/>
        <w:rPr>
          <w:lang w:val="fr-FR"/>
        </w:rPr>
      </w:pPr>
      <w:r w:rsidRPr="00736304">
        <w:rPr>
          <w:rFonts w:ascii="Calibri" w:hAnsi="Calibri" w:cs="Calibri"/>
          <w:iCs/>
          <w:lang w:val="fr-FR"/>
        </w:rPr>
        <w:t>GNAS (exon 8, exon 9)</w:t>
      </w:r>
      <w:r w:rsidRPr="00736304">
        <w:rPr>
          <w:rFonts w:ascii="Calibri" w:hAnsi="Calibri" w:cs="Calibri"/>
          <w:iCs/>
          <w:lang w:val="fr-FR"/>
        </w:rPr>
        <w:tab/>
      </w:r>
      <w:r w:rsidRPr="00736304">
        <w:rPr>
          <w:rFonts w:ascii="Calibri" w:hAnsi="Calibri" w:cs="Calibri"/>
          <w:iCs/>
          <w:lang w:val="fr-FR"/>
        </w:rPr>
        <w:tab/>
      </w:r>
      <w:r w:rsidRPr="00736304">
        <w:rPr>
          <w:rFonts w:ascii="Calibri" w:hAnsi="Calibri" w:cs="Calibri"/>
          <w:b/>
          <w:bCs/>
          <w:iCs/>
          <w:lang w:val="fr-FR"/>
        </w:rPr>
        <w:t>diagnostic</w:t>
      </w:r>
    </w:p>
    <w:p w14:paraId="0ADEE819" w14:textId="77777777" w:rsidR="00407B8C" w:rsidRPr="00736304" w:rsidRDefault="00407B8C" w:rsidP="00407B8C">
      <w:pPr>
        <w:pStyle w:val="ListParagraph"/>
        <w:tabs>
          <w:tab w:val="left" w:pos="7655"/>
        </w:tabs>
        <w:spacing w:after="0"/>
        <w:rPr>
          <w:lang w:val="fr-FR"/>
        </w:rPr>
      </w:pPr>
      <w:r w:rsidRPr="00736304">
        <w:rPr>
          <w:rFonts w:ascii="Calibri" w:hAnsi="Calibri" w:cs="Calibri"/>
          <w:iCs/>
          <w:lang w:val="fr-FR"/>
        </w:rPr>
        <w:tab/>
      </w:r>
    </w:p>
    <w:p w14:paraId="247ABF94" w14:textId="77777777" w:rsidR="00407B8C" w:rsidRPr="00736304" w:rsidRDefault="00407B8C" w:rsidP="00407B8C">
      <w:pPr>
        <w:tabs>
          <w:tab w:val="right" w:pos="9214"/>
        </w:tabs>
      </w:pPr>
    </w:p>
    <w:p w14:paraId="141468F6" w14:textId="77777777" w:rsidR="00407B8C" w:rsidRPr="00736304" w:rsidRDefault="00407B8C" w:rsidP="00407B8C">
      <w:pPr>
        <w:tabs>
          <w:tab w:val="right" w:pos="9214"/>
        </w:tabs>
      </w:pPr>
      <w:r w:rsidRPr="00736304">
        <w:t>Enregistrement obligatoire dans PITTER :</w:t>
      </w:r>
    </w:p>
    <w:p w14:paraId="6E0B50D3"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432895FB" w14:textId="77777777" w:rsidR="00407B8C" w:rsidRPr="00736304" w:rsidRDefault="00407B8C" w:rsidP="00407B8C">
      <w:pPr>
        <w:tabs>
          <w:tab w:val="right" w:pos="9214"/>
        </w:tabs>
      </w:pPr>
    </w:p>
    <w:p w14:paraId="070E843F" w14:textId="77777777" w:rsidR="00407B8C" w:rsidRPr="00736304" w:rsidRDefault="00407B8C" w:rsidP="00407B8C">
      <w:pPr>
        <w:tabs>
          <w:tab w:val="right" w:pos="9214"/>
        </w:tabs>
      </w:pPr>
      <w:r w:rsidRPr="00736304">
        <w:t>Règles de cumul :</w:t>
      </w:r>
    </w:p>
    <w:p w14:paraId="52F411FE"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8632472"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0E7A2E3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004ABC30"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E221B42"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Règle diagnostique 6</w:t>
      </w:r>
      <w:r w:rsidRPr="00736304">
        <w:rPr>
          <w:lang w:val="fr-FR"/>
        </w:rPr>
        <w:t xml:space="preserve"> : Les </w:t>
      </w:r>
      <w:r>
        <w:rPr>
          <w:lang w:val="fr-FR"/>
        </w:rPr>
        <w:t>codes de pseudonomenclature  535312-535323</w:t>
      </w:r>
      <w:r w:rsidRPr="00736304">
        <w:rPr>
          <w:lang w:val="fr-FR"/>
        </w:rPr>
        <w:t xml:space="preserve"> </w:t>
      </w:r>
      <w:r>
        <w:rPr>
          <w:lang w:val="fr-FR"/>
        </w:rPr>
        <w:t>et 5</w:t>
      </w:r>
      <w:r w:rsidRPr="00E43D22">
        <w:rPr>
          <w:lang w:val="fr-FR"/>
        </w:rPr>
        <w:t>35334-535345</w:t>
      </w:r>
      <w:r>
        <w:rPr>
          <w:lang w:val="fr-FR"/>
        </w:rPr>
        <w:t xml:space="preserve"> </w:t>
      </w:r>
      <w:r w:rsidRPr="00736304">
        <w:rPr>
          <w:lang w:val="fr-FR"/>
        </w:rPr>
        <w:t xml:space="preserve">ne sont pas cumulables entre elles </w:t>
      </w:r>
      <w:r w:rsidRPr="00736304">
        <w:rPr>
          <w:b/>
          <w:bCs/>
          <w:u w:val="single"/>
          <w:lang w:val="fr-FR"/>
        </w:rPr>
        <w:t>endéans</w:t>
      </w:r>
      <w:r>
        <w:rPr>
          <w:b/>
          <w:bCs/>
          <w:u w:val="single"/>
          <w:lang w:val="fr-FR"/>
        </w:rPr>
        <w:t xml:space="preserve"> une</w:t>
      </w:r>
      <w:r w:rsidRPr="00736304">
        <w:rPr>
          <w:b/>
          <w:bCs/>
          <w:u w:val="single"/>
          <w:lang w:val="fr-FR"/>
        </w:rPr>
        <w:t xml:space="preserve"> période de 12 mois</w:t>
      </w:r>
      <w:r w:rsidRPr="00736304">
        <w:rPr>
          <w:lang w:val="fr-FR"/>
        </w:rPr>
        <w:t>.</w:t>
      </w:r>
    </w:p>
    <w:p w14:paraId="0D7C980F"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7FE23A95" w14:textId="77777777" w:rsidR="00407B8C" w:rsidRPr="00736304" w:rsidRDefault="00407B8C" w:rsidP="00407B8C">
      <w:pPr>
        <w:tabs>
          <w:tab w:val="right" w:pos="9214"/>
        </w:tabs>
      </w:pPr>
    </w:p>
    <w:p w14:paraId="24EE5CBE"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6768AD2D" w14:textId="77777777" w:rsidR="00407B8C" w:rsidRPr="00096D02" w:rsidRDefault="00407B8C" w:rsidP="00A306AE">
      <w:pPr>
        <w:pStyle w:val="Heading3"/>
      </w:pPr>
      <w:bookmarkStart w:id="43" w:name="_Toc167180263"/>
      <w:bookmarkStart w:id="44" w:name="_Toc215211263"/>
      <w:r w:rsidRPr="00096D02">
        <w:lastRenderedPageBreak/>
        <w:t>535334-535345 : NGS pour un adénocarcinome pancréatique avancé (code sous embargo)</w:t>
      </w:r>
      <w:bookmarkEnd w:id="43"/>
      <w:bookmarkEnd w:id="44"/>
    </w:p>
    <w:p w14:paraId="35C8947B" w14:textId="77777777" w:rsidR="00407B8C" w:rsidRPr="00736304" w:rsidRDefault="00407B8C" w:rsidP="00407B8C"/>
    <w:p w14:paraId="6AF4F332" w14:textId="77777777" w:rsidR="00407B8C" w:rsidRPr="00736304" w:rsidRDefault="00407B8C" w:rsidP="00407B8C">
      <w:r w:rsidRPr="00736304">
        <w:t>Remboursement : 600 €</w:t>
      </w:r>
    </w:p>
    <w:p w14:paraId="5222AE10" w14:textId="77777777" w:rsidR="00407B8C" w:rsidRPr="00736304" w:rsidRDefault="00407B8C" w:rsidP="00407B8C"/>
    <w:p w14:paraId="177C810B" w14:textId="77777777" w:rsidR="00407B8C" w:rsidRPr="00736304" w:rsidRDefault="00407B8C" w:rsidP="00407B8C">
      <w:r w:rsidRPr="00736304">
        <w:t xml:space="preserve">Indication: </w:t>
      </w:r>
    </w:p>
    <w:p w14:paraId="1E6F45AF" w14:textId="77777777" w:rsidR="00407B8C" w:rsidRPr="00736304" w:rsidRDefault="00407B8C" w:rsidP="00407B8C">
      <w:pPr>
        <w:pStyle w:val="ListParagraph"/>
        <w:numPr>
          <w:ilvl w:val="0"/>
          <w:numId w:val="24"/>
        </w:numPr>
        <w:spacing w:after="160" w:line="259" w:lineRule="auto"/>
        <w:rPr>
          <w:lang w:val="fr-FR"/>
        </w:rPr>
      </w:pPr>
      <w:r w:rsidRPr="00736304">
        <w:rPr>
          <w:lang w:val="fr-FR"/>
        </w:rPr>
        <w:t>Adénocarcinome pancréatique avancé</w:t>
      </w:r>
    </w:p>
    <w:p w14:paraId="2DD11761" w14:textId="77777777" w:rsidR="00407B8C" w:rsidRPr="00736304" w:rsidRDefault="00407B8C" w:rsidP="00407B8C">
      <w:pPr>
        <w:pStyle w:val="ListParagraph"/>
        <w:numPr>
          <w:ilvl w:val="0"/>
          <w:numId w:val="24"/>
        </w:numPr>
        <w:spacing w:after="160" w:line="259" w:lineRule="auto"/>
        <w:rPr>
          <w:lang w:val="fr-FR"/>
        </w:rPr>
      </w:pPr>
      <w:r w:rsidRPr="00736304">
        <w:rPr>
          <w:lang w:val="fr-FR"/>
        </w:rPr>
        <w:t>Remboursable à partir du moment où la thérapie associée soit approuvée par l’EMA dans le cadre de variants pathogènes somatiques de ces gènes</w:t>
      </w:r>
    </w:p>
    <w:p w14:paraId="497A9EAF" w14:textId="77777777" w:rsidR="00407B8C" w:rsidRPr="00736304" w:rsidRDefault="00407B8C" w:rsidP="00407B8C"/>
    <w:p w14:paraId="00266D21" w14:textId="77777777" w:rsidR="00407B8C" w:rsidRPr="00736304" w:rsidRDefault="00407B8C" w:rsidP="00407B8C">
      <w:r w:rsidRPr="00736304">
        <w:t>Biomarqueurs minimaux à tester :</w:t>
      </w:r>
    </w:p>
    <w:p w14:paraId="5D353E63" w14:textId="77777777" w:rsidR="00407B8C" w:rsidRPr="00736304" w:rsidRDefault="00407B8C" w:rsidP="00407B8C">
      <w:pPr>
        <w:pStyle w:val="ListParagraph"/>
        <w:numPr>
          <w:ilvl w:val="0"/>
          <w:numId w:val="15"/>
        </w:numPr>
        <w:tabs>
          <w:tab w:val="left" w:pos="8080"/>
        </w:tabs>
        <w:spacing w:after="0" w:line="259" w:lineRule="auto"/>
        <w:rPr>
          <w:rFonts w:ascii="Calibri" w:hAnsi="Calibri" w:cs="Calibri"/>
          <w:iCs/>
          <w:lang w:val="fr-FR"/>
        </w:rPr>
      </w:pPr>
      <w:r w:rsidRPr="00736304">
        <w:rPr>
          <w:rFonts w:ascii="Calibri" w:hAnsi="Calibri" w:cs="Calibri"/>
          <w:iCs/>
          <w:lang w:val="fr-FR"/>
        </w:rPr>
        <w:t>BRCA1 (tous les exons codants et toutes les régions de sites de splicing)</w:t>
      </w:r>
      <w:r w:rsidRPr="00736304">
        <w:rPr>
          <w:rFonts w:ascii="Calibri" w:hAnsi="Calibri" w:cs="Calibri"/>
          <w:iCs/>
          <w:lang w:val="fr-FR"/>
        </w:rPr>
        <w:tab/>
      </w:r>
      <w:r w:rsidRPr="00736304">
        <w:rPr>
          <w:rFonts w:ascii="Calibri" w:hAnsi="Calibri" w:cs="Calibri"/>
          <w:b/>
          <w:bCs/>
          <w:iCs/>
          <w:lang w:val="fr-FR"/>
        </w:rPr>
        <w:t>thérapie</w:t>
      </w:r>
      <w:r w:rsidRPr="00736304">
        <w:rPr>
          <w:rFonts w:ascii="Calibri" w:hAnsi="Calibri" w:cs="Calibri"/>
          <w:iCs/>
          <w:lang w:val="fr-FR"/>
        </w:rPr>
        <w:t xml:space="preserve"> </w:t>
      </w:r>
    </w:p>
    <w:p w14:paraId="5EA74D08" w14:textId="77777777" w:rsidR="00407B8C" w:rsidRPr="00736304" w:rsidRDefault="00407B8C" w:rsidP="00407B8C">
      <w:pPr>
        <w:pStyle w:val="ListParagraph"/>
        <w:numPr>
          <w:ilvl w:val="0"/>
          <w:numId w:val="15"/>
        </w:numPr>
        <w:tabs>
          <w:tab w:val="left" w:pos="8080"/>
        </w:tabs>
        <w:spacing w:after="0" w:line="259" w:lineRule="auto"/>
        <w:rPr>
          <w:iCs/>
          <w:lang w:val="fr-FR"/>
        </w:rPr>
      </w:pPr>
      <w:r w:rsidRPr="00736304">
        <w:rPr>
          <w:rFonts w:ascii="Calibri" w:hAnsi="Calibri" w:cs="Calibri"/>
          <w:iCs/>
          <w:lang w:val="fr-FR"/>
        </w:rPr>
        <w:t>BRCA2 (tous les exons codants et toutes les régions de sites de splicing)</w:t>
      </w:r>
      <w:r w:rsidRPr="00736304">
        <w:rPr>
          <w:rFonts w:ascii="Calibri" w:hAnsi="Calibri" w:cs="Calibri"/>
          <w:iCs/>
          <w:lang w:val="fr-FR"/>
        </w:rPr>
        <w:tab/>
      </w:r>
      <w:r w:rsidRPr="00736304">
        <w:rPr>
          <w:rFonts w:ascii="Calibri" w:hAnsi="Calibri" w:cs="Calibri"/>
          <w:b/>
          <w:bCs/>
          <w:iCs/>
          <w:lang w:val="fr-FR"/>
        </w:rPr>
        <w:t>thérapie</w:t>
      </w:r>
    </w:p>
    <w:p w14:paraId="534317CD" w14:textId="77777777" w:rsidR="00407B8C" w:rsidRPr="00736304" w:rsidRDefault="00407B8C" w:rsidP="00407B8C">
      <w:pPr>
        <w:pStyle w:val="ListParagraph"/>
        <w:numPr>
          <w:ilvl w:val="0"/>
          <w:numId w:val="15"/>
        </w:numPr>
        <w:tabs>
          <w:tab w:val="left" w:pos="8080"/>
        </w:tabs>
        <w:spacing w:after="0" w:line="240" w:lineRule="auto"/>
        <w:rPr>
          <w:rFonts w:ascii="Calibri" w:hAnsi="Calibri" w:cs="Calibri"/>
          <w:b/>
          <w:iCs/>
          <w:lang w:val="fr-FR"/>
        </w:rPr>
      </w:pPr>
      <w:r w:rsidRPr="00736304">
        <w:rPr>
          <w:rFonts w:ascii="Calibri" w:hAnsi="Calibri" w:cs="Calibri"/>
          <w:iCs/>
          <w:lang w:val="fr-FR"/>
        </w:rPr>
        <w:t xml:space="preserve">PALB2 (tous les exons codants et les régions de sites de splicing) </w:t>
      </w:r>
      <w:r w:rsidRPr="00736304">
        <w:rPr>
          <w:rFonts w:ascii="Calibri" w:hAnsi="Calibri" w:cs="Calibri"/>
          <w:iCs/>
          <w:lang w:val="fr-FR"/>
        </w:rPr>
        <w:tab/>
      </w:r>
      <w:r w:rsidRPr="00736304">
        <w:rPr>
          <w:rFonts w:ascii="Calibri" w:hAnsi="Calibri" w:cs="Calibri"/>
          <w:b/>
          <w:iCs/>
          <w:lang w:val="fr-FR"/>
        </w:rPr>
        <w:t>thérapie</w:t>
      </w:r>
    </w:p>
    <w:p w14:paraId="4FF502E4" w14:textId="77777777" w:rsidR="00407B8C" w:rsidRPr="00736304" w:rsidRDefault="00407B8C" w:rsidP="00407B8C">
      <w:pPr>
        <w:pStyle w:val="ListParagraph"/>
        <w:numPr>
          <w:ilvl w:val="0"/>
          <w:numId w:val="15"/>
        </w:numPr>
        <w:tabs>
          <w:tab w:val="left" w:pos="8080"/>
        </w:tabs>
        <w:spacing w:after="0" w:line="240" w:lineRule="auto"/>
        <w:rPr>
          <w:rFonts w:ascii="Calibri" w:hAnsi="Calibri" w:cs="Calibri"/>
          <w:iCs/>
          <w:lang w:val="fr-FR"/>
        </w:rPr>
      </w:pPr>
      <w:r w:rsidRPr="00736304">
        <w:rPr>
          <w:rFonts w:ascii="Calibri" w:hAnsi="Calibri" w:cs="Calibri"/>
          <w:iCs/>
          <w:lang w:val="fr-FR"/>
        </w:rPr>
        <w:t>BRAF (exon 15 (codon 600))</w:t>
      </w:r>
      <w:r w:rsidRPr="00736304">
        <w:rPr>
          <w:rFonts w:ascii="Calibri" w:hAnsi="Calibri" w:cs="Calibri"/>
          <w:iCs/>
          <w:lang w:val="fr-FR"/>
        </w:rPr>
        <w:tab/>
      </w:r>
      <w:r w:rsidRPr="00736304">
        <w:rPr>
          <w:rFonts w:ascii="Calibri" w:hAnsi="Calibri" w:cs="Calibri"/>
          <w:b/>
          <w:iCs/>
          <w:lang w:val="fr-FR"/>
        </w:rPr>
        <w:t>thérapie</w:t>
      </w:r>
    </w:p>
    <w:p w14:paraId="057CC27E" w14:textId="77777777" w:rsidR="00407B8C" w:rsidRPr="00736304" w:rsidRDefault="00407B8C" w:rsidP="00407B8C">
      <w:pPr>
        <w:pStyle w:val="ListParagraph"/>
        <w:numPr>
          <w:ilvl w:val="0"/>
          <w:numId w:val="15"/>
        </w:numPr>
        <w:tabs>
          <w:tab w:val="left" w:pos="8080"/>
        </w:tabs>
        <w:spacing w:after="0" w:line="240" w:lineRule="auto"/>
        <w:rPr>
          <w:lang w:val="fr-FR"/>
        </w:rPr>
      </w:pPr>
      <w:r w:rsidRPr="00736304">
        <w:rPr>
          <w:rFonts w:ascii="Calibri" w:hAnsi="Calibri" w:cs="Calibri"/>
          <w:iCs/>
          <w:lang w:val="fr-FR"/>
        </w:rPr>
        <w:t>KRAS (</w:t>
      </w:r>
      <w:r w:rsidRPr="00736304">
        <w:rPr>
          <w:rFonts w:ascii="Calibri" w:eastAsia="TT159t00" w:hAnsi="Calibri" w:cs="Calibri"/>
          <w:iCs/>
          <w:lang w:val="fr-FR"/>
        </w:rPr>
        <w:t>(exon 2 (codons 12,13), exon 3 (codons 59, 61), exon 4 (codons 117, 146))</w:t>
      </w:r>
      <w:r w:rsidRPr="00736304">
        <w:rPr>
          <w:rFonts w:ascii="Calibri" w:eastAsia="TT159t00" w:hAnsi="Calibri" w:cs="Calibri"/>
          <w:iCs/>
          <w:lang w:val="fr-FR"/>
        </w:rPr>
        <w:tab/>
      </w:r>
      <w:r w:rsidRPr="00736304">
        <w:rPr>
          <w:rFonts w:ascii="Calibri" w:hAnsi="Calibri" w:cs="Calibri"/>
          <w:b/>
          <w:iCs/>
          <w:lang w:val="fr-FR"/>
        </w:rPr>
        <w:t>diagnostic</w:t>
      </w:r>
    </w:p>
    <w:p w14:paraId="1E3E1133" w14:textId="77777777" w:rsidR="00407B8C" w:rsidRPr="00736304" w:rsidRDefault="00407B8C" w:rsidP="00407B8C">
      <w:pPr>
        <w:tabs>
          <w:tab w:val="right" w:pos="9214"/>
        </w:tabs>
      </w:pPr>
    </w:p>
    <w:p w14:paraId="4E26988F" w14:textId="77777777" w:rsidR="00407B8C" w:rsidRPr="00736304" w:rsidRDefault="00407B8C" w:rsidP="00407B8C">
      <w:pPr>
        <w:tabs>
          <w:tab w:val="right" w:pos="9214"/>
        </w:tabs>
      </w:pPr>
    </w:p>
    <w:p w14:paraId="39B78748" w14:textId="77777777" w:rsidR="00407B8C" w:rsidRPr="00736304" w:rsidRDefault="00407B8C" w:rsidP="00407B8C">
      <w:pPr>
        <w:tabs>
          <w:tab w:val="right" w:pos="9214"/>
        </w:tabs>
      </w:pPr>
      <w:r w:rsidRPr="00736304">
        <w:t>Enregistrement obligatoire dans PITTER :</w:t>
      </w:r>
    </w:p>
    <w:p w14:paraId="50CDAD1F"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7D77618A" w14:textId="77777777" w:rsidR="00407B8C" w:rsidRPr="00736304" w:rsidRDefault="00407B8C" w:rsidP="00407B8C">
      <w:pPr>
        <w:tabs>
          <w:tab w:val="right" w:pos="9214"/>
        </w:tabs>
      </w:pPr>
    </w:p>
    <w:p w14:paraId="67E5DED2" w14:textId="77777777" w:rsidR="00407B8C" w:rsidRPr="00736304" w:rsidRDefault="00407B8C" w:rsidP="00407B8C">
      <w:pPr>
        <w:tabs>
          <w:tab w:val="right" w:pos="9214"/>
        </w:tabs>
      </w:pPr>
      <w:r w:rsidRPr="00736304">
        <w:t>Règles de cumul :</w:t>
      </w:r>
    </w:p>
    <w:p w14:paraId="78A20982"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B53BDA7"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569FB29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7924B1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525809E6"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Règle diagnostique 6</w:t>
      </w:r>
      <w:r w:rsidRPr="00736304">
        <w:rPr>
          <w:lang w:val="fr-FR"/>
        </w:rPr>
        <w:t xml:space="preserve"> : Les </w:t>
      </w:r>
      <w:r>
        <w:rPr>
          <w:lang w:val="fr-FR"/>
        </w:rPr>
        <w:t>codes de pseudonomenclature  535312-535323</w:t>
      </w:r>
      <w:r w:rsidRPr="00736304">
        <w:rPr>
          <w:lang w:val="fr-FR"/>
        </w:rPr>
        <w:t xml:space="preserve"> </w:t>
      </w:r>
      <w:r>
        <w:rPr>
          <w:lang w:val="fr-FR"/>
        </w:rPr>
        <w:t>et 5</w:t>
      </w:r>
      <w:r w:rsidRPr="00E43D22">
        <w:rPr>
          <w:lang w:val="fr-FR"/>
        </w:rPr>
        <w:t>35334-535345</w:t>
      </w:r>
      <w:r>
        <w:rPr>
          <w:lang w:val="fr-FR"/>
        </w:rPr>
        <w:t xml:space="preserve"> </w:t>
      </w:r>
      <w:r w:rsidRPr="00736304">
        <w:rPr>
          <w:lang w:val="fr-FR"/>
        </w:rPr>
        <w:t xml:space="preserve">ne sont pas cumulables entre elles </w:t>
      </w:r>
      <w:r w:rsidRPr="00736304">
        <w:rPr>
          <w:b/>
          <w:bCs/>
          <w:u w:val="single"/>
          <w:lang w:val="fr-FR"/>
        </w:rPr>
        <w:t>endéans</w:t>
      </w:r>
      <w:r>
        <w:rPr>
          <w:b/>
          <w:bCs/>
          <w:u w:val="single"/>
          <w:lang w:val="fr-FR"/>
        </w:rPr>
        <w:t xml:space="preserve"> une</w:t>
      </w:r>
      <w:r w:rsidRPr="00736304">
        <w:rPr>
          <w:b/>
          <w:bCs/>
          <w:u w:val="single"/>
          <w:lang w:val="fr-FR"/>
        </w:rPr>
        <w:t xml:space="preserve"> période de 12 mois</w:t>
      </w:r>
      <w:r w:rsidRPr="00736304">
        <w:rPr>
          <w:lang w:val="fr-FR"/>
        </w:rPr>
        <w:t>.</w:t>
      </w:r>
    </w:p>
    <w:p w14:paraId="16809426"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pour l’analyse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5DC0363E"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31EDCA75" w14:textId="77777777" w:rsidR="00407B8C" w:rsidRPr="00096D02" w:rsidRDefault="00407B8C" w:rsidP="00A306AE">
      <w:pPr>
        <w:pStyle w:val="Heading3"/>
      </w:pPr>
      <w:bookmarkStart w:id="45" w:name="_Toc167180264"/>
      <w:bookmarkStart w:id="46" w:name="_Toc215211264"/>
      <w:r w:rsidRPr="00096D02">
        <w:lastRenderedPageBreak/>
        <w:t>535356-535360 : NGS pour un carcinome métastatique de la prostate, résistant à la castration</w:t>
      </w:r>
      <w:bookmarkEnd w:id="45"/>
      <w:bookmarkEnd w:id="46"/>
    </w:p>
    <w:p w14:paraId="0A7CAD7E" w14:textId="77777777" w:rsidR="00407B8C" w:rsidRPr="00736304" w:rsidRDefault="00407B8C" w:rsidP="00407B8C"/>
    <w:p w14:paraId="6C187D15" w14:textId="77777777" w:rsidR="00407B8C" w:rsidRPr="00736304" w:rsidRDefault="00407B8C" w:rsidP="00407B8C">
      <w:r w:rsidRPr="00736304">
        <w:t>Remboursement : 600 €</w:t>
      </w:r>
    </w:p>
    <w:p w14:paraId="02838552" w14:textId="77777777" w:rsidR="00407B8C" w:rsidRPr="00736304" w:rsidRDefault="00407B8C" w:rsidP="00407B8C">
      <w:r w:rsidRPr="00736304">
        <w:t>Indication:</w:t>
      </w:r>
    </w:p>
    <w:p w14:paraId="0A9E437B" w14:textId="77777777" w:rsidR="00407B8C" w:rsidRPr="00736304" w:rsidRDefault="00407B8C" w:rsidP="00407B8C">
      <w:pPr>
        <w:pStyle w:val="ListParagraph"/>
        <w:numPr>
          <w:ilvl w:val="0"/>
          <w:numId w:val="23"/>
        </w:numPr>
        <w:spacing w:after="160" w:line="259" w:lineRule="auto"/>
        <w:rPr>
          <w:lang w:val="fr-FR"/>
        </w:rPr>
      </w:pPr>
      <w:r w:rsidRPr="00736304">
        <w:rPr>
          <w:lang w:val="fr-FR"/>
        </w:rPr>
        <w:t>Carcinome métastatique de la prostate résistant à la castration</w:t>
      </w:r>
    </w:p>
    <w:p w14:paraId="748F6AFF" w14:textId="358DA87E" w:rsidR="00407B8C" w:rsidRPr="00736304" w:rsidRDefault="00407B8C" w:rsidP="00407B8C">
      <w:pPr>
        <w:pStyle w:val="ListParagraph"/>
        <w:numPr>
          <w:ilvl w:val="0"/>
          <w:numId w:val="23"/>
        </w:numPr>
        <w:spacing w:after="160" w:line="259" w:lineRule="auto"/>
        <w:rPr>
          <w:lang w:val="fr-FR"/>
        </w:rPr>
      </w:pPr>
      <w:r w:rsidRPr="00736304">
        <w:rPr>
          <w:rFonts w:ascii="Calibri" w:hAnsi="Calibri" w:cs="Calibri"/>
          <w:lang w:val="fr-FR"/>
        </w:rPr>
        <w:t xml:space="preserve">Sur tissu tumoral ou sur </w:t>
      </w:r>
      <w:r w:rsidR="000A617B">
        <w:rPr>
          <w:lang w:val="fr-FR"/>
        </w:rPr>
        <w:t>biopsie liquide</w:t>
      </w:r>
      <w:r w:rsidRPr="00736304">
        <w:rPr>
          <w:rFonts w:ascii="Calibri" w:hAnsi="Calibri" w:cs="Calibri"/>
          <w:lang w:val="fr-FR"/>
        </w:rPr>
        <w:t xml:space="preserve"> (si le tissu tumoral n’est pas disponible)</w:t>
      </w:r>
    </w:p>
    <w:p w14:paraId="3D08BB01" w14:textId="77777777" w:rsidR="00407B8C" w:rsidRPr="00736304" w:rsidRDefault="00407B8C" w:rsidP="00407B8C"/>
    <w:p w14:paraId="12FAE22B" w14:textId="77777777" w:rsidR="00407B8C" w:rsidRPr="00736304" w:rsidRDefault="00407B8C" w:rsidP="00407B8C">
      <w:r w:rsidRPr="00736304">
        <w:t>Biomarqueurs minimaux à tester :</w:t>
      </w:r>
    </w:p>
    <w:p w14:paraId="3DC34611" w14:textId="77777777" w:rsidR="00407B8C" w:rsidRPr="00736304" w:rsidRDefault="00407B8C" w:rsidP="00407B8C">
      <w:pPr>
        <w:pStyle w:val="ListParagraph"/>
        <w:numPr>
          <w:ilvl w:val="0"/>
          <w:numId w:val="15"/>
        </w:numPr>
        <w:tabs>
          <w:tab w:val="left" w:pos="7655"/>
        </w:tabs>
        <w:spacing w:after="0" w:line="259" w:lineRule="auto"/>
        <w:rPr>
          <w:rFonts w:ascii="Calibri" w:hAnsi="Calibri" w:cs="Calibri"/>
          <w:iCs/>
          <w:lang w:val="fr-FR"/>
        </w:rPr>
      </w:pPr>
      <w:r w:rsidRPr="00736304">
        <w:rPr>
          <w:rFonts w:ascii="Calibri" w:hAnsi="Calibri" w:cs="Calibri"/>
          <w:iCs/>
          <w:lang w:val="fr-FR"/>
        </w:rPr>
        <w:t>BRCA1 (tous les exons codants et toutes les régions de sites de splicing)</w:t>
      </w:r>
      <w:r w:rsidRPr="00736304">
        <w:rPr>
          <w:rFonts w:ascii="Calibri" w:hAnsi="Calibri" w:cs="Calibri"/>
          <w:iCs/>
          <w:lang w:val="fr-FR"/>
        </w:rPr>
        <w:tab/>
      </w:r>
      <w:r w:rsidRPr="00736304">
        <w:rPr>
          <w:rFonts w:ascii="Calibri" w:hAnsi="Calibri" w:cs="Calibri"/>
          <w:iCs/>
          <w:lang w:val="fr-FR"/>
        </w:rPr>
        <w:tab/>
        <w:t xml:space="preserve"> </w:t>
      </w:r>
      <w:r w:rsidRPr="00736304">
        <w:rPr>
          <w:rFonts w:ascii="Calibri" w:hAnsi="Calibri" w:cs="Calibri"/>
          <w:b/>
          <w:bCs/>
          <w:iCs/>
          <w:lang w:val="fr-FR"/>
        </w:rPr>
        <w:t xml:space="preserve">thérapie </w:t>
      </w:r>
    </w:p>
    <w:p w14:paraId="0763C7BB" w14:textId="77777777" w:rsidR="00407B8C" w:rsidRPr="007C587C" w:rsidRDefault="00407B8C" w:rsidP="00407B8C">
      <w:pPr>
        <w:pStyle w:val="ListParagraph"/>
        <w:numPr>
          <w:ilvl w:val="0"/>
          <w:numId w:val="15"/>
        </w:numPr>
        <w:tabs>
          <w:tab w:val="left" w:pos="7655"/>
        </w:tabs>
        <w:spacing w:after="0" w:line="259" w:lineRule="auto"/>
        <w:rPr>
          <w:lang w:val="fr-FR"/>
        </w:rPr>
      </w:pPr>
      <w:r w:rsidRPr="00736304">
        <w:rPr>
          <w:rFonts w:ascii="Calibri" w:hAnsi="Calibri" w:cs="Calibri"/>
          <w:iCs/>
          <w:lang w:val="fr-FR"/>
        </w:rPr>
        <w:t xml:space="preserve">BRCA2 (tous les exons codants et toutes les régions de sites de splicing) </w:t>
      </w:r>
      <w:r w:rsidRPr="00736304">
        <w:rPr>
          <w:rFonts w:ascii="Calibri" w:hAnsi="Calibri" w:cs="Calibri"/>
          <w:iCs/>
          <w:lang w:val="fr-FR"/>
        </w:rPr>
        <w:tab/>
      </w:r>
      <w:r w:rsidRPr="00736304">
        <w:rPr>
          <w:rFonts w:ascii="Calibri" w:hAnsi="Calibri" w:cs="Calibri"/>
          <w:iCs/>
          <w:lang w:val="fr-FR"/>
        </w:rPr>
        <w:tab/>
        <w:t xml:space="preserve"> </w:t>
      </w:r>
      <w:r w:rsidRPr="00736304">
        <w:rPr>
          <w:rFonts w:ascii="Calibri" w:hAnsi="Calibri" w:cs="Calibri"/>
          <w:b/>
          <w:bCs/>
          <w:iCs/>
          <w:lang w:val="fr-FR"/>
        </w:rPr>
        <w:t>thérapie</w:t>
      </w:r>
    </w:p>
    <w:p w14:paraId="18DCB203" w14:textId="77777777" w:rsidR="000A617B" w:rsidRDefault="000A617B" w:rsidP="000A617B">
      <w:pPr>
        <w:tabs>
          <w:tab w:val="left" w:pos="7655"/>
        </w:tabs>
        <w:spacing w:after="0"/>
      </w:pPr>
    </w:p>
    <w:p w14:paraId="74FA5DF0" w14:textId="39173533" w:rsidR="000A617B" w:rsidRPr="007C587C" w:rsidRDefault="000A617B" w:rsidP="007C587C">
      <w:pPr>
        <w:tabs>
          <w:tab w:val="left" w:pos="7655"/>
        </w:tabs>
        <w:spacing w:after="0"/>
      </w:pPr>
      <w:r>
        <w:t>Si Talzenna est remboursé pour cet indication</w:t>
      </w:r>
      <w:r w:rsidR="00BF25FE">
        <w:t> :</w:t>
      </w:r>
    </w:p>
    <w:p w14:paraId="310BF904" w14:textId="6DC9152F" w:rsidR="000A617B" w:rsidRPr="007C587C" w:rsidRDefault="000A617B" w:rsidP="00407B8C">
      <w:pPr>
        <w:pStyle w:val="ListParagraph"/>
        <w:numPr>
          <w:ilvl w:val="0"/>
          <w:numId w:val="15"/>
        </w:numPr>
        <w:tabs>
          <w:tab w:val="left" w:pos="7655"/>
        </w:tabs>
        <w:spacing w:after="0" w:line="259" w:lineRule="auto"/>
        <w:rPr>
          <w:lang w:val="fr-FR"/>
        </w:rPr>
      </w:pPr>
      <w:r>
        <w:rPr>
          <w:lang w:val="fr-FR"/>
        </w:rPr>
        <w:t>ATM</w:t>
      </w:r>
      <w:r>
        <w:rPr>
          <w:lang w:val="fr-FR"/>
        </w:rPr>
        <w:tab/>
      </w:r>
      <w:r>
        <w:rPr>
          <w:lang w:val="fr-FR"/>
        </w:rPr>
        <w:tab/>
      </w:r>
      <w:r>
        <w:rPr>
          <w:b/>
          <w:bCs/>
          <w:lang w:val="fr-FR"/>
        </w:rPr>
        <w:t>thérapie</w:t>
      </w:r>
    </w:p>
    <w:p w14:paraId="2898E729" w14:textId="16ABF515" w:rsidR="000A617B" w:rsidRPr="007C587C" w:rsidRDefault="000A617B" w:rsidP="00407B8C">
      <w:pPr>
        <w:pStyle w:val="ListParagraph"/>
        <w:numPr>
          <w:ilvl w:val="0"/>
          <w:numId w:val="15"/>
        </w:numPr>
        <w:tabs>
          <w:tab w:val="left" w:pos="7655"/>
        </w:tabs>
        <w:spacing w:after="0" w:line="259" w:lineRule="auto"/>
        <w:rPr>
          <w:lang w:val="fr-FR"/>
        </w:rPr>
      </w:pPr>
      <w:r>
        <w:rPr>
          <w:lang w:val="fr-FR"/>
        </w:rPr>
        <w:t>CDK12</w:t>
      </w:r>
      <w:r>
        <w:rPr>
          <w:lang w:val="fr-FR"/>
        </w:rPr>
        <w:tab/>
      </w:r>
      <w:r>
        <w:rPr>
          <w:lang w:val="fr-FR"/>
        </w:rPr>
        <w:tab/>
      </w:r>
      <w:r>
        <w:rPr>
          <w:b/>
          <w:bCs/>
          <w:lang w:val="fr-FR"/>
        </w:rPr>
        <w:t>thérapie</w:t>
      </w:r>
    </w:p>
    <w:p w14:paraId="7A08211E" w14:textId="4812741A" w:rsidR="000A617B" w:rsidRDefault="000A617B" w:rsidP="00407B8C">
      <w:pPr>
        <w:pStyle w:val="ListParagraph"/>
        <w:numPr>
          <w:ilvl w:val="0"/>
          <w:numId w:val="15"/>
        </w:numPr>
        <w:tabs>
          <w:tab w:val="left" w:pos="7655"/>
        </w:tabs>
        <w:spacing w:after="0" w:line="259" w:lineRule="auto"/>
        <w:rPr>
          <w:lang w:val="fr-FR"/>
        </w:rPr>
      </w:pPr>
      <w:r>
        <w:rPr>
          <w:lang w:val="fr-FR"/>
        </w:rPr>
        <w:t>CHEK2</w:t>
      </w:r>
      <w:r>
        <w:rPr>
          <w:lang w:val="fr-FR"/>
        </w:rPr>
        <w:tab/>
      </w:r>
      <w:r>
        <w:rPr>
          <w:lang w:val="fr-FR"/>
        </w:rPr>
        <w:tab/>
      </w:r>
      <w:r>
        <w:rPr>
          <w:b/>
          <w:bCs/>
          <w:lang w:val="fr-FR"/>
        </w:rPr>
        <w:t>thérapie</w:t>
      </w:r>
    </w:p>
    <w:p w14:paraId="20EB6349" w14:textId="4467EED7" w:rsidR="000A617B" w:rsidRDefault="000A617B" w:rsidP="00407B8C">
      <w:pPr>
        <w:pStyle w:val="ListParagraph"/>
        <w:numPr>
          <w:ilvl w:val="0"/>
          <w:numId w:val="15"/>
        </w:numPr>
        <w:tabs>
          <w:tab w:val="left" w:pos="7655"/>
        </w:tabs>
        <w:spacing w:after="0" w:line="259" w:lineRule="auto"/>
        <w:rPr>
          <w:lang w:val="fr-FR"/>
        </w:rPr>
      </w:pPr>
      <w:r>
        <w:rPr>
          <w:lang w:val="fr-FR"/>
        </w:rPr>
        <w:t>MLH1</w:t>
      </w:r>
      <w:r>
        <w:rPr>
          <w:lang w:val="fr-FR"/>
        </w:rPr>
        <w:tab/>
      </w:r>
      <w:r>
        <w:rPr>
          <w:lang w:val="fr-FR"/>
        </w:rPr>
        <w:tab/>
      </w:r>
      <w:r>
        <w:rPr>
          <w:b/>
          <w:bCs/>
          <w:lang w:val="fr-FR"/>
        </w:rPr>
        <w:t>thérapie</w:t>
      </w:r>
    </w:p>
    <w:p w14:paraId="50B05E63" w14:textId="699D09F8" w:rsidR="000A617B" w:rsidRDefault="000A617B" w:rsidP="00407B8C">
      <w:pPr>
        <w:pStyle w:val="ListParagraph"/>
        <w:numPr>
          <w:ilvl w:val="0"/>
          <w:numId w:val="15"/>
        </w:numPr>
        <w:tabs>
          <w:tab w:val="left" w:pos="7655"/>
        </w:tabs>
        <w:spacing w:after="0" w:line="259" w:lineRule="auto"/>
        <w:rPr>
          <w:lang w:val="fr-FR"/>
        </w:rPr>
      </w:pPr>
      <w:r>
        <w:rPr>
          <w:lang w:val="fr-FR"/>
        </w:rPr>
        <w:t>PALB2</w:t>
      </w:r>
      <w:r>
        <w:rPr>
          <w:lang w:val="fr-FR"/>
        </w:rPr>
        <w:tab/>
      </w:r>
      <w:r>
        <w:rPr>
          <w:lang w:val="fr-FR"/>
        </w:rPr>
        <w:tab/>
      </w:r>
      <w:r>
        <w:rPr>
          <w:b/>
          <w:bCs/>
          <w:lang w:val="fr-FR"/>
        </w:rPr>
        <w:t>thérapie</w:t>
      </w:r>
    </w:p>
    <w:p w14:paraId="10A7F294" w14:textId="01DEECE8" w:rsidR="000A617B" w:rsidRDefault="000A617B" w:rsidP="00407B8C">
      <w:pPr>
        <w:pStyle w:val="ListParagraph"/>
        <w:numPr>
          <w:ilvl w:val="0"/>
          <w:numId w:val="15"/>
        </w:numPr>
        <w:tabs>
          <w:tab w:val="left" w:pos="7655"/>
        </w:tabs>
        <w:spacing w:after="0" w:line="259" w:lineRule="auto"/>
        <w:rPr>
          <w:lang w:val="fr-FR"/>
        </w:rPr>
      </w:pPr>
      <w:r>
        <w:rPr>
          <w:lang w:val="fr-FR"/>
        </w:rPr>
        <w:t>NBN</w:t>
      </w:r>
      <w:r>
        <w:rPr>
          <w:lang w:val="fr-FR"/>
        </w:rPr>
        <w:tab/>
      </w:r>
      <w:r>
        <w:rPr>
          <w:lang w:val="fr-FR"/>
        </w:rPr>
        <w:tab/>
      </w:r>
      <w:r>
        <w:rPr>
          <w:b/>
          <w:bCs/>
          <w:lang w:val="fr-FR"/>
        </w:rPr>
        <w:t>thérapie</w:t>
      </w:r>
    </w:p>
    <w:p w14:paraId="0C5C4B01" w14:textId="4A8D8D4E" w:rsidR="000A617B" w:rsidRDefault="000A617B" w:rsidP="00407B8C">
      <w:pPr>
        <w:pStyle w:val="ListParagraph"/>
        <w:numPr>
          <w:ilvl w:val="0"/>
          <w:numId w:val="15"/>
        </w:numPr>
        <w:tabs>
          <w:tab w:val="left" w:pos="7655"/>
        </w:tabs>
        <w:spacing w:after="0" w:line="259" w:lineRule="auto"/>
        <w:rPr>
          <w:lang w:val="fr-FR"/>
        </w:rPr>
      </w:pPr>
      <w:r>
        <w:rPr>
          <w:lang w:val="fr-FR"/>
        </w:rPr>
        <w:t>FANCA</w:t>
      </w:r>
      <w:r>
        <w:rPr>
          <w:lang w:val="fr-FR"/>
        </w:rPr>
        <w:tab/>
      </w:r>
      <w:r>
        <w:rPr>
          <w:lang w:val="fr-FR"/>
        </w:rPr>
        <w:tab/>
      </w:r>
      <w:r>
        <w:rPr>
          <w:b/>
          <w:bCs/>
          <w:lang w:val="fr-FR"/>
        </w:rPr>
        <w:t>thérapie</w:t>
      </w:r>
    </w:p>
    <w:p w14:paraId="7AD02BF1" w14:textId="21A8BC25" w:rsidR="000A617B" w:rsidRDefault="000A617B" w:rsidP="00407B8C">
      <w:pPr>
        <w:pStyle w:val="ListParagraph"/>
        <w:numPr>
          <w:ilvl w:val="0"/>
          <w:numId w:val="15"/>
        </w:numPr>
        <w:tabs>
          <w:tab w:val="left" w:pos="7655"/>
        </w:tabs>
        <w:spacing w:after="0" w:line="259" w:lineRule="auto"/>
        <w:rPr>
          <w:lang w:val="fr-FR"/>
        </w:rPr>
      </w:pPr>
      <w:r>
        <w:rPr>
          <w:lang w:val="fr-FR"/>
        </w:rPr>
        <w:t>ATR</w:t>
      </w:r>
      <w:r>
        <w:rPr>
          <w:lang w:val="fr-FR"/>
        </w:rPr>
        <w:tab/>
      </w:r>
      <w:r>
        <w:rPr>
          <w:lang w:val="fr-FR"/>
        </w:rPr>
        <w:tab/>
      </w:r>
      <w:r>
        <w:rPr>
          <w:b/>
          <w:bCs/>
          <w:lang w:val="fr-FR"/>
        </w:rPr>
        <w:t>thérapie</w:t>
      </w:r>
    </w:p>
    <w:p w14:paraId="1E7048E2" w14:textId="67257C0B" w:rsidR="000A617B" w:rsidRDefault="000A617B" w:rsidP="00407B8C">
      <w:pPr>
        <w:pStyle w:val="ListParagraph"/>
        <w:numPr>
          <w:ilvl w:val="0"/>
          <w:numId w:val="15"/>
        </w:numPr>
        <w:tabs>
          <w:tab w:val="left" w:pos="7655"/>
        </w:tabs>
        <w:spacing w:after="0" w:line="259" w:lineRule="auto"/>
        <w:rPr>
          <w:lang w:val="fr-FR"/>
        </w:rPr>
      </w:pPr>
      <w:r>
        <w:rPr>
          <w:lang w:val="fr-FR"/>
        </w:rPr>
        <w:t>RAD51C</w:t>
      </w:r>
      <w:r>
        <w:rPr>
          <w:lang w:val="fr-FR"/>
        </w:rPr>
        <w:tab/>
      </w:r>
      <w:r>
        <w:rPr>
          <w:lang w:val="fr-FR"/>
        </w:rPr>
        <w:tab/>
      </w:r>
      <w:r>
        <w:rPr>
          <w:b/>
          <w:bCs/>
          <w:lang w:val="fr-FR"/>
        </w:rPr>
        <w:t>thérapie</w:t>
      </w:r>
    </w:p>
    <w:p w14:paraId="137F8CC8" w14:textId="4D28D3E8" w:rsidR="000A617B" w:rsidRPr="00736304" w:rsidRDefault="000A617B" w:rsidP="00407B8C">
      <w:pPr>
        <w:pStyle w:val="ListParagraph"/>
        <w:numPr>
          <w:ilvl w:val="0"/>
          <w:numId w:val="15"/>
        </w:numPr>
        <w:tabs>
          <w:tab w:val="left" w:pos="7655"/>
        </w:tabs>
        <w:spacing w:after="0" w:line="259" w:lineRule="auto"/>
        <w:rPr>
          <w:lang w:val="fr-FR"/>
        </w:rPr>
      </w:pPr>
      <w:r>
        <w:rPr>
          <w:lang w:val="fr-FR"/>
        </w:rPr>
        <w:t>MRE11</w:t>
      </w:r>
      <w:r w:rsidR="00BF25FE">
        <w:rPr>
          <w:lang w:val="fr-FR"/>
        </w:rPr>
        <w:t>A</w:t>
      </w:r>
      <w:r>
        <w:rPr>
          <w:lang w:val="fr-FR"/>
        </w:rPr>
        <w:tab/>
      </w:r>
      <w:r>
        <w:rPr>
          <w:lang w:val="fr-FR"/>
        </w:rPr>
        <w:tab/>
      </w:r>
      <w:r>
        <w:rPr>
          <w:b/>
          <w:bCs/>
          <w:lang w:val="fr-FR"/>
        </w:rPr>
        <w:t>thérapie</w:t>
      </w:r>
    </w:p>
    <w:p w14:paraId="19F20456" w14:textId="77777777" w:rsidR="00407B8C" w:rsidRPr="00736304" w:rsidRDefault="00407B8C" w:rsidP="00407B8C">
      <w:pPr>
        <w:pStyle w:val="ListParagraph"/>
        <w:tabs>
          <w:tab w:val="left" w:pos="7655"/>
        </w:tabs>
        <w:spacing w:after="0"/>
        <w:rPr>
          <w:lang w:val="fr-FR"/>
        </w:rPr>
      </w:pPr>
      <w:r w:rsidRPr="00736304">
        <w:rPr>
          <w:rFonts w:ascii="Calibri" w:hAnsi="Calibri" w:cs="Calibri"/>
          <w:iCs/>
          <w:lang w:val="fr-FR"/>
        </w:rPr>
        <w:tab/>
      </w:r>
    </w:p>
    <w:p w14:paraId="749D21F1" w14:textId="77777777" w:rsidR="00407B8C" w:rsidRPr="00736304" w:rsidRDefault="00407B8C" w:rsidP="00407B8C">
      <w:pPr>
        <w:tabs>
          <w:tab w:val="right" w:pos="9214"/>
        </w:tabs>
      </w:pPr>
    </w:p>
    <w:p w14:paraId="4B2C1E6D" w14:textId="77777777" w:rsidR="00407B8C" w:rsidRPr="00736304" w:rsidRDefault="00407B8C" w:rsidP="00407B8C">
      <w:pPr>
        <w:tabs>
          <w:tab w:val="right" w:pos="9214"/>
        </w:tabs>
      </w:pPr>
      <w:r w:rsidRPr="00736304">
        <w:t>Enregistrement obligatoire dans PITTER :</w:t>
      </w:r>
    </w:p>
    <w:p w14:paraId="76980972"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41AF500D" w14:textId="77777777" w:rsidR="00407B8C" w:rsidRPr="00736304" w:rsidRDefault="00407B8C" w:rsidP="00407B8C">
      <w:pPr>
        <w:tabs>
          <w:tab w:val="right" w:pos="9214"/>
        </w:tabs>
        <w:rPr>
          <w:iCs/>
        </w:rPr>
      </w:pPr>
    </w:p>
    <w:p w14:paraId="7D9EE374" w14:textId="77777777" w:rsidR="00407B8C" w:rsidRPr="00736304" w:rsidRDefault="00407B8C" w:rsidP="00407B8C">
      <w:pPr>
        <w:tabs>
          <w:tab w:val="right" w:pos="9214"/>
        </w:tabs>
      </w:pPr>
      <w:r w:rsidRPr="00736304">
        <w:t>Règles de cumul :</w:t>
      </w:r>
    </w:p>
    <w:p w14:paraId="5388C616"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1241807"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20BA9CD0"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321E89FE"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58A0921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23124F42" w14:textId="77777777" w:rsidR="00407B8C" w:rsidRPr="00736304" w:rsidRDefault="00407B8C" w:rsidP="00407B8C">
      <w:pPr>
        <w:tabs>
          <w:tab w:val="right" w:pos="9214"/>
        </w:tabs>
      </w:pPr>
    </w:p>
    <w:p w14:paraId="10775FF6"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4EA910B2" w14:textId="77777777" w:rsidR="00407B8C" w:rsidRPr="00096D02" w:rsidRDefault="00407B8C" w:rsidP="00A306AE">
      <w:pPr>
        <w:pStyle w:val="Heading3"/>
      </w:pPr>
      <w:bookmarkStart w:id="47" w:name="_Toc167180265"/>
      <w:bookmarkStart w:id="48" w:name="_Toc215211265"/>
      <w:r w:rsidRPr="00096D02">
        <w:lastRenderedPageBreak/>
        <w:t>535371-535382 : NGS pour un diagnostic de tumeurs spécifiques des tissus mous</w:t>
      </w:r>
      <w:bookmarkEnd w:id="47"/>
      <w:bookmarkEnd w:id="48"/>
    </w:p>
    <w:p w14:paraId="46F25C92" w14:textId="77777777" w:rsidR="00407B8C" w:rsidRPr="00736304" w:rsidRDefault="00407B8C" w:rsidP="00407B8C"/>
    <w:p w14:paraId="5AD63A0F" w14:textId="77777777" w:rsidR="00407B8C" w:rsidRPr="00736304" w:rsidRDefault="00407B8C" w:rsidP="00407B8C">
      <w:r w:rsidRPr="00736304">
        <w:t>Remboursement : 600 €</w:t>
      </w:r>
    </w:p>
    <w:p w14:paraId="677E364D" w14:textId="77777777" w:rsidR="00407B8C" w:rsidRPr="00736304" w:rsidRDefault="00407B8C" w:rsidP="00407B8C">
      <w:r w:rsidRPr="00736304">
        <w:t>Indication:</w:t>
      </w:r>
    </w:p>
    <w:p w14:paraId="6FF6148B" w14:textId="77777777" w:rsidR="00407B8C" w:rsidRPr="00736304" w:rsidRDefault="00407B8C" w:rsidP="00407B8C">
      <w:pPr>
        <w:pStyle w:val="NoSpacing"/>
        <w:numPr>
          <w:ilvl w:val="0"/>
          <w:numId w:val="18"/>
        </w:numPr>
        <w:jc w:val="both"/>
        <w:rPr>
          <w:rFonts w:ascii="Calibri" w:hAnsi="Calibri" w:cs="Calibri"/>
          <w:bCs/>
          <w:lang w:val="fr-FR"/>
        </w:rPr>
      </w:pPr>
      <w:r w:rsidRPr="00736304">
        <w:rPr>
          <w:rFonts w:ascii="Calibri" w:hAnsi="Calibri" w:cs="Calibri"/>
          <w:bCs/>
          <w:lang w:val="fr-FR"/>
        </w:rPr>
        <w:t xml:space="preserve">Pour confirmer un diagnostic en cas de suspicion de </w:t>
      </w:r>
      <w:r w:rsidRPr="006A4696">
        <w:rPr>
          <w:rFonts w:ascii="Calibri" w:hAnsi="Calibri" w:cs="Calibri"/>
          <w:bCs/>
          <w:lang w:val="fr-FR"/>
        </w:rPr>
        <w:t>tumeurs spécifiques des tissus mous</w:t>
      </w:r>
      <w:r w:rsidRPr="006A4696" w:rsidDel="006A4696">
        <w:rPr>
          <w:rFonts w:ascii="Calibri" w:hAnsi="Calibri" w:cs="Calibri"/>
          <w:bCs/>
          <w:lang w:val="fr-FR"/>
        </w:rPr>
        <w:t xml:space="preserve"> </w:t>
      </w:r>
      <w:r w:rsidRPr="00736304">
        <w:rPr>
          <w:rFonts w:ascii="Calibri" w:hAnsi="Calibri" w:cs="Calibri"/>
          <w:bCs/>
          <w:lang w:val="fr-FR"/>
        </w:rPr>
        <w:t>(myxome intramusculaire</w:t>
      </w:r>
      <w:r w:rsidRPr="00736304">
        <w:rPr>
          <w:rFonts w:ascii="Calibri" w:hAnsi="Calibri" w:cs="Calibri"/>
          <w:bCs/>
          <w:vertAlign w:val="superscript"/>
          <w:lang w:val="fr-FR"/>
        </w:rPr>
        <w:t>1</w:t>
      </w:r>
      <w:r w:rsidRPr="00736304">
        <w:rPr>
          <w:rFonts w:ascii="Calibri" w:hAnsi="Calibri" w:cs="Calibri"/>
          <w:bCs/>
          <w:lang w:val="fr-FR"/>
        </w:rPr>
        <w:t>, rhabdomyosarcome fusiforme/sclérosant</w:t>
      </w:r>
      <w:r w:rsidRPr="00736304">
        <w:rPr>
          <w:rFonts w:ascii="Calibri" w:hAnsi="Calibri" w:cs="Calibri"/>
          <w:bCs/>
          <w:vertAlign w:val="superscript"/>
          <w:lang w:val="fr-FR"/>
        </w:rPr>
        <w:t xml:space="preserve">2, </w:t>
      </w:r>
      <w:r w:rsidRPr="00736304">
        <w:rPr>
          <w:rFonts w:ascii="Calibri" w:hAnsi="Calibri" w:cs="Calibri"/>
          <w:bCs/>
          <w:lang w:val="fr-FR"/>
        </w:rPr>
        <w:t>chondrosarcome</w:t>
      </w:r>
      <w:r w:rsidRPr="00736304">
        <w:rPr>
          <w:rFonts w:ascii="Calibri" w:hAnsi="Calibri" w:cs="Calibri"/>
          <w:bCs/>
          <w:vertAlign w:val="superscript"/>
          <w:lang w:val="fr-FR"/>
        </w:rPr>
        <w:t>3</w:t>
      </w:r>
      <w:r w:rsidRPr="00736304">
        <w:rPr>
          <w:rFonts w:ascii="Calibri" w:hAnsi="Calibri" w:cs="Calibri"/>
          <w:bCs/>
          <w:lang w:val="fr-FR"/>
        </w:rPr>
        <w:t>, tumeur desmoïde</w:t>
      </w:r>
      <w:r w:rsidRPr="00736304">
        <w:rPr>
          <w:rFonts w:ascii="Calibri" w:hAnsi="Calibri" w:cs="Calibri"/>
          <w:bCs/>
          <w:vertAlign w:val="superscript"/>
          <w:lang w:val="fr-FR"/>
        </w:rPr>
        <w:t>4</w:t>
      </w:r>
      <w:r w:rsidRPr="00736304">
        <w:rPr>
          <w:rFonts w:ascii="Calibri" w:hAnsi="Calibri" w:cs="Calibri"/>
          <w:bCs/>
          <w:lang w:val="fr-FR"/>
        </w:rPr>
        <w:t>, myopéricytome</w:t>
      </w:r>
      <w:r w:rsidRPr="00736304">
        <w:rPr>
          <w:rFonts w:ascii="Calibri" w:hAnsi="Calibri" w:cs="Calibri"/>
          <w:bCs/>
          <w:vertAlign w:val="superscript"/>
          <w:lang w:val="fr-FR"/>
        </w:rPr>
        <w:t>5</w:t>
      </w:r>
      <w:r w:rsidRPr="00736304">
        <w:rPr>
          <w:rFonts w:ascii="Calibri" w:hAnsi="Calibri" w:cs="Calibri"/>
          <w:bCs/>
          <w:lang w:val="fr-FR"/>
        </w:rPr>
        <w:t>, myofibrome</w:t>
      </w:r>
      <w:r w:rsidRPr="00736304">
        <w:rPr>
          <w:rFonts w:ascii="Calibri" w:hAnsi="Calibri" w:cs="Calibri"/>
          <w:bCs/>
          <w:vertAlign w:val="superscript"/>
          <w:lang w:val="fr-FR"/>
        </w:rPr>
        <w:t>5</w:t>
      </w:r>
      <w:r w:rsidRPr="00736304">
        <w:rPr>
          <w:rFonts w:ascii="Calibri" w:hAnsi="Calibri" w:cs="Calibri"/>
          <w:bCs/>
          <w:lang w:val="fr-FR"/>
        </w:rPr>
        <w:t>)</w:t>
      </w:r>
    </w:p>
    <w:p w14:paraId="4E7EF9E7" w14:textId="77777777" w:rsidR="00407B8C" w:rsidRPr="00736304" w:rsidRDefault="00407B8C" w:rsidP="00407B8C"/>
    <w:p w14:paraId="7845F1D9" w14:textId="77777777" w:rsidR="00407B8C" w:rsidRPr="00736304" w:rsidRDefault="00407B8C" w:rsidP="00407B8C">
      <w:r w:rsidRPr="00736304">
        <w:t>Biomarqueurs minimaux à tester :</w:t>
      </w:r>
    </w:p>
    <w:p w14:paraId="2E5C175B" w14:textId="1685BF6B" w:rsidR="00407B8C" w:rsidRPr="00736304" w:rsidRDefault="00407B8C" w:rsidP="00407B8C">
      <w:pPr>
        <w:pStyle w:val="ListParagraph"/>
        <w:numPr>
          <w:ilvl w:val="0"/>
          <w:numId w:val="15"/>
        </w:numPr>
        <w:spacing w:after="160" w:line="240" w:lineRule="auto"/>
        <w:rPr>
          <w:rFonts w:ascii="Calibri" w:hAnsi="Calibri" w:cs="Calibri"/>
          <w:lang w:val="fr-FR"/>
        </w:rPr>
      </w:pPr>
      <w:r w:rsidRPr="00736304">
        <w:rPr>
          <w:rFonts w:ascii="Calibri" w:hAnsi="Calibri" w:cs="Calibri"/>
          <w:lang w:val="fr-FR"/>
        </w:rPr>
        <w:t>GNAS (exon 8, exon 9)</w:t>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b/>
          <w:bCs/>
          <w:iCs/>
          <w:lang w:val="fr-FR"/>
        </w:rPr>
        <w:t>diagnostic</w:t>
      </w:r>
    </w:p>
    <w:p w14:paraId="1DF8CBE9" w14:textId="2A01E245" w:rsidR="00407B8C" w:rsidRPr="00736304" w:rsidRDefault="00407B8C" w:rsidP="00407B8C">
      <w:pPr>
        <w:pStyle w:val="ListParagraph"/>
        <w:numPr>
          <w:ilvl w:val="0"/>
          <w:numId w:val="15"/>
        </w:numPr>
        <w:spacing w:after="160" w:line="240" w:lineRule="auto"/>
        <w:rPr>
          <w:rFonts w:ascii="Calibri" w:hAnsi="Calibri" w:cs="Calibri"/>
          <w:lang w:val="fr-FR"/>
        </w:rPr>
      </w:pPr>
      <w:r w:rsidRPr="00736304">
        <w:rPr>
          <w:rFonts w:ascii="Calibri" w:hAnsi="Calibri" w:cs="Calibri"/>
          <w:lang w:val="fr-FR"/>
        </w:rPr>
        <w:t xml:space="preserve">MYOD1 (exon 1 (codon 122))  </w:t>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b/>
          <w:bCs/>
          <w:iCs/>
          <w:lang w:val="fr-FR"/>
        </w:rPr>
        <w:t>diagnostic</w:t>
      </w:r>
    </w:p>
    <w:p w14:paraId="6CB378EB" w14:textId="71228CD4" w:rsidR="00407B8C" w:rsidRPr="00736304" w:rsidRDefault="00407B8C" w:rsidP="00407B8C">
      <w:pPr>
        <w:pStyle w:val="ListParagraph"/>
        <w:numPr>
          <w:ilvl w:val="0"/>
          <w:numId w:val="15"/>
        </w:numPr>
        <w:spacing w:after="160" w:line="240" w:lineRule="auto"/>
        <w:rPr>
          <w:rFonts w:ascii="Calibri" w:hAnsi="Calibri" w:cs="Calibri"/>
          <w:lang w:val="fr-FR"/>
        </w:rPr>
      </w:pPr>
      <w:r w:rsidRPr="00736304">
        <w:rPr>
          <w:rFonts w:ascii="Calibri" w:hAnsi="Calibri" w:cs="Calibri"/>
          <w:sz w:val="24"/>
          <w:szCs w:val="24"/>
          <w:lang w:val="fr-FR"/>
        </w:rPr>
        <w:t>IDH1 (exon 4),</w:t>
      </w:r>
      <w:r w:rsidRPr="00736304">
        <w:rPr>
          <w:rFonts w:ascii="Calibri" w:hAnsi="Calibri" w:cs="Calibri"/>
          <w:vertAlign w:val="superscript"/>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00EE5BF8">
        <w:rPr>
          <w:rFonts w:ascii="Calibri" w:hAnsi="Calibri" w:cs="Calibri"/>
          <w:lang w:val="fr-FR"/>
        </w:rPr>
        <w:tab/>
      </w:r>
      <w:r w:rsidRPr="00736304">
        <w:rPr>
          <w:rFonts w:ascii="Calibri" w:hAnsi="Calibri" w:cs="Calibri"/>
          <w:b/>
          <w:bCs/>
          <w:iCs/>
          <w:lang w:val="fr-FR"/>
        </w:rPr>
        <w:t>diagnostic</w:t>
      </w:r>
    </w:p>
    <w:p w14:paraId="3C32AFF4" w14:textId="5DD9A9ED" w:rsidR="00407B8C" w:rsidRPr="00736304" w:rsidRDefault="00407B8C" w:rsidP="00407B8C">
      <w:pPr>
        <w:pStyle w:val="ListParagraph"/>
        <w:numPr>
          <w:ilvl w:val="0"/>
          <w:numId w:val="15"/>
        </w:numPr>
        <w:spacing w:after="160" w:line="240" w:lineRule="auto"/>
        <w:rPr>
          <w:rFonts w:ascii="Calibri" w:hAnsi="Calibri" w:cs="Calibri"/>
          <w:lang w:val="fr-FR"/>
        </w:rPr>
      </w:pPr>
      <w:r w:rsidRPr="00736304">
        <w:rPr>
          <w:rFonts w:ascii="Calibri" w:hAnsi="Calibri" w:cs="Calibri"/>
          <w:lang w:val="fr-FR"/>
        </w:rPr>
        <w:t>IDH2 (exon 4)</w:t>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Pr="00736304">
        <w:rPr>
          <w:rFonts w:ascii="Calibri" w:hAnsi="Calibri" w:cs="Calibri"/>
          <w:b/>
          <w:bCs/>
          <w:iCs/>
          <w:lang w:val="fr-FR"/>
        </w:rPr>
        <w:t>diagnostic</w:t>
      </w:r>
    </w:p>
    <w:p w14:paraId="7F9502B9" w14:textId="3B5EEFBE" w:rsidR="00407B8C" w:rsidRPr="007C587C" w:rsidRDefault="00407B8C" w:rsidP="00407B8C">
      <w:pPr>
        <w:pStyle w:val="ListParagraph"/>
        <w:numPr>
          <w:ilvl w:val="0"/>
          <w:numId w:val="15"/>
        </w:numPr>
        <w:spacing w:after="160" w:line="240" w:lineRule="auto"/>
        <w:rPr>
          <w:rFonts w:ascii="Calibri" w:hAnsi="Calibri" w:cs="Calibri"/>
          <w:lang w:val="fr-FR"/>
        </w:rPr>
      </w:pPr>
      <w:r w:rsidRPr="00736304">
        <w:rPr>
          <w:rFonts w:ascii="Calibri" w:hAnsi="Calibri" w:cs="Calibri"/>
          <w:lang w:val="fr-FR"/>
        </w:rPr>
        <w:t xml:space="preserve">CTNNB1 (exon 3) </w:t>
      </w:r>
      <w:r w:rsidRPr="00736304">
        <w:rPr>
          <w:rFonts w:ascii="Calibri" w:hAnsi="Calibri" w:cs="Calibri"/>
          <w:lang w:val="fr-FR"/>
        </w:rPr>
        <w:tab/>
      </w:r>
      <w:r w:rsidRPr="00736304">
        <w:rPr>
          <w:rFonts w:ascii="Calibri" w:hAnsi="Calibri" w:cs="Calibri"/>
          <w:lang w:val="fr-FR"/>
        </w:rPr>
        <w:tab/>
      </w:r>
      <w:r w:rsidRPr="00736304">
        <w:rPr>
          <w:rFonts w:ascii="Calibri" w:hAnsi="Calibri" w:cs="Calibri"/>
          <w:lang w:val="fr-FR"/>
        </w:rPr>
        <w:tab/>
      </w:r>
      <w:r w:rsidR="00EE5BF8">
        <w:rPr>
          <w:rFonts w:ascii="Calibri" w:hAnsi="Calibri" w:cs="Calibri"/>
          <w:lang w:val="fr-FR"/>
        </w:rPr>
        <w:tab/>
      </w:r>
      <w:r w:rsidR="00EE5BF8">
        <w:rPr>
          <w:rFonts w:ascii="Calibri" w:hAnsi="Calibri" w:cs="Calibri"/>
          <w:lang w:val="fr-FR"/>
        </w:rPr>
        <w:tab/>
      </w:r>
      <w:r w:rsidR="00EE5BF8">
        <w:rPr>
          <w:rFonts w:ascii="Calibri" w:hAnsi="Calibri" w:cs="Calibri"/>
          <w:lang w:val="fr-FR"/>
        </w:rPr>
        <w:tab/>
      </w:r>
      <w:r w:rsidR="00EE5BF8">
        <w:rPr>
          <w:rFonts w:ascii="Calibri" w:hAnsi="Calibri" w:cs="Calibri"/>
          <w:lang w:val="fr-FR"/>
        </w:rPr>
        <w:tab/>
      </w:r>
      <w:r w:rsidRPr="00736304">
        <w:rPr>
          <w:rFonts w:ascii="Calibri" w:hAnsi="Calibri" w:cs="Calibri"/>
          <w:b/>
          <w:bCs/>
          <w:iCs/>
          <w:lang w:val="fr-FR"/>
        </w:rPr>
        <w:t>diagnostic</w:t>
      </w:r>
    </w:p>
    <w:p w14:paraId="439C54BD" w14:textId="4420250A" w:rsidR="00991F04" w:rsidRPr="00736304" w:rsidRDefault="00991F04" w:rsidP="00407B8C">
      <w:pPr>
        <w:pStyle w:val="ListParagraph"/>
        <w:numPr>
          <w:ilvl w:val="0"/>
          <w:numId w:val="15"/>
        </w:numPr>
        <w:spacing w:after="160" w:line="240" w:lineRule="auto"/>
        <w:rPr>
          <w:rFonts w:ascii="Calibri" w:hAnsi="Calibri" w:cs="Calibri"/>
          <w:lang w:val="fr-FR"/>
        </w:rPr>
      </w:pPr>
      <w:r>
        <w:rPr>
          <w:rFonts w:ascii="Calibri" w:hAnsi="Calibri" w:cs="Calibri"/>
          <w:lang w:val="fr-FR"/>
        </w:rPr>
        <w:t>APC (tous les codons codants)</w:t>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lang w:val="fr-FR"/>
        </w:rPr>
        <w:tab/>
      </w:r>
      <w:r>
        <w:rPr>
          <w:rFonts w:ascii="Calibri" w:hAnsi="Calibri" w:cs="Calibri"/>
          <w:b/>
          <w:bCs/>
          <w:lang w:val="fr-FR"/>
        </w:rPr>
        <w:t>diagnostic</w:t>
      </w:r>
    </w:p>
    <w:p w14:paraId="1296604E" w14:textId="6A19747E" w:rsidR="00407B8C" w:rsidRPr="00736304" w:rsidRDefault="00407B8C" w:rsidP="00407B8C">
      <w:pPr>
        <w:pStyle w:val="ListParagraph"/>
        <w:numPr>
          <w:ilvl w:val="0"/>
          <w:numId w:val="15"/>
        </w:numPr>
        <w:spacing w:after="0" w:line="240" w:lineRule="auto"/>
        <w:rPr>
          <w:lang w:val="fr-FR"/>
        </w:rPr>
      </w:pPr>
      <w:r w:rsidRPr="00736304">
        <w:rPr>
          <w:rFonts w:ascii="Calibri" w:hAnsi="Calibri" w:cs="Calibri"/>
          <w:lang w:val="fr-FR"/>
        </w:rPr>
        <w:t>PDGFRB (exon 11, exon 12, exon 14, exon 18)</w:t>
      </w:r>
      <w:r w:rsidRPr="00736304">
        <w:rPr>
          <w:rFonts w:ascii="Calibri" w:hAnsi="Calibri" w:cs="Calibri"/>
          <w:lang w:val="fr-FR"/>
        </w:rPr>
        <w:tab/>
      </w:r>
      <w:r w:rsidRPr="00736304">
        <w:rPr>
          <w:rFonts w:ascii="Calibri" w:hAnsi="Calibri" w:cs="Calibri"/>
          <w:lang w:val="fr-FR"/>
        </w:rPr>
        <w:tab/>
        <w:t xml:space="preserve">                            </w:t>
      </w:r>
      <w:r w:rsidRPr="00736304">
        <w:rPr>
          <w:rFonts w:ascii="Calibri" w:hAnsi="Calibri" w:cs="Calibri"/>
          <w:b/>
          <w:bCs/>
          <w:iCs/>
          <w:lang w:val="fr-FR"/>
        </w:rPr>
        <w:t>diagnostic</w:t>
      </w:r>
      <w:r w:rsidRPr="00736304">
        <w:rPr>
          <w:rFonts w:ascii="Calibri" w:hAnsi="Calibri" w:cs="Calibri"/>
          <w:lang w:val="fr-FR"/>
        </w:rPr>
        <w:tab/>
      </w:r>
    </w:p>
    <w:p w14:paraId="2DF955CC" w14:textId="77777777" w:rsidR="00407B8C" w:rsidRPr="00736304" w:rsidRDefault="00407B8C" w:rsidP="00407B8C">
      <w:pPr>
        <w:tabs>
          <w:tab w:val="right" w:pos="9214"/>
        </w:tabs>
      </w:pPr>
    </w:p>
    <w:p w14:paraId="515D3532" w14:textId="77777777" w:rsidR="00407B8C" w:rsidRPr="00736304" w:rsidRDefault="00407B8C" w:rsidP="00407B8C">
      <w:pPr>
        <w:tabs>
          <w:tab w:val="right" w:pos="9214"/>
        </w:tabs>
      </w:pPr>
      <w:r w:rsidRPr="00736304">
        <w:t>Enregistrement obligatoire dans PITTER :</w:t>
      </w:r>
    </w:p>
    <w:p w14:paraId="7FCEA0F1"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35013F54" w14:textId="77777777" w:rsidR="00407B8C" w:rsidRPr="00736304" w:rsidRDefault="00407B8C" w:rsidP="00407B8C">
      <w:pPr>
        <w:tabs>
          <w:tab w:val="right" w:pos="9214"/>
        </w:tabs>
      </w:pPr>
    </w:p>
    <w:p w14:paraId="0BE74413" w14:textId="77777777" w:rsidR="00407B8C" w:rsidRPr="00736304" w:rsidRDefault="00407B8C" w:rsidP="00407B8C">
      <w:pPr>
        <w:tabs>
          <w:tab w:val="right" w:pos="9214"/>
        </w:tabs>
      </w:pPr>
      <w:r w:rsidRPr="00736304">
        <w:t>Règles de cumul :</w:t>
      </w:r>
    </w:p>
    <w:p w14:paraId="422B361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0EC7CCA2"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22020B0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36D59B7"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5517A356" w14:textId="77777777" w:rsidR="00407B8C" w:rsidRPr="00736304" w:rsidRDefault="00407B8C" w:rsidP="00407B8C">
      <w:pPr>
        <w:pStyle w:val="ListParagraph"/>
        <w:tabs>
          <w:tab w:val="right" w:pos="9214"/>
        </w:tabs>
        <w:rPr>
          <w:lang w:val="fr-FR"/>
        </w:rPr>
      </w:pPr>
    </w:p>
    <w:p w14:paraId="06E1FCA0" w14:textId="77777777" w:rsidR="00407B8C" w:rsidRPr="00736304" w:rsidRDefault="00407B8C" w:rsidP="00407B8C">
      <w:pPr>
        <w:pStyle w:val="ListParagraph"/>
        <w:tabs>
          <w:tab w:val="right" w:pos="9214"/>
        </w:tabs>
        <w:rPr>
          <w:lang w:val="fr-FR"/>
        </w:rPr>
      </w:pPr>
    </w:p>
    <w:p w14:paraId="26A54C8F"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bookmarkStart w:id="49" w:name="_Hlk150265783"/>
      <w:r w:rsidRPr="00736304">
        <w:br w:type="page"/>
      </w:r>
    </w:p>
    <w:p w14:paraId="2E76D9E6" w14:textId="77777777" w:rsidR="00407B8C" w:rsidRPr="00096D02" w:rsidRDefault="00407B8C" w:rsidP="00A306AE">
      <w:pPr>
        <w:pStyle w:val="Heading3"/>
      </w:pPr>
      <w:bookmarkStart w:id="50" w:name="_Toc167180266"/>
      <w:bookmarkStart w:id="51" w:name="_Toc215211266"/>
      <w:r w:rsidRPr="00096D02">
        <w:lastRenderedPageBreak/>
        <w:t>535393-535404 : RNA-seq pour un sarcome</w:t>
      </w:r>
      <w:bookmarkEnd w:id="50"/>
      <w:bookmarkEnd w:id="51"/>
      <w:r w:rsidRPr="00096D02">
        <w:t xml:space="preserve"> </w:t>
      </w:r>
    </w:p>
    <w:p w14:paraId="20921F21" w14:textId="77777777" w:rsidR="00407B8C" w:rsidRPr="00736304" w:rsidRDefault="00407B8C" w:rsidP="00407B8C"/>
    <w:p w14:paraId="20C0EEE9" w14:textId="77777777" w:rsidR="00407B8C" w:rsidRPr="00736304" w:rsidRDefault="00407B8C" w:rsidP="00407B8C">
      <w:r w:rsidRPr="00736304">
        <w:t>Remboursement : 600 €</w:t>
      </w:r>
    </w:p>
    <w:p w14:paraId="249A23C8" w14:textId="77777777" w:rsidR="00407B8C" w:rsidRPr="00736304" w:rsidRDefault="00407B8C" w:rsidP="00407B8C"/>
    <w:p w14:paraId="485B7FE7" w14:textId="77777777" w:rsidR="00407B8C" w:rsidRPr="00736304" w:rsidRDefault="00407B8C" w:rsidP="00407B8C">
      <w:pPr>
        <w:rPr>
          <w:rFonts w:ascii="Calibri" w:hAnsi="Calibri" w:cs="Calibri"/>
          <w:bCs/>
        </w:rPr>
      </w:pPr>
      <w:r w:rsidRPr="00736304">
        <w:t xml:space="preserve">Indication: </w:t>
      </w:r>
    </w:p>
    <w:p w14:paraId="7946AF5C" w14:textId="77777777" w:rsidR="00407B8C" w:rsidRPr="00736304" w:rsidRDefault="00407B8C" w:rsidP="00407B8C">
      <w:pPr>
        <w:pStyle w:val="ListParagraph"/>
        <w:numPr>
          <w:ilvl w:val="0"/>
          <w:numId w:val="18"/>
        </w:numPr>
        <w:spacing w:after="160" w:line="259" w:lineRule="auto"/>
        <w:rPr>
          <w:lang w:val="fr-FR"/>
        </w:rPr>
      </w:pPr>
      <w:r w:rsidRPr="00736304">
        <w:rPr>
          <w:lang w:val="fr-FR"/>
        </w:rPr>
        <w:t>Sarcome pour lesquels les tests ISH ou IHC sont non conclusifs pour poser un diagnostic définitif ou négatifs</w:t>
      </w:r>
    </w:p>
    <w:p w14:paraId="27C25296" w14:textId="77777777" w:rsidR="00407B8C" w:rsidRPr="00736304" w:rsidRDefault="00407B8C" w:rsidP="00407B8C"/>
    <w:p w14:paraId="64E70933" w14:textId="77777777" w:rsidR="00407B8C" w:rsidRPr="00736304" w:rsidRDefault="00407B8C" w:rsidP="00407B8C">
      <w:r w:rsidRPr="00736304">
        <w:t>Biomarqueurs minimaux à tester :</w:t>
      </w:r>
    </w:p>
    <w:p w14:paraId="0E58D906" w14:textId="77777777" w:rsidR="00407B8C" w:rsidRPr="00736304" w:rsidRDefault="00407B8C" w:rsidP="00407B8C">
      <w:pPr>
        <w:pStyle w:val="ListParagraph"/>
        <w:numPr>
          <w:ilvl w:val="0"/>
          <w:numId w:val="15"/>
        </w:numPr>
        <w:spacing w:after="160" w:line="259" w:lineRule="auto"/>
        <w:rPr>
          <w:rFonts w:ascii="Calibri" w:hAnsi="Calibri" w:cs="Calibri"/>
          <w:bCs/>
          <w:lang w:val="fr-FR"/>
        </w:rPr>
      </w:pPr>
      <w:r w:rsidRPr="00736304">
        <w:rPr>
          <w:rFonts w:ascii="Calibri" w:hAnsi="Calibri" w:cs="Calibri"/>
          <w:bCs/>
          <w:lang w:val="fr-FR"/>
        </w:rPr>
        <w:t xml:space="preserve">Recherche sur les fusions : </w:t>
      </w:r>
      <w:r w:rsidRPr="00736304">
        <w:rPr>
          <w:rStyle w:val="cf01"/>
          <w:lang w:val="fr-FR"/>
        </w:rPr>
        <w:t>recommandations</w:t>
      </w:r>
      <w:r w:rsidRPr="00736304" w:rsidDel="008D6B0B">
        <w:rPr>
          <w:rFonts w:ascii="Calibri" w:hAnsi="Calibri" w:cs="Calibri"/>
          <w:bCs/>
          <w:lang w:val="fr-FR"/>
        </w:rPr>
        <w:t xml:space="preserve"> </w:t>
      </w:r>
      <w:r w:rsidRPr="00736304">
        <w:rPr>
          <w:rFonts w:ascii="Calibri" w:hAnsi="Calibri" w:cs="Calibri"/>
          <w:bCs/>
          <w:lang w:val="fr-FR"/>
        </w:rPr>
        <w:t>de l'OMS</w:t>
      </w:r>
      <w:r w:rsidRPr="00736304">
        <w:rPr>
          <w:rFonts w:ascii="Calibri" w:hAnsi="Calibri" w:cs="Calibri"/>
          <w:bCs/>
          <w:lang w:val="fr-FR"/>
        </w:rPr>
        <w:tab/>
      </w:r>
      <w:r w:rsidRPr="00736304">
        <w:rPr>
          <w:rFonts w:ascii="Calibri" w:hAnsi="Calibri" w:cs="Calibri"/>
          <w:bCs/>
          <w:lang w:val="fr-FR"/>
        </w:rPr>
        <w:tab/>
        <w:t xml:space="preserve">                         </w:t>
      </w:r>
      <w:r w:rsidRPr="00736304">
        <w:rPr>
          <w:rFonts w:ascii="Calibri" w:hAnsi="Calibri" w:cs="Calibri"/>
          <w:b/>
          <w:bCs/>
          <w:iCs/>
          <w:lang w:val="fr-FR"/>
        </w:rPr>
        <w:t>diagnostic</w:t>
      </w:r>
    </w:p>
    <w:p w14:paraId="018A7973" w14:textId="77777777" w:rsidR="00407B8C" w:rsidRPr="00736304" w:rsidRDefault="00407B8C" w:rsidP="00407B8C">
      <w:pPr>
        <w:pStyle w:val="ListParagraph"/>
        <w:tabs>
          <w:tab w:val="left" w:pos="7655"/>
        </w:tabs>
        <w:spacing w:after="0"/>
        <w:rPr>
          <w:lang w:val="fr-FR"/>
        </w:rPr>
      </w:pPr>
      <w:r w:rsidRPr="00736304">
        <w:rPr>
          <w:rFonts w:ascii="Calibri" w:hAnsi="Calibri" w:cs="Calibri"/>
          <w:iCs/>
          <w:lang w:val="fr-FR"/>
        </w:rPr>
        <w:tab/>
      </w:r>
    </w:p>
    <w:p w14:paraId="3861E215" w14:textId="77777777" w:rsidR="00407B8C" w:rsidRPr="00736304" w:rsidRDefault="00407B8C" w:rsidP="00407B8C">
      <w:pPr>
        <w:tabs>
          <w:tab w:val="right" w:pos="9214"/>
        </w:tabs>
      </w:pPr>
    </w:p>
    <w:p w14:paraId="1E2B070A" w14:textId="77777777" w:rsidR="00407B8C" w:rsidRPr="00736304" w:rsidRDefault="00407B8C" w:rsidP="00407B8C">
      <w:pPr>
        <w:tabs>
          <w:tab w:val="right" w:pos="9214"/>
        </w:tabs>
      </w:pPr>
      <w:r w:rsidRPr="00736304">
        <w:t>Enregistrement obligatoire dans PITTER :</w:t>
      </w:r>
    </w:p>
    <w:p w14:paraId="73B9CD8A"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3A0F2F34" w14:textId="77777777" w:rsidR="00407B8C" w:rsidRPr="00736304" w:rsidRDefault="00407B8C" w:rsidP="00407B8C">
      <w:pPr>
        <w:tabs>
          <w:tab w:val="right" w:pos="9214"/>
        </w:tabs>
      </w:pPr>
    </w:p>
    <w:p w14:paraId="7392B255" w14:textId="77777777" w:rsidR="00407B8C" w:rsidRPr="00736304" w:rsidRDefault="00407B8C" w:rsidP="00407B8C">
      <w:pPr>
        <w:tabs>
          <w:tab w:val="right" w:pos="9214"/>
        </w:tabs>
      </w:pPr>
      <w:r w:rsidRPr="00736304">
        <w:t>Règles de cumul :</w:t>
      </w:r>
    </w:p>
    <w:p w14:paraId="5DD05BE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1D6315B9"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7D451B6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5F38CC94"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210D3058" w14:textId="77777777" w:rsidR="00407B8C" w:rsidRPr="00736304" w:rsidRDefault="00407B8C" w:rsidP="00407B8C">
      <w:pPr>
        <w:tabs>
          <w:tab w:val="right" w:pos="9214"/>
        </w:tabs>
      </w:pPr>
    </w:p>
    <w:bookmarkEnd w:id="49"/>
    <w:p w14:paraId="12046D00"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4ED641FC" w14:textId="77777777" w:rsidR="00407B8C" w:rsidRPr="00096D02" w:rsidRDefault="00407B8C" w:rsidP="00A306AE">
      <w:pPr>
        <w:pStyle w:val="Heading3"/>
      </w:pPr>
      <w:bookmarkStart w:id="52" w:name="_Toc167180267"/>
      <w:bookmarkStart w:id="53" w:name="_Toc215211267"/>
      <w:r w:rsidRPr="00096D02">
        <w:lastRenderedPageBreak/>
        <w:t>535415-535426 : NGS pour un carcinome de l'endomètre</w:t>
      </w:r>
      <w:bookmarkEnd w:id="52"/>
      <w:bookmarkEnd w:id="53"/>
    </w:p>
    <w:p w14:paraId="0CAE481A" w14:textId="77777777" w:rsidR="00407B8C" w:rsidRPr="00736304" w:rsidRDefault="00407B8C" w:rsidP="00407B8C"/>
    <w:p w14:paraId="1510C1F9" w14:textId="77777777" w:rsidR="00407B8C" w:rsidRPr="00736304" w:rsidRDefault="00407B8C" w:rsidP="00407B8C">
      <w:r w:rsidRPr="00736304">
        <w:t>Remboursement : 600 €</w:t>
      </w:r>
    </w:p>
    <w:p w14:paraId="3EEE2D99" w14:textId="77777777" w:rsidR="00407B8C" w:rsidRPr="00736304" w:rsidRDefault="00407B8C" w:rsidP="00407B8C">
      <w:r w:rsidRPr="00736304">
        <w:t>Indication:</w:t>
      </w:r>
    </w:p>
    <w:p w14:paraId="52580CA4" w14:textId="77777777" w:rsidR="00407B8C" w:rsidRPr="00736304" w:rsidRDefault="00407B8C" w:rsidP="00407B8C">
      <w:pPr>
        <w:pStyle w:val="ListParagraph"/>
        <w:numPr>
          <w:ilvl w:val="0"/>
          <w:numId w:val="22"/>
        </w:numPr>
        <w:spacing w:after="160" w:line="259" w:lineRule="auto"/>
        <w:rPr>
          <w:lang w:val="fr-FR"/>
        </w:rPr>
      </w:pPr>
      <w:r w:rsidRPr="00736304">
        <w:rPr>
          <w:lang w:val="fr-FR"/>
        </w:rPr>
        <w:t>Carcinome de l’endomètre</w:t>
      </w:r>
    </w:p>
    <w:p w14:paraId="16E9C30D" w14:textId="77777777" w:rsidR="00407B8C" w:rsidRPr="00736304" w:rsidRDefault="00407B8C" w:rsidP="00407B8C"/>
    <w:p w14:paraId="20EC8A8A" w14:textId="77777777" w:rsidR="00407B8C" w:rsidRPr="00736304" w:rsidRDefault="00407B8C" w:rsidP="00407B8C">
      <w:r w:rsidRPr="00736304">
        <w:t>Biomarqueurs minimaux à tester :</w:t>
      </w:r>
    </w:p>
    <w:p w14:paraId="2D8B882E" w14:textId="77777777" w:rsidR="00407B8C" w:rsidRPr="00736304" w:rsidRDefault="00407B8C" w:rsidP="00407B8C">
      <w:pPr>
        <w:pStyle w:val="ListParagraph"/>
        <w:numPr>
          <w:ilvl w:val="0"/>
          <w:numId w:val="15"/>
        </w:numPr>
        <w:tabs>
          <w:tab w:val="left" w:pos="7513"/>
          <w:tab w:val="left" w:pos="8505"/>
        </w:tabs>
        <w:spacing w:after="0" w:line="259" w:lineRule="auto"/>
        <w:rPr>
          <w:rFonts w:ascii="Calibri" w:hAnsi="Calibri" w:cs="Calibri"/>
          <w:iCs/>
          <w:lang w:val="fr-FR"/>
        </w:rPr>
      </w:pPr>
      <w:r w:rsidRPr="00736304">
        <w:rPr>
          <w:rFonts w:ascii="Calibri" w:hAnsi="Calibri" w:cs="Calibri"/>
          <w:iCs/>
          <w:lang w:val="fr-FR"/>
        </w:rPr>
        <w:t xml:space="preserve">POLE </w:t>
      </w:r>
      <w:r w:rsidRPr="00736304">
        <w:rPr>
          <w:rFonts w:ascii="Calibri" w:hAnsi="Calibri" w:cs="Calibri"/>
          <w:iCs/>
          <w:sz w:val="18"/>
          <w:szCs w:val="18"/>
          <w:lang w:val="fr-FR"/>
        </w:rPr>
        <w:t>(exon 9 (codons 286, 297), exon 13 (codons 411, 424), exon 14 (codons 456, 459, 465)</w:t>
      </w:r>
      <w:r w:rsidRPr="00736304">
        <w:rPr>
          <w:rFonts w:ascii="Calibri" w:hAnsi="Calibri" w:cs="Calibri"/>
          <w:iCs/>
          <w:lang w:val="fr-FR"/>
        </w:rPr>
        <w:t xml:space="preserve"> </w:t>
      </w:r>
      <w:r w:rsidRPr="00736304">
        <w:rPr>
          <w:rFonts w:ascii="Calibri" w:hAnsi="Calibri" w:cs="Calibri"/>
          <w:b/>
          <w:bCs/>
          <w:iCs/>
          <w:lang w:val="fr-FR"/>
        </w:rPr>
        <w:t>pronostic/thérapie</w:t>
      </w:r>
    </w:p>
    <w:p w14:paraId="5CF42174" w14:textId="77777777" w:rsidR="00407B8C" w:rsidRPr="00736304" w:rsidRDefault="00407B8C" w:rsidP="00407B8C">
      <w:pPr>
        <w:pStyle w:val="ListParagraph"/>
        <w:numPr>
          <w:ilvl w:val="0"/>
          <w:numId w:val="15"/>
        </w:numPr>
        <w:tabs>
          <w:tab w:val="left" w:pos="7513"/>
          <w:tab w:val="left" w:pos="8505"/>
        </w:tabs>
        <w:spacing w:after="0" w:line="259" w:lineRule="auto"/>
        <w:rPr>
          <w:rFonts w:ascii="Calibri" w:hAnsi="Calibri" w:cs="Calibri"/>
          <w:iCs/>
          <w:lang w:val="fr-FR"/>
        </w:rPr>
      </w:pPr>
      <w:r w:rsidRPr="00736304">
        <w:rPr>
          <w:rFonts w:ascii="Calibri" w:hAnsi="Calibri" w:cs="Calibri"/>
          <w:iCs/>
          <w:lang w:val="fr-FR"/>
        </w:rPr>
        <w:t xml:space="preserve">TP53 (tous les exons codants </w:t>
      </w:r>
      <w:r w:rsidRPr="00736304">
        <w:rPr>
          <w:lang w:val="fr-FR"/>
        </w:rPr>
        <w:t>et les régions de sites de splicing</w:t>
      </w:r>
      <w:r w:rsidRPr="00736304">
        <w:rPr>
          <w:rFonts w:ascii="Calibri" w:hAnsi="Calibri" w:cs="Calibri"/>
          <w:iCs/>
          <w:lang w:val="fr-FR"/>
        </w:rPr>
        <w:t xml:space="preserve">)  </w:t>
      </w:r>
      <w:r w:rsidRPr="00736304">
        <w:rPr>
          <w:rFonts w:ascii="Calibri" w:hAnsi="Calibri" w:cs="Calibri"/>
          <w:iCs/>
          <w:lang w:val="fr-FR"/>
        </w:rPr>
        <w:tab/>
      </w:r>
      <w:r w:rsidRPr="00736304">
        <w:rPr>
          <w:rFonts w:ascii="Calibri" w:hAnsi="Calibri" w:cs="Calibri"/>
          <w:b/>
          <w:bCs/>
          <w:iCs/>
          <w:lang w:val="fr-FR"/>
        </w:rPr>
        <w:t>pronostic/thérapie</w:t>
      </w:r>
    </w:p>
    <w:p w14:paraId="1CB449B1" w14:textId="77777777" w:rsidR="00407B8C" w:rsidRPr="00736304" w:rsidRDefault="00407B8C" w:rsidP="00407B8C">
      <w:pPr>
        <w:tabs>
          <w:tab w:val="left" w:pos="7513"/>
          <w:tab w:val="left" w:pos="8505"/>
        </w:tabs>
        <w:spacing w:after="0"/>
        <w:ind w:left="360"/>
        <w:rPr>
          <w:rFonts w:ascii="Calibri" w:hAnsi="Calibri" w:cs="Calibri"/>
          <w:iCs/>
        </w:rPr>
      </w:pPr>
      <w:r w:rsidRPr="00736304">
        <w:rPr>
          <w:rFonts w:ascii="Calibri" w:hAnsi="Calibri" w:cs="Calibri"/>
          <w:iCs/>
        </w:rPr>
        <w:tab/>
      </w:r>
    </w:p>
    <w:p w14:paraId="4B7BCA04" w14:textId="77777777" w:rsidR="00407B8C" w:rsidRPr="00736304" w:rsidRDefault="00407B8C" w:rsidP="00407B8C">
      <w:pPr>
        <w:tabs>
          <w:tab w:val="right" w:pos="9214"/>
        </w:tabs>
      </w:pPr>
    </w:p>
    <w:p w14:paraId="6701D690" w14:textId="77777777" w:rsidR="00407B8C" w:rsidRPr="00736304" w:rsidRDefault="00407B8C" w:rsidP="00407B8C">
      <w:pPr>
        <w:tabs>
          <w:tab w:val="right" w:pos="9214"/>
        </w:tabs>
      </w:pPr>
      <w:r w:rsidRPr="00736304">
        <w:t>Enregistrement obligatoire dans PITTER :</w:t>
      </w:r>
    </w:p>
    <w:p w14:paraId="4C914DB8"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7D5F6BE6" w14:textId="77777777" w:rsidR="00407B8C" w:rsidRPr="00736304" w:rsidRDefault="00407B8C" w:rsidP="00407B8C">
      <w:pPr>
        <w:tabs>
          <w:tab w:val="right" w:pos="9214"/>
        </w:tabs>
      </w:pPr>
    </w:p>
    <w:p w14:paraId="50BB5183" w14:textId="77777777" w:rsidR="00407B8C" w:rsidRPr="00736304" w:rsidRDefault="00407B8C" w:rsidP="00407B8C">
      <w:pPr>
        <w:tabs>
          <w:tab w:val="right" w:pos="9214"/>
        </w:tabs>
      </w:pPr>
      <w:r w:rsidRPr="00736304">
        <w:t>Règles de cumul :</w:t>
      </w:r>
    </w:p>
    <w:p w14:paraId="3D32EB47"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6578D0B7"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66EBF916"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05BF9D75"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23084A87"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101FD94A" w14:textId="77777777" w:rsidR="00407B8C" w:rsidRPr="00736304" w:rsidRDefault="00407B8C" w:rsidP="00407B8C">
      <w:pPr>
        <w:tabs>
          <w:tab w:val="right" w:pos="9214"/>
        </w:tabs>
      </w:pPr>
    </w:p>
    <w:p w14:paraId="30DFA0DC" w14:textId="77777777" w:rsidR="00407B8C" w:rsidRPr="00736304" w:rsidRDefault="00407B8C" w:rsidP="00407B8C"/>
    <w:p w14:paraId="0E2ADB83"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1D33DDED" w14:textId="77777777" w:rsidR="00407B8C" w:rsidRPr="00096D02" w:rsidRDefault="00407B8C" w:rsidP="00A306AE">
      <w:pPr>
        <w:pStyle w:val="Heading3"/>
      </w:pPr>
      <w:bookmarkStart w:id="54" w:name="_Toc167180268"/>
      <w:bookmarkStart w:id="55" w:name="_Toc215211268"/>
      <w:r w:rsidRPr="00096D02">
        <w:lastRenderedPageBreak/>
        <w:t>535430-535441 : NGS pour une prolifération mélanocytaire atypique (MELTUMP, IAMPUS, STUMP,…)</w:t>
      </w:r>
      <w:bookmarkEnd w:id="54"/>
      <w:bookmarkEnd w:id="55"/>
      <w:r w:rsidRPr="00096D02">
        <w:cr/>
      </w:r>
    </w:p>
    <w:p w14:paraId="69D57C73" w14:textId="77777777" w:rsidR="00407B8C" w:rsidRPr="00736304" w:rsidRDefault="00407B8C" w:rsidP="00407B8C">
      <w:r w:rsidRPr="00736304">
        <w:t>Remboursement : 600 €</w:t>
      </w:r>
    </w:p>
    <w:p w14:paraId="3E144030" w14:textId="77777777" w:rsidR="00407B8C" w:rsidRPr="00736304" w:rsidRDefault="00407B8C" w:rsidP="00407B8C"/>
    <w:p w14:paraId="29EF474F" w14:textId="77777777" w:rsidR="00407B8C" w:rsidRPr="00736304" w:rsidRDefault="00407B8C" w:rsidP="00407B8C">
      <w:pPr>
        <w:rPr>
          <w:rFonts w:ascii="Calibri" w:hAnsi="Calibri" w:cs="Calibri"/>
          <w:bCs/>
        </w:rPr>
      </w:pPr>
      <w:r w:rsidRPr="00736304">
        <w:t xml:space="preserve">Indication: </w:t>
      </w:r>
    </w:p>
    <w:p w14:paraId="5B8F5B51" w14:textId="77777777" w:rsidR="00407B8C" w:rsidRPr="00736304" w:rsidRDefault="00407B8C" w:rsidP="00407B8C">
      <w:pPr>
        <w:pStyle w:val="ListParagraph"/>
        <w:numPr>
          <w:ilvl w:val="0"/>
          <w:numId w:val="18"/>
        </w:numPr>
        <w:spacing w:after="160" w:line="259" w:lineRule="auto"/>
        <w:rPr>
          <w:lang w:val="fr-FR"/>
        </w:rPr>
      </w:pPr>
      <w:r w:rsidRPr="00736304">
        <w:rPr>
          <w:lang w:val="fr-FR"/>
        </w:rPr>
        <w:t>prolifération mélanocytaire atypique (MELTUMP, IAMPUS, STUMP,…)</w:t>
      </w:r>
    </w:p>
    <w:p w14:paraId="25AF266B" w14:textId="77777777" w:rsidR="00407B8C" w:rsidRPr="00736304" w:rsidRDefault="00407B8C" w:rsidP="00407B8C"/>
    <w:p w14:paraId="4B61913D" w14:textId="77777777" w:rsidR="00407B8C" w:rsidRPr="00736304" w:rsidRDefault="00407B8C" w:rsidP="00407B8C">
      <w:r w:rsidRPr="00736304">
        <w:t>Biomarqueurs minimaux à tester :</w:t>
      </w:r>
    </w:p>
    <w:p w14:paraId="790DBE1A"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BRAF (exon 15 (codon 600))                                                                                 </w:t>
      </w:r>
      <w:r w:rsidRPr="00736304">
        <w:rPr>
          <w:b/>
          <w:bCs/>
          <w:lang w:val="fr-FR"/>
        </w:rPr>
        <w:t>thérapie/diagnostic</w:t>
      </w:r>
    </w:p>
    <w:p w14:paraId="1F42EFB2"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NRAS </w:t>
      </w:r>
      <w:r w:rsidRPr="00736304">
        <w:rPr>
          <w:sz w:val="18"/>
          <w:szCs w:val="18"/>
          <w:lang w:val="fr-FR"/>
        </w:rPr>
        <w:t>((exon 2 (codons 12,13), exon 3 (codons 59, 61), exon 4 (codons 117, 146))</w:t>
      </w:r>
      <w:r w:rsidRPr="00736304">
        <w:rPr>
          <w:lang w:val="fr-FR"/>
        </w:rPr>
        <w:t xml:space="preserve">           </w:t>
      </w:r>
      <w:r w:rsidRPr="00736304">
        <w:rPr>
          <w:b/>
          <w:bCs/>
          <w:lang w:val="fr-FR"/>
        </w:rPr>
        <w:t>thérapie/diagnostic</w:t>
      </w:r>
    </w:p>
    <w:p w14:paraId="65F24A11"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KIT (exon 9, exon 11, exon 13, exon 17, exon 18)                                            </w:t>
      </w:r>
      <w:r w:rsidRPr="00736304">
        <w:rPr>
          <w:b/>
          <w:bCs/>
          <w:lang w:val="fr-FR"/>
        </w:rPr>
        <w:t>thérapie/diagnostic</w:t>
      </w:r>
    </w:p>
    <w:p w14:paraId="1B10562E"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TERT promoteur (c.-124C&gt;T (C228T), c.-146C&gt;T (C250T))                              </w:t>
      </w:r>
      <w:r w:rsidRPr="00736304">
        <w:rPr>
          <w:b/>
          <w:bCs/>
          <w:lang w:val="fr-FR"/>
        </w:rPr>
        <w:t>thérapie/diagnostic</w:t>
      </w:r>
    </w:p>
    <w:p w14:paraId="5CC6DAAE"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HRAS (exon 2 (codons 12,13), exon 3 (codons 59, 61), exon 4 (codons 117, 146))     </w:t>
      </w:r>
      <w:r w:rsidRPr="00736304">
        <w:rPr>
          <w:b/>
          <w:bCs/>
          <w:lang w:val="fr-FR"/>
        </w:rPr>
        <w:t>diagnostic</w:t>
      </w:r>
    </w:p>
    <w:p w14:paraId="53C03959"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GNA11(exon 4 (codon 183), exon 5 (codon 209))                                                             </w:t>
      </w:r>
      <w:r w:rsidRPr="00736304">
        <w:rPr>
          <w:b/>
          <w:bCs/>
          <w:lang w:val="fr-FR"/>
        </w:rPr>
        <w:t>diagnostic</w:t>
      </w:r>
    </w:p>
    <w:p w14:paraId="1064FA01"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GNAQ (exon 4 (codon 183), exon 5 (codon 209))                                                             </w:t>
      </w:r>
      <w:r w:rsidRPr="00736304">
        <w:rPr>
          <w:b/>
          <w:bCs/>
          <w:lang w:val="fr-FR"/>
        </w:rPr>
        <w:t xml:space="preserve"> diagnostic</w:t>
      </w:r>
    </w:p>
    <w:p w14:paraId="0CD7B6B5"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NF1 (tous les exons codants et les régions de sites de splicing)                                     </w:t>
      </w:r>
      <w:r w:rsidRPr="00736304">
        <w:rPr>
          <w:b/>
          <w:bCs/>
          <w:lang w:val="fr-FR"/>
        </w:rPr>
        <w:t>diagnostic</w:t>
      </w:r>
    </w:p>
    <w:p w14:paraId="4A88F606"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PTEN (tous les exons codants et les régions de sites de splicing)                                   </w:t>
      </w:r>
      <w:r w:rsidRPr="00736304">
        <w:rPr>
          <w:b/>
          <w:bCs/>
          <w:lang w:val="fr-FR"/>
        </w:rPr>
        <w:t>diagnostic</w:t>
      </w:r>
    </w:p>
    <w:p w14:paraId="03532DD5"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TP53 (tous les exons codants et les régions de sites de splicing)                                    </w:t>
      </w:r>
      <w:r w:rsidRPr="00736304">
        <w:rPr>
          <w:b/>
          <w:bCs/>
          <w:lang w:val="fr-FR"/>
        </w:rPr>
        <w:t>diagnostic</w:t>
      </w:r>
    </w:p>
    <w:p w14:paraId="2911FC34" w14:textId="77777777" w:rsidR="00407B8C" w:rsidRPr="00736304" w:rsidRDefault="00407B8C" w:rsidP="00407B8C">
      <w:pPr>
        <w:tabs>
          <w:tab w:val="right" w:pos="9214"/>
        </w:tabs>
      </w:pPr>
    </w:p>
    <w:p w14:paraId="320516BC" w14:textId="77777777" w:rsidR="00407B8C" w:rsidRPr="00736304" w:rsidRDefault="00407B8C" w:rsidP="00407B8C">
      <w:pPr>
        <w:tabs>
          <w:tab w:val="right" w:pos="9214"/>
        </w:tabs>
      </w:pPr>
      <w:r w:rsidRPr="00736304">
        <w:t>Enregistrement obligatoire dans PITTER :</w:t>
      </w:r>
    </w:p>
    <w:p w14:paraId="0845EB7D" w14:textId="77777777" w:rsidR="00407B8C" w:rsidRPr="00736304" w:rsidRDefault="00407B8C" w:rsidP="00407B8C">
      <w:pPr>
        <w:tabs>
          <w:tab w:val="left" w:pos="284"/>
          <w:tab w:val="right" w:pos="9214"/>
        </w:tabs>
      </w:pPr>
      <w:r w:rsidRPr="00736304">
        <w:tab/>
        <w:t>En cas de mélanome non résécable ou métastatique:</w:t>
      </w:r>
    </w:p>
    <w:p w14:paraId="7D67CEEE"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594392 – 594403 : Analyse du statut mutationnel du gène BRAF V600 en cas de mélanome primaire avancé (non résécable ou métastatique)</w:t>
      </w:r>
    </w:p>
    <w:p w14:paraId="127A8D54" w14:textId="77777777" w:rsidR="00407B8C" w:rsidRPr="00736304" w:rsidRDefault="00407B8C" w:rsidP="00407B8C">
      <w:pPr>
        <w:tabs>
          <w:tab w:val="left" w:pos="284"/>
          <w:tab w:val="right" w:pos="9214"/>
        </w:tabs>
      </w:pPr>
      <w:r w:rsidRPr="00736304">
        <w:tab/>
        <w:t>En cas de mélanome de stade III résécable :</w:t>
      </w:r>
    </w:p>
    <w:p w14:paraId="028C9594" w14:textId="77777777" w:rsidR="00407B8C" w:rsidRPr="00736304" w:rsidRDefault="00407B8C" w:rsidP="00407B8C">
      <w:pPr>
        <w:pStyle w:val="ListParagraph"/>
        <w:numPr>
          <w:ilvl w:val="0"/>
          <w:numId w:val="18"/>
        </w:numPr>
        <w:tabs>
          <w:tab w:val="right" w:pos="9214"/>
        </w:tabs>
        <w:spacing w:after="160" w:line="259" w:lineRule="auto"/>
        <w:rPr>
          <w:lang w:val="fr-FR"/>
        </w:rPr>
      </w:pPr>
      <w:r w:rsidRPr="00736304">
        <w:rPr>
          <w:lang w:val="fr-FR"/>
        </w:rPr>
        <w:t>594296 – 594300 : Analyse du statut mutationnel du gène BRAF V600 en cas de mélanome de stade III résécable</w:t>
      </w:r>
    </w:p>
    <w:p w14:paraId="6652FBDF" w14:textId="77777777" w:rsidR="00407B8C" w:rsidRPr="00736304" w:rsidRDefault="00407B8C" w:rsidP="00407B8C">
      <w:pPr>
        <w:pStyle w:val="ListParagraph"/>
        <w:tabs>
          <w:tab w:val="right" w:pos="9214"/>
        </w:tabs>
        <w:ind w:left="1440"/>
        <w:rPr>
          <w:iCs/>
          <w:lang w:val="fr-FR"/>
        </w:rPr>
      </w:pPr>
    </w:p>
    <w:p w14:paraId="18958131" w14:textId="77777777" w:rsidR="00407B8C" w:rsidRPr="00736304" w:rsidRDefault="00407B8C" w:rsidP="00407B8C">
      <w:pPr>
        <w:tabs>
          <w:tab w:val="right" w:pos="9214"/>
        </w:tabs>
      </w:pPr>
      <w:r w:rsidRPr="00736304">
        <w:t>Règles de cumul :</w:t>
      </w:r>
    </w:p>
    <w:p w14:paraId="3A8A03DA"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BC28DDF"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51C98F62"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3C8E879B"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2F51974" w14:textId="77777777" w:rsidR="00407B8C" w:rsidRPr="00BC3291" w:rsidRDefault="00407B8C" w:rsidP="00407B8C">
      <w:pPr>
        <w:pStyle w:val="ListParagraph"/>
        <w:numPr>
          <w:ilvl w:val="0"/>
          <w:numId w:val="16"/>
        </w:numPr>
        <w:tabs>
          <w:tab w:val="right" w:pos="9214"/>
        </w:tabs>
        <w:spacing w:after="160" w:line="259" w:lineRule="auto"/>
        <w:rPr>
          <w:strike/>
          <w:highlight w:val="yellow"/>
          <w:lang w:val="fr-FR"/>
        </w:rPr>
      </w:pPr>
      <w:r w:rsidRPr="00BC3291">
        <w:rPr>
          <w:strike/>
          <w:highlight w:val="yellow"/>
          <w:lang w:val="fr-FR"/>
        </w:rPr>
        <w:br w:type="page"/>
      </w:r>
    </w:p>
    <w:p w14:paraId="4FDE504E" w14:textId="77777777" w:rsidR="00407B8C" w:rsidRPr="00096D02" w:rsidRDefault="00407B8C" w:rsidP="00A306AE">
      <w:pPr>
        <w:pStyle w:val="Heading3"/>
      </w:pPr>
      <w:bookmarkStart w:id="56" w:name="_Toc167180269"/>
      <w:bookmarkStart w:id="57" w:name="_Toc215211269"/>
      <w:r w:rsidRPr="00096D02">
        <w:lastRenderedPageBreak/>
        <w:t>535452-535463 : RNA-seq pour une prolifération mélanocytaire atypique (MELTUMP, IAMPUS, STUMP, ….)</w:t>
      </w:r>
      <w:bookmarkEnd w:id="56"/>
      <w:bookmarkEnd w:id="57"/>
    </w:p>
    <w:p w14:paraId="1EBBA006" w14:textId="77777777" w:rsidR="00407B8C" w:rsidRPr="00736304" w:rsidRDefault="00407B8C" w:rsidP="00407B8C"/>
    <w:p w14:paraId="1EF6B7EF" w14:textId="77777777" w:rsidR="00407B8C" w:rsidRPr="00736304" w:rsidRDefault="00407B8C" w:rsidP="00407B8C">
      <w:r w:rsidRPr="00736304">
        <w:t>Remboursement : 600 €</w:t>
      </w:r>
    </w:p>
    <w:p w14:paraId="79FB16AD" w14:textId="77777777" w:rsidR="00407B8C" w:rsidRPr="00736304" w:rsidRDefault="00407B8C" w:rsidP="00407B8C"/>
    <w:p w14:paraId="30A1D64C" w14:textId="77777777" w:rsidR="00407B8C" w:rsidRPr="00736304" w:rsidRDefault="00407B8C" w:rsidP="00407B8C">
      <w:pPr>
        <w:rPr>
          <w:rFonts w:ascii="Calibri" w:hAnsi="Calibri" w:cs="Calibri"/>
          <w:bCs/>
        </w:rPr>
      </w:pPr>
      <w:r w:rsidRPr="00736304">
        <w:t xml:space="preserve">Indication: </w:t>
      </w:r>
    </w:p>
    <w:p w14:paraId="4BA6E75E" w14:textId="77777777" w:rsidR="00407B8C" w:rsidRPr="00736304" w:rsidRDefault="00407B8C" w:rsidP="00407B8C">
      <w:pPr>
        <w:pStyle w:val="ListParagraph"/>
        <w:numPr>
          <w:ilvl w:val="0"/>
          <w:numId w:val="18"/>
        </w:numPr>
        <w:spacing w:after="160" w:line="259" w:lineRule="auto"/>
        <w:rPr>
          <w:lang w:val="fr-FR"/>
        </w:rPr>
      </w:pPr>
      <w:r w:rsidRPr="00736304">
        <w:rPr>
          <w:lang w:val="fr-FR"/>
        </w:rPr>
        <w:t>prolifération mélanocytaire atypique (MELTUMP, IAMPUS, STUMP, ….)</w:t>
      </w:r>
    </w:p>
    <w:p w14:paraId="5D06DF1B" w14:textId="77777777" w:rsidR="00407B8C" w:rsidRPr="00736304" w:rsidRDefault="00407B8C" w:rsidP="00407B8C"/>
    <w:p w14:paraId="6BAA0677" w14:textId="77777777" w:rsidR="00407B8C" w:rsidRPr="00736304" w:rsidRDefault="00407B8C" w:rsidP="00407B8C">
      <w:r w:rsidRPr="00736304">
        <w:t>Biomarqueurs minimaux à tester :</w:t>
      </w:r>
    </w:p>
    <w:p w14:paraId="74C70680"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ALK                                                                                                                                                    </w:t>
      </w:r>
      <w:r w:rsidRPr="00736304">
        <w:rPr>
          <w:b/>
          <w:bCs/>
          <w:lang w:val="fr-FR"/>
        </w:rPr>
        <w:t>diagnostic</w:t>
      </w:r>
    </w:p>
    <w:p w14:paraId="125165B2"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RET                                                                                                                                                    </w:t>
      </w:r>
      <w:r w:rsidRPr="00736304">
        <w:rPr>
          <w:b/>
          <w:bCs/>
          <w:lang w:val="fr-FR"/>
        </w:rPr>
        <w:t>diagnostic</w:t>
      </w:r>
    </w:p>
    <w:p w14:paraId="57B7279E"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ROS1                                                                                                                                                 </w:t>
      </w:r>
      <w:r w:rsidRPr="00736304">
        <w:rPr>
          <w:b/>
          <w:bCs/>
          <w:lang w:val="fr-FR"/>
        </w:rPr>
        <w:t>diagnostic</w:t>
      </w:r>
    </w:p>
    <w:p w14:paraId="2877BCF4"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NTRK1                                                                                                                                               </w:t>
      </w:r>
      <w:r w:rsidRPr="00736304">
        <w:rPr>
          <w:b/>
          <w:bCs/>
          <w:lang w:val="fr-FR"/>
        </w:rPr>
        <w:t>diagnostic</w:t>
      </w:r>
    </w:p>
    <w:p w14:paraId="1498AD57"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NTRK3                                                                                                                                               </w:t>
      </w:r>
      <w:r w:rsidRPr="00736304">
        <w:rPr>
          <w:b/>
          <w:bCs/>
          <w:lang w:val="fr-FR"/>
        </w:rPr>
        <w:t>diagnostic</w:t>
      </w:r>
    </w:p>
    <w:p w14:paraId="403EAE22" w14:textId="77777777" w:rsidR="00407B8C" w:rsidRPr="00736304" w:rsidRDefault="00407B8C" w:rsidP="00407B8C">
      <w:pPr>
        <w:tabs>
          <w:tab w:val="right" w:pos="9214"/>
        </w:tabs>
      </w:pPr>
    </w:p>
    <w:p w14:paraId="3FAB2BCA" w14:textId="77777777" w:rsidR="00407B8C" w:rsidRPr="00736304" w:rsidRDefault="00407B8C" w:rsidP="00407B8C">
      <w:pPr>
        <w:tabs>
          <w:tab w:val="right" w:pos="9214"/>
        </w:tabs>
      </w:pPr>
      <w:r w:rsidRPr="00736304">
        <w:t>Enregistrement obligatoire dans PITTER :</w:t>
      </w:r>
    </w:p>
    <w:p w14:paraId="24BBAB44"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4EA62319" w14:textId="77777777" w:rsidR="00407B8C" w:rsidRPr="00736304" w:rsidRDefault="00407B8C" w:rsidP="00407B8C">
      <w:pPr>
        <w:tabs>
          <w:tab w:val="right" w:pos="9214"/>
        </w:tabs>
      </w:pPr>
    </w:p>
    <w:p w14:paraId="569D564A" w14:textId="77777777" w:rsidR="00407B8C" w:rsidRPr="00736304" w:rsidRDefault="00407B8C" w:rsidP="00407B8C">
      <w:pPr>
        <w:tabs>
          <w:tab w:val="right" w:pos="9214"/>
        </w:tabs>
      </w:pPr>
      <w:r w:rsidRPr="00736304">
        <w:t>Règles de cumul :</w:t>
      </w:r>
    </w:p>
    <w:p w14:paraId="6D043769"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5CEB1E0"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758ACC97"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68D7C479"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38994D78" w14:textId="77777777" w:rsidR="00407B8C" w:rsidRPr="00736304" w:rsidRDefault="00407B8C" w:rsidP="00407B8C">
      <w:pPr>
        <w:tabs>
          <w:tab w:val="right" w:pos="9214"/>
        </w:tabs>
      </w:pPr>
    </w:p>
    <w:p w14:paraId="6C3DC391"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18847CC0" w14:textId="77777777" w:rsidR="00407B8C" w:rsidRPr="00096D02" w:rsidRDefault="00407B8C" w:rsidP="00A306AE">
      <w:pPr>
        <w:pStyle w:val="Heading3"/>
      </w:pPr>
      <w:bookmarkStart w:id="58" w:name="_Toc167180270"/>
      <w:bookmarkStart w:id="59" w:name="_Toc215211270"/>
      <w:r w:rsidRPr="00096D02">
        <w:lastRenderedPageBreak/>
        <w:t>535474-535485 : NGS pour un mélanome uvéal</w:t>
      </w:r>
      <w:bookmarkEnd w:id="58"/>
      <w:bookmarkEnd w:id="59"/>
    </w:p>
    <w:p w14:paraId="2DB29AF5" w14:textId="77777777" w:rsidR="00407B8C" w:rsidRPr="00736304" w:rsidRDefault="00407B8C" w:rsidP="00407B8C"/>
    <w:p w14:paraId="37EF6E3D" w14:textId="77777777" w:rsidR="00407B8C" w:rsidRPr="00736304" w:rsidRDefault="00407B8C" w:rsidP="00407B8C">
      <w:r w:rsidRPr="00736304">
        <w:t>Remboursement : 600 €</w:t>
      </w:r>
    </w:p>
    <w:p w14:paraId="7764EDB4" w14:textId="77777777" w:rsidR="00407B8C" w:rsidRPr="00736304" w:rsidRDefault="00407B8C" w:rsidP="00407B8C"/>
    <w:p w14:paraId="76000088" w14:textId="77777777" w:rsidR="00407B8C" w:rsidRPr="00736304" w:rsidRDefault="00407B8C" w:rsidP="00407B8C">
      <w:pPr>
        <w:rPr>
          <w:rFonts w:ascii="Calibri" w:hAnsi="Calibri" w:cs="Calibri"/>
          <w:bCs/>
        </w:rPr>
      </w:pPr>
      <w:r w:rsidRPr="00736304">
        <w:t xml:space="preserve">Indication: </w:t>
      </w:r>
    </w:p>
    <w:p w14:paraId="79216234" w14:textId="77777777" w:rsidR="00407B8C" w:rsidRPr="00736304" w:rsidRDefault="00407B8C" w:rsidP="00407B8C">
      <w:pPr>
        <w:pStyle w:val="ListParagraph"/>
        <w:numPr>
          <w:ilvl w:val="0"/>
          <w:numId w:val="18"/>
        </w:numPr>
        <w:spacing w:after="160" w:line="259" w:lineRule="auto"/>
        <w:rPr>
          <w:lang w:val="fr-FR"/>
        </w:rPr>
      </w:pPr>
      <w:r w:rsidRPr="00736304">
        <w:rPr>
          <w:lang w:val="fr-FR"/>
        </w:rPr>
        <w:t>mélanome uvéal</w:t>
      </w:r>
    </w:p>
    <w:p w14:paraId="10C16E63" w14:textId="77777777" w:rsidR="00407B8C" w:rsidRPr="00736304" w:rsidRDefault="00407B8C" w:rsidP="00407B8C"/>
    <w:p w14:paraId="67B48B6D" w14:textId="77777777" w:rsidR="00407B8C" w:rsidRPr="00736304" w:rsidRDefault="00407B8C" w:rsidP="00407B8C">
      <w:r w:rsidRPr="00736304">
        <w:t>Biomarqueurs minimaux à tester :</w:t>
      </w:r>
    </w:p>
    <w:p w14:paraId="1455CF09" w14:textId="77777777" w:rsidR="00407B8C" w:rsidRPr="00736304" w:rsidRDefault="00407B8C" w:rsidP="00407B8C">
      <w:pPr>
        <w:pStyle w:val="ListParagraph"/>
        <w:numPr>
          <w:ilvl w:val="0"/>
          <w:numId w:val="18"/>
        </w:numPr>
        <w:tabs>
          <w:tab w:val="right" w:pos="9072"/>
        </w:tabs>
        <w:spacing w:after="0" w:line="259" w:lineRule="auto"/>
        <w:rPr>
          <w:lang w:val="fr-FR"/>
        </w:rPr>
      </w:pPr>
      <w:r w:rsidRPr="00736304">
        <w:rPr>
          <w:lang w:val="fr-FR"/>
        </w:rPr>
        <w:t xml:space="preserve">GNAQ (exon 4 (codon 183), exon 5 (codon 209))                              </w:t>
      </w:r>
      <w:r w:rsidRPr="00736304">
        <w:rPr>
          <w:lang w:val="fr-FR"/>
        </w:rPr>
        <w:tab/>
      </w:r>
      <w:r w:rsidRPr="00736304">
        <w:rPr>
          <w:b/>
          <w:bCs/>
          <w:lang w:val="fr-FR"/>
        </w:rPr>
        <w:t>diagnostic</w:t>
      </w:r>
    </w:p>
    <w:p w14:paraId="3AF4381A" w14:textId="77777777" w:rsidR="00407B8C" w:rsidRPr="00736304" w:rsidRDefault="00407B8C" w:rsidP="00407B8C">
      <w:pPr>
        <w:pStyle w:val="ListParagraph"/>
        <w:numPr>
          <w:ilvl w:val="0"/>
          <w:numId w:val="18"/>
        </w:numPr>
        <w:tabs>
          <w:tab w:val="right" w:pos="9072"/>
        </w:tabs>
        <w:spacing w:after="0" w:line="259" w:lineRule="auto"/>
        <w:rPr>
          <w:lang w:val="fr-FR"/>
        </w:rPr>
      </w:pPr>
      <w:r w:rsidRPr="00736304">
        <w:rPr>
          <w:lang w:val="fr-FR"/>
        </w:rPr>
        <w:t xml:space="preserve">GNA11 (exon 4 (codon 183), exon 5 codon 209)                               </w:t>
      </w:r>
      <w:r w:rsidRPr="00736304">
        <w:rPr>
          <w:lang w:val="fr-FR"/>
        </w:rPr>
        <w:tab/>
      </w:r>
      <w:r w:rsidRPr="00736304">
        <w:rPr>
          <w:b/>
          <w:bCs/>
          <w:lang w:val="fr-FR"/>
        </w:rPr>
        <w:t>diagnostic</w:t>
      </w:r>
    </w:p>
    <w:p w14:paraId="46192140" w14:textId="77777777" w:rsidR="00407B8C" w:rsidRPr="00736304" w:rsidRDefault="00407B8C" w:rsidP="00407B8C">
      <w:pPr>
        <w:pStyle w:val="ListParagraph"/>
        <w:numPr>
          <w:ilvl w:val="0"/>
          <w:numId w:val="18"/>
        </w:numPr>
        <w:tabs>
          <w:tab w:val="right" w:pos="9072"/>
        </w:tabs>
        <w:spacing w:after="0" w:line="259" w:lineRule="auto"/>
        <w:rPr>
          <w:lang w:val="fr-FR"/>
        </w:rPr>
      </w:pPr>
      <w:r w:rsidRPr="00736304">
        <w:rPr>
          <w:lang w:val="fr-FR"/>
        </w:rPr>
        <w:t xml:space="preserve">BAP1 (tous les exons codants et les régions de sites de splicing)     </w:t>
      </w:r>
      <w:r w:rsidRPr="00736304">
        <w:rPr>
          <w:lang w:val="fr-FR"/>
        </w:rPr>
        <w:tab/>
      </w:r>
      <w:r w:rsidRPr="00736304">
        <w:rPr>
          <w:b/>
          <w:bCs/>
          <w:lang w:val="fr-FR"/>
        </w:rPr>
        <w:t>pronostic</w:t>
      </w:r>
    </w:p>
    <w:p w14:paraId="4D1D6BFE" w14:textId="77777777" w:rsidR="00407B8C" w:rsidRPr="00736304" w:rsidRDefault="00407B8C" w:rsidP="00407B8C">
      <w:pPr>
        <w:pStyle w:val="ListParagraph"/>
        <w:numPr>
          <w:ilvl w:val="0"/>
          <w:numId w:val="18"/>
        </w:numPr>
        <w:tabs>
          <w:tab w:val="right" w:pos="9072"/>
        </w:tabs>
        <w:spacing w:after="0" w:line="259" w:lineRule="auto"/>
        <w:rPr>
          <w:lang w:val="fr-FR"/>
        </w:rPr>
      </w:pPr>
      <w:r w:rsidRPr="00736304">
        <w:rPr>
          <w:lang w:val="fr-FR"/>
        </w:rPr>
        <w:t xml:space="preserve">EIF1AX (tous les exons codants et les régions de sites de splicing)  </w:t>
      </w:r>
      <w:r w:rsidRPr="00736304">
        <w:rPr>
          <w:lang w:val="fr-FR"/>
        </w:rPr>
        <w:tab/>
      </w:r>
      <w:r w:rsidRPr="00736304">
        <w:rPr>
          <w:b/>
          <w:bCs/>
          <w:lang w:val="fr-FR"/>
        </w:rPr>
        <w:t>pronostic</w:t>
      </w:r>
    </w:p>
    <w:p w14:paraId="7CC4BDA5" w14:textId="77777777" w:rsidR="00407B8C" w:rsidRPr="00736304" w:rsidRDefault="00407B8C" w:rsidP="00407B8C">
      <w:pPr>
        <w:pStyle w:val="ListParagraph"/>
        <w:numPr>
          <w:ilvl w:val="0"/>
          <w:numId w:val="18"/>
        </w:numPr>
        <w:tabs>
          <w:tab w:val="right" w:pos="9072"/>
        </w:tabs>
        <w:spacing w:after="0" w:line="259" w:lineRule="auto"/>
        <w:rPr>
          <w:lang w:val="fr-FR"/>
        </w:rPr>
      </w:pPr>
      <w:r w:rsidRPr="00736304">
        <w:rPr>
          <w:lang w:val="fr-FR"/>
        </w:rPr>
        <w:t>SF3B1 (exon 14, exon 15, exon 16, exon 18)</w:t>
      </w:r>
      <w:r w:rsidRPr="00736304">
        <w:rPr>
          <w:b/>
          <w:bCs/>
          <w:lang w:val="fr-FR"/>
        </w:rPr>
        <w:t xml:space="preserve">                                        </w:t>
      </w:r>
      <w:r w:rsidRPr="00736304">
        <w:rPr>
          <w:b/>
          <w:bCs/>
          <w:lang w:val="fr-FR"/>
        </w:rPr>
        <w:tab/>
        <w:t>pronostic</w:t>
      </w:r>
    </w:p>
    <w:p w14:paraId="22AC62FF" w14:textId="77777777" w:rsidR="00407B8C" w:rsidRPr="00736304" w:rsidRDefault="00407B8C" w:rsidP="00407B8C">
      <w:pPr>
        <w:pStyle w:val="ListParagraph"/>
        <w:tabs>
          <w:tab w:val="left" w:pos="7655"/>
        </w:tabs>
        <w:spacing w:after="0"/>
        <w:rPr>
          <w:lang w:val="fr-FR"/>
        </w:rPr>
      </w:pPr>
    </w:p>
    <w:p w14:paraId="4A5E9472" w14:textId="77777777" w:rsidR="00407B8C" w:rsidRPr="00736304" w:rsidRDefault="00407B8C" w:rsidP="00407B8C">
      <w:pPr>
        <w:tabs>
          <w:tab w:val="right" w:pos="9214"/>
        </w:tabs>
      </w:pPr>
    </w:p>
    <w:p w14:paraId="2971C204" w14:textId="77777777" w:rsidR="00407B8C" w:rsidRPr="00736304" w:rsidRDefault="00407B8C" w:rsidP="00407B8C">
      <w:pPr>
        <w:tabs>
          <w:tab w:val="right" w:pos="9214"/>
        </w:tabs>
      </w:pPr>
      <w:r w:rsidRPr="00736304">
        <w:t>Enregistrement obligatoire dans PITTER :</w:t>
      </w:r>
    </w:p>
    <w:p w14:paraId="0C2CDCD0"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301FC45F" w14:textId="77777777" w:rsidR="00407B8C" w:rsidRPr="00736304" w:rsidRDefault="00407B8C" w:rsidP="00407B8C">
      <w:pPr>
        <w:tabs>
          <w:tab w:val="right" w:pos="9214"/>
        </w:tabs>
      </w:pPr>
    </w:p>
    <w:p w14:paraId="4DBD3BD0" w14:textId="77777777" w:rsidR="00407B8C" w:rsidRPr="00736304" w:rsidRDefault="00407B8C" w:rsidP="00407B8C">
      <w:pPr>
        <w:tabs>
          <w:tab w:val="right" w:pos="9214"/>
        </w:tabs>
      </w:pPr>
      <w:r w:rsidRPr="00736304">
        <w:t>Règles de cumul :</w:t>
      </w:r>
    </w:p>
    <w:p w14:paraId="6FAC897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92220C0"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3D4F3819"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2327E276"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C27985E" w14:textId="77777777" w:rsidR="00407B8C" w:rsidRPr="00736304" w:rsidRDefault="00407B8C" w:rsidP="00407B8C">
      <w:pPr>
        <w:tabs>
          <w:tab w:val="right" w:pos="9214"/>
        </w:tabs>
      </w:pPr>
    </w:p>
    <w:p w14:paraId="260D1D46"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6028D913" w14:textId="77777777" w:rsidR="00407B8C" w:rsidRPr="00096D02" w:rsidRDefault="00407B8C" w:rsidP="00A306AE">
      <w:pPr>
        <w:pStyle w:val="Heading3"/>
      </w:pPr>
      <w:bookmarkStart w:id="60" w:name="_Toc167180271"/>
      <w:bookmarkStart w:id="61" w:name="_Toc215211271"/>
      <w:r w:rsidRPr="00096D02">
        <w:lastRenderedPageBreak/>
        <w:t>535496-535500 : NGS pour un carcinome de la glande salivaire</w:t>
      </w:r>
      <w:bookmarkEnd w:id="60"/>
      <w:bookmarkEnd w:id="61"/>
    </w:p>
    <w:p w14:paraId="1A1C9528" w14:textId="77777777" w:rsidR="00407B8C" w:rsidRPr="00736304" w:rsidRDefault="00407B8C" w:rsidP="00407B8C"/>
    <w:p w14:paraId="5592DE8C" w14:textId="77777777" w:rsidR="00407B8C" w:rsidRPr="00736304" w:rsidRDefault="00407B8C" w:rsidP="00407B8C">
      <w:r w:rsidRPr="00736304">
        <w:t>Remboursement : 600 €</w:t>
      </w:r>
    </w:p>
    <w:p w14:paraId="7E70717B" w14:textId="77777777" w:rsidR="00407B8C" w:rsidRPr="00736304" w:rsidRDefault="00407B8C" w:rsidP="00407B8C"/>
    <w:p w14:paraId="3ABE669B" w14:textId="77777777" w:rsidR="00407B8C" w:rsidRPr="00736304" w:rsidRDefault="00407B8C" w:rsidP="00407B8C">
      <w:pPr>
        <w:rPr>
          <w:rFonts w:ascii="Calibri" w:hAnsi="Calibri" w:cs="Calibri"/>
          <w:bCs/>
        </w:rPr>
      </w:pPr>
      <w:r w:rsidRPr="00736304">
        <w:t xml:space="preserve">Indication: </w:t>
      </w:r>
    </w:p>
    <w:p w14:paraId="357329F1" w14:textId="77777777" w:rsidR="00407B8C" w:rsidRPr="00736304" w:rsidRDefault="00407B8C" w:rsidP="00407B8C">
      <w:pPr>
        <w:pStyle w:val="ListParagraph"/>
        <w:numPr>
          <w:ilvl w:val="0"/>
          <w:numId w:val="18"/>
        </w:numPr>
        <w:spacing w:after="160" w:line="259" w:lineRule="auto"/>
        <w:rPr>
          <w:lang w:val="fr-FR"/>
        </w:rPr>
      </w:pPr>
      <w:r w:rsidRPr="00736304">
        <w:rPr>
          <w:lang w:val="fr-FR"/>
        </w:rPr>
        <w:t xml:space="preserve">Pour la confirmation d'un diagnostic en cas de suspicion de tumeurs de la glande salivaire spécifiques </w:t>
      </w:r>
    </w:p>
    <w:p w14:paraId="1E1CD007" w14:textId="77777777" w:rsidR="00407B8C" w:rsidRPr="00736304" w:rsidRDefault="00407B8C" w:rsidP="00407B8C">
      <w:pPr>
        <w:pStyle w:val="ListParagraph"/>
        <w:numPr>
          <w:ilvl w:val="1"/>
          <w:numId w:val="18"/>
        </w:numPr>
        <w:spacing w:after="160" w:line="259" w:lineRule="auto"/>
        <w:rPr>
          <w:lang w:val="fr-FR"/>
        </w:rPr>
      </w:pPr>
      <w:r w:rsidRPr="00736304">
        <w:rPr>
          <w:lang w:val="fr-FR"/>
        </w:rPr>
        <w:t xml:space="preserve">carcinome du canal salivaire </w:t>
      </w:r>
    </w:p>
    <w:p w14:paraId="52656F57" w14:textId="77777777" w:rsidR="00407B8C" w:rsidRPr="00736304" w:rsidRDefault="00407B8C" w:rsidP="00407B8C">
      <w:pPr>
        <w:pStyle w:val="ListParagraph"/>
        <w:numPr>
          <w:ilvl w:val="1"/>
          <w:numId w:val="18"/>
        </w:numPr>
        <w:spacing w:after="160" w:line="259" w:lineRule="auto"/>
        <w:rPr>
          <w:lang w:val="fr-FR"/>
        </w:rPr>
      </w:pPr>
      <w:r w:rsidRPr="00736304">
        <w:rPr>
          <w:rFonts w:ascii="Calibri" w:hAnsi="Calibri" w:cs="Calibri"/>
          <w:lang w:val="fr-FR"/>
        </w:rPr>
        <w:t>carcinome adénoïde kystique</w:t>
      </w:r>
    </w:p>
    <w:p w14:paraId="186D2B6F"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carcinome epithélial-myoépithélial</w:t>
      </w:r>
    </w:p>
    <w:p w14:paraId="2F27F819"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carcinome mucoépidermoïde</w:t>
      </w:r>
    </w:p>
    <w:p w14:paraId="2B65A875" w14:textId="77777777" w:rsidR="00407B8C" w:rsidRPr="00736304" w:rsidRDefault="00407B8C" w:rsidP="00407B8C"/>
    <w:p w14:paraId="75FC4E04" w14:textId="77777777" w:rsidR="00407B8C" w:rsidRPr="00736304" w:rsidRDefault="00407B8C" w:rsidP="00407B8C">
      <w:r w:rsidRPr="00736304">
        <w:t>Biomarqueurs minimaux à tester :</w:t>
      </w:r>
    </w:p>
    <w:p w14:paraId="6B49F486"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Liste de gènes </w:t>
      </w:r>
      <w:r w:rsidRPr="00F277F5">
        <w:rPr>
          <w:b/>
          <w:bCs/>
          <w:lang w:val="fr-FR"/>
        </w:rPr>
        <w:t>diagnostiques</w:t>
      </w:r>
      <w:r w:rsidRPr="00736304">
        <w:rPr>
          <w:lang w:val="fr-FR"/>
        </w:rPr>
        <w:t xml:space="preserve"> du WHO                                                                               </w:t>
      </w:r>
    </w:p>
    <w:p w14:paraId="0F36A94D" w14:textId="77777777" w:rsidR="00407B8C" w:rsidRPr="00736304" w:rsidRDefault="00407B8C" w:rsidP="00407B8C">
      <w:pPr>
        <w:tabs>
          <w:tab w:val="right" w:pos="9214"/>
        </w:tabs>
      </w:pPr>
    </w:p>
    <w:p w14:paraId="3F09A2C0" w14:textId="77777777" w:rsidR="00407B8C" w:rsidRPr="00736304" w:rsidRDefault="00407B8C" w:rsidP="00407B8C">
      <w:pPr>
        <w:tabs>
          <w:tab w:val="right" w:pos="9214"/>
        </w:tabs>
      </w:pPr>
      <w:r w:rsidRPr="00736304">
        <w:t>Enregistrement obligatoire dans PITTER :</w:t>
      </w:r>
    </w:p>
    <w:p w14:paraId="6FB566EE"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1D3AA7BB" w14:textId="77777777" w:rsidR="00407B8C" w:rsidRPr="00736304" w:rsidRDefault="00407B8C" w:rsidP="00407B8C">
      <w:pPr>
        <w:tabs>
          <w:tab w:val="right" w:pos="9214"/>
        </w:tabs>
      </w:pPr>
    </w:p>
    <w:p w14:paraId="6E4180BB" w14:textId="77777777" w:rsidR="00407B8C" w:rsidRPr="00736304" w:rsidRDefault="00407B8C" w:rsidP="00407B8C">
      <w:pPr>
        <w:tabs>
          <w:tab w:val="right" w:pos="9214"/>
        </w:tabs>
      </w:pPr>
      <w:r w:rsidRPr="00736304">
        <w:t>Règles de cumul :</w:t>
      </w:r>
    </w:p>
    <w:p w14:paraId="61F470EE"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99D42FC"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211FA64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563B890D"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5059096"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0188B4AB" w14:textId="77777777" w:rsidR="00407B8C" w:rsidRPr="00736304" w:rsidRDefault="00407B8C" w:rsidP="00407B8C">
      <w:pPr>
        <w:tabs>
          <w:tab w:val="right" w:pos="9214"/>
        </w:tabs>
      </w:pPr>
    </w:p>
    <w:p w14:paraId="7487C65B"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17D180C8" w14:textId="77777777" w:rsidR="00407B8C" w:rsidRPr="00096D02" w:rsidRDefault="00407B8C" w:rsidP="00A306AE">
      <w:pPr>
        <w:pStyle w:val="Heading3"/>
      </w:pPr>
      <w:bookmarkStart w:id="62" w:name="_Toc167180272"/>
      <w:bookmarkStart w:id="63" w:name="_Toc215211272"/>
      <w:r w:rsidRPr="00096D02">
        <w:lastRenderedPageBreak/>
        <w:t>535511-535522 : RNA-seq pour un carcinome de la glande salivaire</w:t>
      </w:r>
      <w:bookmarkEnd w:id="62"/>
      <w:bookmarkEnd w:id="63"/>
    </w:p>
    <w:p w14:paraId="5B463113" w14:textId="77777777" w:rsidR="00407B8C" w:rsidRPr="00736304" w:rsidRDefault="00407B8C" w:rsidP="00407B8C"/>
    <w:p w14:paraId="2ED59D7D" w14:textId="77777777" w:rsidR="00407B8C" w:rsidRPr="00736304" w:rsidRDefault="00407B8C" w:rsidP="00407B8C">
      <w:r w:rsidRPr="00736304">
        <w:t>Remboursement : 600 €</w:t>
      </w:r>
    </w:p>
    <w:p w14:paraId="54079A5A" w14:textId="77777777" w:rsidR="00407B8C" w:rsidRPr="00736304" w:rsidRDefault="00407B8C" w:rsidP="00407B8C">
      <w:pPr>
        <w:rPr>
          <w:rFonts w:ascii="Calibri" w:hAnsi="Calibri" w:cs="Calibri"/>
          <w:bCs/>
        </w:rPr>
      </w:pPr>
      <w:r w:rsidRPr="00736304">
        <w:t xml:space="preserve">Indication: </w:t>
      </w:r>
    </w:p>
    <w:p w14:paraId="42B955A6" w14:textId="6D96ECB9" w:rsidR="00407B8C" w:rsidRPr="00736304" w:rsidRDefault="00407B8C" w:rsidP="00407B8C">
      <w:pPr>
        <w:pStyle w:val="ListParagraph"/>
        <w:numPr>
          <w:ilvl w:val="0"/>
          <w:numId w:val="18"/>
        </w:numPr>
        <w:spacing w:after="160" w:line="259" w:lineRule="auto"/>
        <w:rPr>
          <w:lang w:val="fr-FR"/>
        </w:rPr>
      </w:pPr>
      <w:r w:rsidRPr="00736304">
        <w:rPr>
          <w:lang w:val="fr-FR"/>
        </w:rPr>
        <w:t xml:space="preserve">Pour la confirmation d'un diagnostic en cas de suspicion de </w:t>
      </w:r>
      <w:r w:rsidR="00994D51">
        <w:rPr>
          <w:lang w:val="fr-FR"/>
        </w:rPr>
        <w:t>carcinome</w:t>
      </w:r>
      <w:r w:rsidRPr="00736304">
        <w:rPr>
          <w:lang w:val="fr-FR"/>
        </w:rPr>
        <w:t xml:space="preserve"> de la glande salivaire spécifiques :</w:t>
      </w:r>
    </w:p>
    <w:p w14:paraId="6BA91274" w14:textId="049E255F" w:rsidR="00C24C5B" w:rsidRDefault="00C24C5B" w:rsidP="00407B8C">
      <w:pPr>
        <w:pStyle w:val="ListParagraph"/>
        <w:numPr>
          <w:ilvl w:val="1"/>
          <w:numId w:val="18"/>
        </w:numPr>
        <w:spacing w:after="160" w:line="259" w:lineRule="auto"/>
        <w:rPr>
          <w:lang w:val="fr-FR"/>
        </w:rPr>
      </w:pPr>
      <w:r w:rsidRPr="00C24C5B">
        <w:rPr>
          <w:lang w:val="fr-FR"/>
        </w:rPr>
        <w:t>carcinome de la glande salivaire métastatique</w:t>
      </w:r>
    </w:p>
    <w:p w14:paraId="5B178ACF" w14:textId="53C5F085" w:rsidR="00407B8C" w:rsidRPr="00736304" w:rsidRDefault="00407B8C" w:rsidP="00407B8C">
      <w:pPr>
        <w:pStyle w:val="ListParagraph"/>
        <w:numPr>
          <w:ilvl w:val="1"/>
          <w:numId w:val="18"/>
        </w:numPr>
        <w:spacing w:after="160" w:line="259" w:lineRule="auto"/>
        <w:rPr>
          <w:lang w:val="fr-FR"/>
        </w:rPr>
      </w:pPr>
      <w:r w:rsidRPr="00736304">
        <w:rPr>
          <w:lang w:val="fr-FR"/>
        </w:rPr>
        <w:t>carcinome à cellules acineuses</w:t>
      </w:r>
    </w:p>
    <w:p w14:paraId="3135084F" w14:textId="77777777" w:rsidR="00407B8C" w:rsidRPr="00736304" w:rsidRDefault="00407B8C" w:rsidP="00407B8C">
      <w:pPr>
        <w:pStyle w:val="ListParagraph"/>
        <w:numPr>
          <w:ilvl w:val="1"/>
          <w:numId w:val="18"/>
        </w:numPr>
        <w:spacing w:after="160" w:line="259" w:lineRule="auto"/>
        <w:rPr>
          <w:lang w:val="fr-FR"/>
        </w:rPr>
      </w:pPr>
      <w:r w:rsidRPr="00736304">
        <w:rPr>
          <w:lang w:val="fr-FR"/>
        </w:rPr>
        <w:t xml:space="preserve">carcinome adénoïde kystique </w:t>
      </w:r>
    </w:p>
    <w:p w14:paraId="5A8C81C2" w14:textId="77777777" w:rsidR="00407B8C" w:rsidRPr="00736304" w:rsidRDefault="00407B8C" w:rsidP="00407B8C">
      <w:pPr>
        <w:pStyle w:val="ListParagraph"/>
        <w:numPr>
          <w:ilvl w:val="1"/>
          <w:numId w:val="18"/>
        </w:numPr>
        <w:spacing w:after="160" w:line="259" w:lineRule="auto"/>
        <w:rPr>
          <w:lang w:val="fr-FR"/>
        </w:rPr>
      </w:pPr>
      <w:r w:rsidRPr="00736304">
        <w:rPr>
          <w:lang w:val="fr-FR"/>
        </w:rPr>
        <w:t xml:space="preserve">carcinome ex-adénome pléomorphe </w:t>
      </w:r>
    </w:p>
    <w:p w14:paraId="5B5ADF1E"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carcinome hyalinisant à cellules claires</w:t>
      </w:r>
    </w:p>
    <w:p w14:paraId="482E7477" w14:textId="77777777" w:rsidR="00407B8C" w:rsidRPr="00736304" w:rsidRDefault="00407B8C" w:rsidP="00407B8C">
      <w:pPr>
        <w:pStyle w:val="ListParagraph"/>
        <w:numPr>
          <w:ilvl w:val="1"/>
          <w:numId w:val="18"/>
        </w:numPr>
        <w:spacing w:after="160" w:line="259" w:lineRule="auto"/>
        <w:rPr>
          <w:lang w:val="fr-FR"/>
        </w:rPr>
      </w:pPr>
      <w:r w:rsidRPr="00736304">
        <w:rPr>
          <w:lang w:val="fr-FR"/>
        </w:rPr>
        <w:t xml:space="preserve">carcinome intraductal </w:t>
      </w:r>
    </w:p>
    <w:p w14:paraId="3936C8A8"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adénocarcinome microsécretoire</w:t>
      </w:r>
    </w:p>
    <w:p w14:paraId="05BC9D31"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carcinome mucoépidermoïde</w:t>
      </w:r>
    </w:p>
    <w:p w14:paraId="2FE71135" w14:textId="77777777" w:rsidR="00407B8C" w:rsidRPr="00736304" w:rsidRDefault="00407B8C" w:rsidP="00407B8C">
      <w:pPr>
        <w:pStyle w:val="ListParagraph"/>
        <w:numPr>
          <w:ilvl w:val="1"/>
          <w:numId w:val="18"/>
        </w:numPr>
        <w:spacing w:after="160" w:line="259" w:lineRule="auto"/>
        <w:rPr>
          <w:lang w:val="fr-FR"/>
        </w:rPr>
      </w:pPr>
      <w:r w:rsidRPr="00736304">
        <w:rPr>
          <w:rFonts w:ascii="Calibri" w:eastAsia="Times New Roman" w:hAnsi="Calibri" w:cs="Calibri"/>
          <w:lang w:val="fr-FR" w:eastAsia="nl-BE"/>
        </w:rPr>
        <w:t>carcinome myoépithélial</w:t>
      </w:r>
    </w:p>
    <w:p w14:paraId="4E8BDEC4" w14:textId="77777777" w:rsidR="00407B8C" w:rsidRPr="00736304" w:rsidRDefault="00407B8C" w:rsidP="00407B8C">
      <w:pPr>
        <w:pStyle w:val="ListParagraph"/>
        <w:numPr>
          <w:ilvl w:val="1"/>
          <w:numId w:val="18"/>
        </w:numPr>
        <w:spacing w:after="160" w:line="259" w:lineRule="auto"/>
        <w:rPr>
          <w:lang w:val="fr-FR"/>
        </w:rPr>
      </w:pPr>
      <w:r w:rsidRPr="00736304">
        <w:rPr>
          <w:lang w:val="fr-FR"/>
        </w:rPr>
        <w:t xml:space="preserve">adénocarcinome polymorphe </w:t>
      </w:r>
    </w:p>
    <w:p w14:paraId="66EDEE1A" w14:textId="77777777" w:rsidR="00407B8C" w:rsidRPr="00736304" w:rsidRDefault="00407B8C" w:rsidP="00407B8C">
      <w:pPr>
        <w:pStyle w:val="ListParagraph"/>
        <w:numPr>
          <w:ilvl w:val="1"/>
          <w:numId w:val="18"/>
        </w:numPr>
        <w:spacing w:after="160" w:line="259" w:lineRule="auto"/>
        <w:rPr>
          <w:lang w:val="fr-FR"/>
        </w:rPr>
      </w:pPr>
      <w:r w:rsidRPr="00736304">
        <w:rPr>
          <w:lang w:val="fr-FR"/>
        </w:rPr>
        <w:t>carcinome du canal salivaire</w:t>
      </w:r>
    </w:p>
    <w:p w14:paraId="79C1EF88" w14:textId="4466F505" w:rsidR="00407B8C" w:rsidRPr="00C24C5B" w:rsidRDefault="00407B8C" w:rsidP="00C24C5B">
      <w:pPr>
        <w:pStyle w:val="ListParagraph"/>
        <w:numPr>
          <w:ilvl w:val="1"/>
          <w:numId w:val="18"/>
        </w:numPr>
        <w:spacing w:after="160" w:line="259" w:lineRule="auto"/>
      </w:pPr>
      <w:r w:rsidRPr="00736304">
        <w:rPr>
          <w:lang w:val="fr-FR"/>
        </w:rPr>
        <w:t xml:space="preserve">carcinome salivaire sécrétoire </w:t>
      </w:r>
    </w:p>
    <w:p w14:paraId="200F2793" w14:textId="77777777" w:rsidR="00407B8C" w:rsidRPr="00736304" w:rsidRDefault="00407B8C" w:rsidP="00407B8C">
      <w:pPr>
        <w:pStyle w:val="ListParagraph"/>
        <w:ind w:left="1440"/>
        <w:rPr>
          <w:lang w:val="fr-FR"/>
        </w:rPr>
      </w:pPr>
    </w:p>
    <w:p w14:paraId="006DECED" w14:textId="77777777" w:rsidR="00407B8C" w:rsidRPr="00736304" w:rsidRDefault="00407B8C" w:rsidP="00407B8C">
      <w:r w:rsidRPr="00736304">
        <w:t>Biomarqueurs minimaux à tester :</w:t>
      </w:r>
    </w:p>
    <w:p w14:paraId="1426EE42" w14:textId="77777777" w:rsidR="00407B8C" w:rsidRPr="00736304" w:rsidRDefault="00407B8C" w:rsidP="00407B8C">
      <w:pPr>
        <w:pStyle w:val="ListParagraph"/>
        <w:numPr>
          <w:ilvl w:val="0"/>
          <w:numId w:val="18"/>
        </w:numPr>
        <w:spacing w:after="160" w:line="259" w:lineRule="auto"/>
        <w:rPr>
          <w:lang w:val="fr-FR"/>
        </w:rPr>
      </w:pPr>
      <w:r w:rsidRPr="00736304">
        <w:rPr>
          <w:lang w:val="fr-FR"/>
        </w:rPr>
        <w:t xml:space="preserve">Liste de gènes </w:t>
      </w:r>
      <w:r w:rsidRPr="00961D74">
        <w:rPr>
          <w:b/>
          <w:bCs/>
          <w:lang w:val="fr-FR"/>
        </w:rPr>
        <w:t>diagnostiques</w:t>
      </w:r>
      <w:r>
        <w:rPr>
          <w:lang w:val="fr-FR"/>
        </w:rPr>
        <w:t xml:space="preserve"> </w:t>
      </w:r>
      <w:r w:rsidRPr="00736304">
        <w:rPr>
          <w:lang w:val="fr-FR"/>
        </w:rPr>
        <w:t xml:space="preserve">du WHO                                                                               </w:t>
      </w:r>
    </w:p>
    <w:p w14:paraId="348F0942" w14:textId="77777777" w:rsidR="00407B8C" w:rsidRPr="00736304" w:rsidRDefault="00407B8C" w:rsidP="00407B8C">
      <w:pPr>
        <w:tabs>
          <w:tab w:val="right" w:pos="9214"/>
        </w:tabs>
      </w:pPr>
    </w:p>
    <w:p w14:paraId="6E62FF8E" w14:textId="77777777" w:rsidR="00407B8C" w:rsidRPr="00736304" w:rsidRDefault="00407B8C" w:rsidP="00407B8C">
      <w:pPr>
        <w:tabs>
          <w:tab w:val="right" w:pos="9214"/>
        </w:tabs>
      </w:pPr>
      <w:r w:rsidRPr="00736304">
        <w:t>Enregistrement obligatoire dans PITTER :</w:t>
      </w:r>
    </w:p>
    <w:p w14:paraId="66F2D339"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0C9E11D8" w14:textId="77777777" w:rsidR="00407B8C" w:rsidRPr="00736304" w:rsidRDefault="00407B8C" w:rsidP="00407B8C">
      <w:pPr>
        <w:tabs>
          <w:tab w:val="right" w:pos="9214"/>
        </w:tabs>
      </w:pPr>
    </w:p>
    <w:p w14:paraId="271F40AB" w14:textId="77777777" w:rsidR="00407B8C" w:rsidRPr="00736304" w:rsidRDefault="00407B8C" w:rsidP="00407B8C">
      <w:pPr>
        <w:tabs>
          <w:tab w:val="right" w:pos="9214"/>
        </w:tabs>
      </w:pPr>
      <w:r w:rsidRPr="00736304">
        <w:t>Règles de cumul :</w:t>
      </w:r>
    </w:p>
    <w:p w14:paraId="7500B89C"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37B7265E"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0847BAFE"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2DD69C1"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32EF5E4"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lastRenderedPageBreak/>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r w:rsidRPr="00736304">
        <w:rPr>
          <w:lang w:val="fr-FR"/>
        </w:rPr>
        <w:br w:type="page"/>
      </w:r>
    </w:p>
    <w:p w14:paraId="7B9C116D" w14:textId="77777777" w:rsidR="00407B8C" w:rsidRPr="00096D02" w:rsidRDefault="00407B8C" w:rsidP="00A306AE">
      <w:pPr>
        <w:pStyle w:val="Heading3"/>
      </w:pPr>
      <w:bookmarkStart w:id="64" w:name="_Toc167180273"/>
      <w:bookmarkStart w:id="65" w:name="_Toc215211273"/>
      <w:r w:rsidRPr="00096D02">
        <w:lastRenderedPageBreak/>
        <w:t xml:space="preserve">535533-535544 : NGS pour un </w:t>
      </w:r>
      <w:bookmarkStart w:id="66" w:name="_Hlk150267099"/>
      <w:r w:rsidRPr="00096D02">
        <w:t>carcinome rénal défini moléculairement</w:t>
      </w:r>
      <w:bookmarkEnd w:id="64"/>
      <w:bookmarkEnd w:id="65"/>
    </w:p>
    <w:bookmarkEnd w:id="66"/>
    <w:p w14:paraId="2D558E7E" w14:textId="77777777" w:rsidR="00407B8C" w:rsidRPr="00736304" w:rsidRDefault="00407B8C" w:rsidP="00407B8C"/>
    <w:p w14:paraId="4648300B" w14:textId="77777777" w:rsidR="00407B8C" w:rsidRPr="00736304" w:rsidRDefault="00407B8C" w:rsidP="00407B8C">
      <w:r w:rsidRPr="00736304">
        <w:t>Remboursement : 600 €</w:t>
      </w:r>
    </w:p>
    <w:p w14:paraId="5A67FFA5" w14:textId="77777777" w:rsidR="00407B8C" w:rsidRPr="00736304" w:rsidRDefault="00407B8C" w:rsidP="00407B8C">
      <w:pPr>
        <w:rPr>
          <w:rFonts w:ascii="Calibri" w:hAnsi="Calibri" w:cs="Calibri"/>
          <w:bCs/>
        </w:rPr>
      </w:pPr>
      <w:r w:rsidRPr="00736304">
        <w:t xml:space="preserve">Indication: </w:t>
      </w:r>
    </w:p>
    <w:p w14:paraId="62C73B20" w14:textId="77777777" w:rsidR="00407B8C" w:rsidRPr="00736304" w:rsidRDefault="00407B8C" w:rsidP="00407B8C">
      <w:pPr>
        <w:pStyle w:val="ListParagraph"/>
        <w:numPr>
          <w:ilvl w:val="0"/>
          <w:numId w:val="18"/>
        </w:numPr>
        <w:spacing w:after="160" w:line="259" w:lineRule="auto"/>
        <w:rPr>
          <w:lang w:val="fr-FR"/>
        </w:rPr>
      </w:pPr>
      <w:r w:rsidRPr="00736304">
        <w:rPr>
          <w:lang w:val="fr-FR"/>
        </w:rPr>
        <w:t>carcinome rénal défini moléculairement</w:t>
      </w:r>
    </w:p>
    <w:p w14:paraId="103420D5" w14:textId="77777777" w:rsidR="00407B8C" w:rsidRPr="00736304" w:rsidRDefault="00407B8C" w:rsidP="00407B8C"/>
    <w:p w14:paraId="3ADC3590" w14:textId="77777777" w:rsidR="00407B8C" w:rsidRPr="00736304" w:rsidRDefault="00407B8C" w:rsidP="00407B8C">
      <w:r w:rsidRPr="00736304">
        <w:t>Biomarqueurs minimaux à tester :</w:t>
      </w:r>
    </w:p>
    <w:p w14:paraId="2CFFB945"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ELOC (tous les exons codants et les régions de sites de splicing)                </w:t>
      </w:r>
      <w:r w:rsidRPr="00736304">
        <w:rPr>
          <w:b/>
          <w:bCs/>
          <w:lang w:val="fr-FR"/>
        </w:rPr>
        <w:t>diagnostic</w:t>
      </w:r>
    </w:p>
    <w:p w14:paraId="69734B61"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VHL (tous les exons codants et les régions de sites de splicing)                  </w:t>
      </w:r>
      <w:r w:rsidRPr="00736304">
        <w:rPr>
          <w:b/>
          <w:bCs/>
          <w:lang w:val="fr-FR"/>
        </w:rPr>
        <w:t>diagnostic</w:t>
      </w:r>
    </w:p>
    <w:p w14:paraId="071FB4BD" w14:textId="77777777" w:rsidR="00407B8C" w:rsidRPr="00736304" w:rsidRDefault="00407B8C" w:rsidP="00407B8C">
      <w:pPr>
        <w:pStyle w:val="ListParagraph"/>
        <w:numPr>
          <w:ilvl w:val="0"/>
          <w:numId w:val="18"/>
        </w:numPr>
        <w:spacing w:after="160" w:line="259" w:lineRule="auto"/>
        <w:rPr>
          <w:lang w:val="fr-FR"/>
        </w:rPr>
      </w:pPr>
      <w:r w:rsidRPr="00736304">
        <w:rPr>
          <w:lang w:val="fr-FR"/>
        </w:rPr>
        <w:t xml:space="preserve">SMARCB1 (tous les exons codants et les régions de sites de splicing)        </w:t>
      </w:r>
      <w:r w:rsidRPr="00736304">
        <w:rPr>
          <w:b/>
          <w:bCs/>
          <w:lang w:val="fr-FR"/>
        </w:rPr>
        <w:t>diagnostic</w:t>
      </w:r>
    </w:p>
    <w:p w14:paraId="66656ABC" w14:textId="77777777" w:rsidR="00407B8C" w:rsidRPr="00736304" w:rsidRDefault="00407B8C" w:rsidP="00407B8C"/>
    <w:p w14:paraId="5BBC915A" w14:textId="77777777" w:rsidR="00407B8C" w:rsidRPr="00736304" w:rsidRDefault="00407B8C" w:rsidP="00407B8C">
      <w:r w:rsidRPr="00736304">
        <w:t>Enregistrement obligatoire dans PITTER :</w:t>
      </w:r>
    </w:p>
    <w:p w14:paraId="6C21087A"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4A4F27E8" w14:textId="77777777" w:rsidR="00407B8C" w:rsidRPr="00736304" w:rsidRDefault="00407B8C" w:rsidP="00407B8C">
      <w:pPr>
        <w:tabs>
          <w:tab w:val="right" w:pos="9214"/>
        </w:tabs>
      </w:pPr>
    </w:p>
    <w:p w14:paraId="59BAC539" w14:textId="77777777" w:rsidR="00407B8C" w:rsidRPr="00736304" w:rsidRDefault="00407B8C" w:rsidP="00407B8C">
      <w:pPr>
        <w:tabs>
          <w:tab w:val="right" w:pos="9214"/>
        </w:tabs>
      </w:pPr>
      <w:r w:rsidRPr="00736304">
        <w:t>Règles de cumul :</w:t>
      </w:r>
    </w:p>
    <w:p w14:paraId="6D2D02A8"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72CBD6E5"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110016BD"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B751AC4"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66909D54" w14:textId="77777777" w:rsidR="00407B8C" w:rsidRPr="00736304" w:rsidRDefault="00407B8C" w:rsidP="00407B8C">
      <w:pPr>
        <w:tabs>
          <w:tab w:val="right" w:pos="9214"/>
        </w:tabs>
      </w:pPr>
    </w:p>
    <w:p w14:paraId="54F08E55" w14:textId="77777777" w:rsidR="00407B8C" w:rsidRPr="00736304" w:rsidRDefault="00407B8C" w:rsidP="00407B8C">
      <w:pPr>
        <w:rPr>
          <w:rFonts w:asciiTheme="majorHAnsi" w:eastAsiaTheme="majorEastAsia" w:hAnsiTheme="majorHAnsi" w:cstheme="majorBidi"/>
          <w:color w:val="365F91" w:themeColor="accent1" w:themeShade="BF"/>
          <w:sz w:val="26"/>
          <w:szCs w:val="26"/>
        </w:rPr>
      </w:pPr>
      <w:r w:rsidRPr="00736304">
        <w:br w:type="page"/>
      </w:r>
    </w:p>
    <w:p w14:paraId="2B914585" w14:textId="77777777" w:rsidR="00407B8C" w:rsidRPr="00096D02" w:rsidRDefault="00407B8C" w:rsidP="00A306AE">
      <w:pPr>
        <w:pStyle w:val="Heading3"/>
      </w:pPr>
      <w:bookmarkStart w:id="67" w:name="_Toc167180274"/>
      <w:bookmarkStart w:id="68" w:name="_Toc215211274"/>
      <w:r w:rsidRPr="00096D02">
        <w:lastRenderedPageBreak/>
        <w:t>535555-535566 : RNA-seq pour un carcinome rénal défini moléculairement</w:t>
      </w:r>
      <w:bookmarkEnd w:id="67"/>
      <w:bookmarkEnd w:id="68"/>
    </w:p>
    <w:p w14:paraId="7F24D5B5" w14:textId="77777777" w:rsidR="00407B8C" w:rsidRPr="00736304" w:rsidRDefault="00407B8C" w:rsidP="00407B8C"/>
    <w:p w14:paraId="43276B27" w14:textId="77777777" w:rsidR="00407B8C" w:rsidRPr="00736304" w:rsidRDefault="00407B8C" w:rsidP="00407B8C">
      <w:r w:rsidRPr="00736304">
        <w:t>Remboursement : 600 €</w:t>
      </w:r>
    </w:p>
    <w:p w14:paraId="5A468E4F" w14:textId="77777777" w:rsidR="00407B8C" w:rsidRPr="00736304" w:rsidRDefault="00407B8C" w:rsidP="00407B8C">
      <w:pPr>
        <w:rPr>
          <w:rFonts w:ascii="Calibri" w:hAnsi="Calibri" w:cs="Calibri"/>
          <w:bCs/>
        </w:rPr>
      </w:pPr>
      <w:r w:rsidRPr="00736304">
        <w:t xml:space="preserve">Indication: </w:t>
      </w:r>
    </w:p>
    <w:p w14:paraId="5FCE500D" w14:textId="77777777" w:rsidR="00407B8C" w:rsidRPr="00736304" w:rsidRDefault="00407B8C" w:rsidP="00407B8C">
      <w:pPr>
        <w:pStyle w:val="ListParagraph"/>
        <w:numPr>
          <w:ilvl w:val="0"/>
          <w:numId w:val="18"/>
        </w:numPr>
        <w:spacing w:after="160" w:line="259" w:lineRule="auto"/>
        <w:rPr>
          <w:lang w:val="fr-FR"/>
        </w:rPr>
      </w:pPr>
      <w:r w:rsidRPr="00736304">
        <w:rPr>
          <w:lang w:val="fr-FR"/>
        </w:rPr>
        <w:t>carcinome rénal défini moléculairement</w:t>
      </w:r>
    </w:p>
    <w:p w14:paraId="08E1FD62" w14:textId="77777777" w:rsidR="00407B8C" w:rsidRPr="00736304" w:rsidRDefault="00407B8C" w:rsidP="00407B8C"/>
    <w:p w14:paraId="60C25957" w14:textId="77777777" w:rsidR="00407B8C" w:rsidRPr="00736304" w:rsidRDefault="00407B8C" w:rsidP="00407B8C">
      <w:r w:rsidRPr="00736304">
        <w:t>Biomarqueurs minimaux à tester :</w:t>
      </w:r>
    </w:p>
    <w:p w14:paraId="1AEA360D" w14:textId="77777777" w:rsidR="00407B8C" w:rsidRPr="00736304" w:rsidRDefault="00407B8C" w:rsidP="00407B8C">
      <w:pPr>
        <w:tabs>
          <w:tab w:val="left" w:pos="7655"/>
        </w:tabs>
        <w:spacing w:after="0"/>
        <w:ind w:left="360"/>
      </w:pPr>
      <w:r w:rsidRPr="00736304">
        <w:t>Recherche des fusions ou réarrangements impliquant les gènes suivants:</w:t>
      </w:r>
    </w:p>
    <w:p w14:paraId="2628433A"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TFE3                                                                                                                                         </w:t>
      </w:r>
      <w:r w:rsidRPr="00736304">
        <w:rPr>
          <w:b/>
          <w:bCs/>
          <w:lang w:val="fr-FR"/>
        </w:rPr>
        <w:t>diagnostic</w:t>
      </w:r>
    </w:p>
    <w:p w14:paraId="71A7CBE1"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 xml:space="preserve">TFEB                                                                                                                                         </w:t>
      </w:r>
      <w:r w:rsidRPr="00736304">
        <w:rPr>
          <w:b/>
          <w:bCs/>
          <w:lang w:val="fr-FR"/>
        </w:rPr>
        <w:t>diagnostic</w:t>
      </w:r>
    </w:p>
    <w:p w14:paraId="4D455F56" w14:textId="77777777" w:rsidR="00407B8C" w:rsidRPr="00736304" w:rsidRDefault="00407B8C" w:rsidP="00407B8C">
      <w:pPr>
        <w:pStyle w:val="ListParagraph"/>
        <w:numPr>
          <w:ilvl w:val="0"/>
          <w:numId w:val="18"/>
        </w:numPr>
        <w:tabs>
          <w:tab w:val="left" w:pos="7655"/>
        </w:tabs>
        <w:spacing w:after="0" w:line="259" w:lineRule="auto"/>
        <w:rPr>
          <w:lang w:val="fr-FR"/>
        </w:rPr>
      </w:pPr>
      <w:r w:rsidRPr="00736304">
        <w:rPr>
          <w:lang w:val="fr-FR"/>
        </w:rPr>
        <w:t>ALK</w:t>
      </w:r>
      <w:r w:rsidRPr="00736304">
        <w:rPr>
          <w:b/>
          <w:bCs/>
          <w:lang w:val="fr-FR"/>
        </w:rPr>
        <w:t xml:space="preserve">                                                                                                                                           diagnostic</w:t>
      </w:r>
      <w:r w:rsidRPr="00736304">
        <w:rPr>
          <w:lang w:val="fr-FR"/>
        </w:rPr>
        <w:cr/>
      </w:r>
    </w:p>
    <w:p w14:paraId="796755F5" w14:textId="77777777" w:rsidR="00407B8C" w:rsidRPr="00736304" w:rsidRDefault="00407B8C" w:rsidP="00407B8C">
      <w:pPr>
        <w:tabs>
          <w:tab w:val="right" w:pos="9214"/>
        </w:tabs>
      </w:pPr>
    </w:p>
    <w:p w14:paraId="0C59918B" w14:textId="77777777" w:rsidR="00407B8C" w:rsidRPr="00736304" w:rsidRDefault="00407B8C" w:rsidP="00407B8C">
      <w:pPr>
        <w:tabs>
          <w:tab w:val="right" w:pos="9214"/>
        </w:tabs>
      </w:pPr>
      <w:r w:rsidRPr="00736304">
        <w:t>Enregistrement obligatoire dans PITTER :</w:t>
      </w:r>
    </w:p>
    <w:p w14:paraId="63312695" w14:textId="77777777" w:rsidR="00407B8C" w:rsidRPr="00736304" w:rsidRDefault="00407B8C" w:rsidP="00407B8C">
      <w:pPr>
        <w:pStyle w:val="ListParagraph"/>
        <w:numPr>
          <w:ilvl w:val="0"/>
          <w:numId w:val="18"/>
        </w:numPr>
        <w:tabs>
          <w:tab w:val="right" w:pos="9214"/>
        </w:tabs>
        <w:spacing w:after="160" w:line="259" w:lineRule="auto"/>
        <w:rPr>
          <w:iCs/>
          <w:lang w:val="fr-FR"/>
        </w:rPr>
      </w:pPr>
      <w:r w:rsidRPr="00736304">
        <w:rPr>
          <w:iCs/>
          <w:lang w:val="fr-FR"/>
        </w:rPr>
        <w:t>Pas d’application</w:t>
      </w:r>
    </w:p>
    <w:p w14:paraId="6FA21EF5" w14:textId="77777777" w:rsidR="00407B8C" w:rsidRPr="00736304" w:rsidRDefault="00407B8C" w:rsidP="00407B8C">
      <w:pPr>
        <w:tabs>
          <w:tab w:val="right" w:pos="9214"/>
        </w:tabs>
      </w:pPr>
    </w:p>
    <w:p w14:paraId="398A8E5F" w14:textId="77777777" w:rsidR="00407B8C" w:rsidRPr="00736304" w:rsidRDefault="00407B8C" w:rsidP="00407B8C">
      <w:pPr>
        <w:tabs>
          <w:tab w:val="right" w:pos="9214"/>
        </w:tabs>
      </w:pPr>
      <w:r w:rsidRPr="00736304">
        <w:t>Règles de cumul :</w:t>
      </w:r>
    </w:p>
    <w:p w14:paraId="1384A59C"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62D21601" w14:textId="77777777" w:rsidR="00407B8C" w:rsidRPr="00736304" w:rsidRDefault="00407B8C" w:rsidP="00407B8C">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30A31761" w14:textId="77777777" w:rsidR="00407B8C" w:rsidRPr="00736304"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7BC4B71B" w14:textId="77777777" w:rsidR="00407B8C" w:rsidRDefault="00407B8C" w:rsidP="00407B8C">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4B182F7" w14:textId="77777777" w:rsidR="00407B8C" w:rsidRPr="00EE109D" w:rsidRDefault="00407B8C" w:rsidP="00407B8C">
      <w:pPr>
        <w:tabs>
          <w:tab w:val="right" w:pos="9214"/>
        </w:tabs>
      </w:pPr>
    </w:p>
    <w:p w14:paraId="20BCAC34" w14:textId="77777777" w:rsidR="006107BA" w:rsidRDefault="006107BA" w:rsidP="00407B8C"/>
    <w:p w14:paraId="531CEEC1" w14:textId="77777777" w:rsidR="006107BA" w:rsidRDefault="006107BA">
      <w:r>
        <w:br w:type="page"/>
      </w:r>
    </w:p>
    <w:p w14:paraId="39FFFFEA" w14:textId="75F6C3FF" w:rsidR="00A306AE" w:rsidRDefault="00B5731A" w:rsidP="00A306AE">
      <w:pPr>
        <w:pStyle w:val="Heading3"/>
      </w:pPr>
      <w:bookmarkStart w:id="69" w:name="_Toc215211275"/>
      <w:r w:rsidRPr="00B5731A">
        <w:lastRenderedPageBreak/>
        <w:t>536034-536045</w:t>
      </w:r>
      <w:r w:rsidR="00A306AE">
        <w:t xml:space="preserve"> : NGS pour un </w:t>
      </w:r>
      <w:r w:rsidR="00A306AE" w:rsidRPr="006107BA">
        <w:t>cholangiocarcinome</w:t>
      </w:r>
      <w:r w:rsidR="00A306AE">
        <w:t xml:space="preserve"> intrahépatique</w:t>
      </w:r>
      <w:bookmarkEnd w:id="69"/>
    </w:p>
    <w:p w14:paraId="2D097C77" w14:textId="77777777" w:rsidR="00A306AE" w:rsidRDefault="00A306AE" w:rsidP="00A306AE"/>
    <w:p w14:paraId="5FF8AD81" w14:textId="77777777" w:rsidR="00A306AE" w:rsidRDefault="00A306AE" w:rsidP="00A306AE">
      <w:r w:rsidRPr="00736304">
        <w:t>Remboursement : 600 €</w:t>
      </w:r>
    </w:p>
    <w:p w14:paraId="62252A9E" w14:textId="77777777" w:rsidR="00A306AE" w:rsidRPr="00736304" w:rsidRDefault="00A306AE" w:rsidP="00A306AE"/>
    <w:p w14:paraId="46E0D9CC" w14:textId="77777777" w:rsidR="00A306AE" w:rsidRPr="00736304" w:rsidRDefault="00A306AE" w:rsidP="00A306AE">
      <w:pPr>
        <w:rPr>
          <w:rFonts w:ascii="Calibri" w:hAnsi="Calibri" w:cs="Calibri"/>
          <w:bCs/>
        </w:rPr>
      </w:pPr>
      <w:r w:rsidRPr="00736304">
        <w:t xml:space="preserve">Indication: </w:t>
      </w:r>
    </w:p>
    <w:p w14:paraId="3B103E40" w14:textId="77777777" w:rsidR="00A306AE" w:rsidRDefault="00A306AE" w:rsidP="00A306AE">
      <w:pPr>
        <w:pStyle w:val="ListParagraph"/>
        <w:numPr>
          <w:ilvl w:val="0"/>
          <w:numId w:val="18"/>
        </w:numPr>
        <w:spacing w:after="160" w:line="259" w:lineRule="auto"/>
        <w:rPr>
          <w:lang w:val="fr-FR"/>
        </w:rPr>
      </w:pPr>
      <w:r>
        <w:rPr>
          <w:lang w:val="fr-FR"/>
        </w:rPr>
        <w:t>C</w:t>
      </w:r>
      <w:r w:rsidRPr="006107BA">
        <w:rPr>
          <w:lang w:val="fr-FR"/>
        </w:rPr>
        <w:t>holangiocarcinome intrahépatique</w:t>
      </w:r>
    </w:p>
    <w:p w14:paraId="7931009A" w14:textId="77777777" w:rsidR="00A306AE" w:rsidRPr="009C6C0D" w:rsidRDefault="00A306AE" w:rsidP="00A306AE">
      <w:pPr>
        <w:pStyle w:val="ListParagraph"/>
        <w:numPr>
          <w:ilvl w:val="0"/>
          <w:numId w:val="18"/>
        </w:numPr>
        <w:tabs>
          <w:tab w:val="right" w:pos="9214"/>
        </w:tabs>
        <w:spacing w:after="160" w:line="259" w:lineRule="auto"/>
        <w:rPr>
          <w:lang w:val="fr-FR"/>
        </w:rPr>
      </w:pPr>
      <w:r>
        <w:rPr>
          <w:lang w:val="fr-FR"/>
        </w:rPr>
        <w:t>Sur tissu tumoral ou sur biopsie liquide si le tissu tumoral n’est pas disponible</w:t>
      </w:r>
    </w:p>
    <w:p w14:paraId="67F10E9A" w14:textId="77777777" w:rsidR="00A306AE" w:rsidRPr="00736304" w:rsidRDefault="00A306AE" w:rsidP="00A306AE"/>
    <w:p w14:paraId="25CA1120" w14:textId="77777777" w:rsidR="00A306AE" w:rsidRPr="00736304" w:rsidRDefault="00A306AE" w:rsidP="00A306AE">
      <w:r w:rsidRPr="00736304">
        <w:t>Biomarqueurs minimaux à tester :</w:t>
      </w:r>
    </w:p>
    <w:p w14:paraId="53FFB0AC" w14:textId="77777777" w:rsidR="00A306AE" w:rsidRDefault="00A306AE" w:rsidP="00A306AE">
      <w:pPr>
        <w:pStyle w:val="ListParagraph"/>
        <w:numPr>
          <w:ilvl w:val="0"/>
          <w:numId w:val="18"/>
        </w:numPr>
        <w:spacing w:after="160" w:line="259" w:lineRule="auto"/>
        <w:rPr>
          <w:lang w:val="fr-FR"/>
        </w:rPr>
      </w:pPr>
      <w:r>
        <w:rPr>
          <w:lang w:val="fr-FR"/>
        </w:rPr>
        <w:t>IDH1 (exon 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 xml:space="preserve"> </w:t>
      </w:r>
      <w:r>
        <w:rPr>
          <w:b/>
          <w:bCs/>
          <w:lang w:val="fr-FR"/>
        </w:rPr>
        <w:t>thérapie</w:t>
      </w:r>
    </w:p>
    <w:p w14:paraId="13298B3B" w14:textId="77777777" w:rsidR="00A306AE" w:rsidRDefault="00A306AE" w:rsidP="00A306AE"/>
    <w:p w14:paraId="3BCF1A9E" w14:textId="77777777" w:rsidR="00A306AE" w:rsidRPr="00736304" w:rsidRDefault="00A306AE" w:rsidP="00A306AE">
      <w:pPr>
        <w:tabs>
          <w:tab w:val="right" w:pos="9214"/>
        </w:tabs>
      </w:pPr>
      <w:r w:rsidRPr="00736304">
        <w:t>Enregistrement obligatoire dans PITTER :</w:t>
      </w:r>
    </w:p>
    <w:p w14:paraId="133D047B" w14:textId="77777777" w:rsidR="00A306AE" w:rsidRPr="00736304" w:rsidRDefault="00A306AE" w:rsidP="00A306AE">
      <w:pPr>
        <w:pStyle w:val="ListParagraph"/>
        <w:numPr>
          <w:ilvl w:val="0"/>
          <w:numId w:val="18"/>
        </w:numPr>
        <w:tabs>
          <w:tab w:val="right" w:pos="9214"/>
        </w:tabs>
        <w:spacing w:after="160" w:line="259" w:lineRule="auto"/>
        <w:rPr>
          <w:iCs/>
          <w:lang w:val="fr-FR"/>
        </w:rPr>
      </w:pPr>
      <w:r>
        <w:rPr>
          <w:iCs/>
          <w:lang w:val="fr-FR"/>
        </w:rPr>
        <w:t>595232 – 595243 : « </w:t>
      </w:r>
      <w:r w:rsidRPr="005410A1">
        <w:rPr>
          <w:iCs/>
          <w:lang w:val="fr-FR"/>
        </w:rPr>
        <w:t>Détection d’une mutation R132 dans le gène IDH1 dans le cholangiocarcinome intrahépatique localement avancé ou métastatique</w:t>
      </w:r>
      <w:r>
        <w:rPr>
          <w:iCs/>
          <w:lang w:val="fr-FR"/>
        </w:rPr>
        <w:t> »</w:t>
      </w:r>
    </w:p>
    <w:p w14:paraId="26E1976F" w14:textId="77777777" w:rsidR="00A306AE" w:rsidRPr="00736304" w:rsidRDefault="00A306AE" w:rsidP="00A306AE">
      <w:pPr>
        <w:tabs>
          <w:tab w:val="right" w:pos="9214"/>
        </w:tabs>
      </w:pPr>
    </w:p>
    <w:p w14:paraId="377B525E" w14:textId="77777777" w:rsidR="00A306AE" w:rsidRPr="00736304" w:rsidRDefault="00A306AE" w:rsidP="00A306AE">
      <w:pPr>
        <w:tabs>
          <w:tab w:val="right" w:pos="9214"/>
        </w:tabs>
      </w:pPr>
      <w:r w:rsidRPr="00736304">
        <w:t>Règles de cumul :</w:t>
      </w:r>
    </w:p>
    <w:p w14:paraId="1113C036"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3DC185D9" w14:textId="77777777" w:rsidR="00A306AE" w:rsidRPr="00736304" w:rsidRDefault="00A306AE" w:rsidP="00A306AE">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4438B272"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E22865F"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1D89C4E1"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4952A176" w14:textId="77777777" w:rsidR="00A306AE" w:rsidRDefault="00A306AE" w:rsidP="00A306AE"/>
    <w:p w14:paraId="02090EC7" w14:textId="77777777" w:rsidR="00A306AE" w:rsidRDefault="00A306AE" w:rsidP="00A306AE">
      <w:r>
        <w:br w:type="page"/>
      </w:r>
    </w:p>
    <w:p w14:paraId="308892C7" w14:textId="0BBA14AC" w:rsidR="00A306AE" w:rsidRDefault="00B5731A" w:rsidP="00A306AE">
      <w:pPr>
        <w:pStyle w:val="Heading3"/>
      </w:pPr>
      <w:bookmarkStart w:id="70" w:name="_Toc215211276"/>
      <w:r w:rsidRPr="00B5731A">
        <w:lastRenderedPageBreak/>
        <w:t>536056-536060</w:t>
      </w:r>
      <w:r w:rsidR="00A306AE">
        <w:t xml:space="preserve"> : RNA-seq pour un </w:t>
      </w:r>
      <w:r w:rsidR="00A306AE" w:rsidRPr="006107BA">
        <w:t>cholangiocarcinome</w:t>
      </w:r>
      <w:r w:rsidR="00A306AE">
        <w:t xml:space="preserve"> intrahépatique</w:t>
      </w:r>
      <w:bookmarkEnd w:id="70"/>
    </w:p>
    <w:p w14:paraId="0273B5C4" w14:textId="77777777" w:rsidR="00A306AE" w:rsidRDefault="00A306AE" w:rsidP="00A306AE"/>
    <w:p w14:paraId="2C10BFAD" w14:textId="77777777" w:rsidR="00A306AE" w:rsidRDefault="00A306AE" w:rsidP="00A306AE">
      <w:r w:rsidRPr="00736304">
        <w:t>Remboursement : 600 €</w:t>
      </w:r>
    </w:p>
    <w:p w14:paraId="19960E6B" w14:textId="77777777" w:rsidR="00A306AE" w:rsidRPr="00736304" w:rsidRDefault="00A306AE" w:rsidP="00A306AE"/>
    <w:p w14:paraId="2CB3DCB0" w14:textId="77777777" w:rsidR="00A306AE" w:rsidRPr="00736304" w:rsidRDefault="00A306AE" w:rsidP="00A306AE">
      <w:pPr>
        <w:rPr>
          <w:rFonts w:ascii="Calibri" w:hAnsi="Calibri" w:cs="Calibri"/>
          <w:bCs/>
        </w:rPr>
      </w:pPr>
      <w:r w:rsidRPr="00736304">
        <w:t xml:space="preserve">Indication: </w:t>
      </w:r>
    </w:p>
    <w:p w14:paraId="0B262029" w14:textId="77777777" w:rsidR="00A306AE" w:rsidRDefault="00A306AE" w:rsidP="00A306AE">
      <w:pPr>
        <w:pStyle w:val="ListParagraph"/>
        <w:numPr>
          <w:ilvl w:val="0"/>
          <w:numId w:val="18"/>
        </w:numPr>
        <w:spacing w:after="160" w:line="259" w:lineRule="auto"/>
        <w:rPr>
          <w:lang w:val="fr-FR"/>
        </w:rPr>
      </w:pPr>
      <w:r>
        <w:rPr>
          <w:lang w:val="fr-FR"/>
        </w:rPr>
        <w:t>C</w:t>
      </w:r>
      <w:r w:rsidRPr="006107BA">
        <w:rPr>
          <w:lang w:val="fr-FR"/>
        </w:rPr>
        <w:t>holangiocarcinome intrahépatique</w:t>
      </w:r>
    </w:p>
    <w:p w14:paraId="50AC7EAA" w14:textId="77777777" w:rsidR="00A306AE" w:rsidRDefault="00A306AE" w:rsidP="00A306AE">
      <w:pPr>
        <w:pStyle w:val="ListParagraph"/>
        <w:numPr>
          <w:ilvl w:val="0"/>
          <w:numId w:val="18"/>
        </w:numPr>
        <w:spacing w:after="160" w:line="259" w:lineRule="auto"/>
        <w:rPr>
          <w:lang w:val="fr-FR"/>
        </w:rPr>
      </w:pPr>
      <w:r>
        <w:rPr>
          <w:lang w:val="fr-FR"/>
        </w:rPr>
        <w:t xml:space="preserve">Chez un </w:t>
      </w:r>
      <w:r w:rsidRPr="00D24B5A">
        <w:rPr>
          <w:lang w:val="fr-FR"/>
        </w:rPr>
        <w:t xml:space="preserve">patient </w:t>
      </w:r>
      <w:r w:rsidRPr="00736304">
        <w:rPr>
          <w:lang w:val="fr-FR"/>
        </w:rPr>
        <w:t>pour lequel aucun mutation driver n'a été trouvé (avec NGS ou autre technique moléculaire)</w:t>
      </w:r>
      <w:r>
        <w:rPr>
          <w:lang w:val="fr-FR"/>
        </w:rPr>
        <w:t xml:space="preserve"> </w:t>
      </w:r>
    </w:p>
    <w:p w14:paraId="04841B53" w14:textId="77777777" w:rsidR="00A306AE" w:rsidRPr="00525E02" w:rsidRDefault="00A306AE" w:rsidP="00A306AE">
      <w:pPr>
        <w:pStyle w:val="ListParagraph"/>
        <w:numPr>
          <w:ilvl w:val="0"/>
          <w:numId w:val="18"/>
        </w:numPr>
        <w:tabs>
          <w:tab w:val="right" w:pos="9214"/>
        </w:tabs>
        <w:spacing w:after="160" w:line="259" w:lineRule="auto"/>
        <w:rPr>
          <w:lang w:val="fr-FR"/>
        </w:rPr>
      </w:pPr>
      <w:r>
        <w:rPr>
          <w:lang w:val="fr-FR"/>
        </w:rPr>
        <w:t>Sur tissu tumoral ou sur biopsie liquide si le tissu tumoral n’est pas disponible</w:t>
      </w:r>
    </w:p>
    <w:p w14:paraId="5B18F147" w14:textId="77777777" w:rsidR="00A306AE" w:rsidRPr="00736304" w:rsidRDefault="00A306AE" w:rsidP="00A306AE"/>
    <w:p w14:paraId="66ED1E7C" w14:textId="77777777" w:rsidR="00A306AE" w:rsidRPr="00736304" w:rsidRDefault="00A306AE" w:rsidP="00A306AE">
      <w:r w:rsidRPr="00736304">
        <w:t>Biomarqueurs minimaux à tester :</w:t>
      </w:r>
    </w:p>
    <w:p w14:paraId="31B77841" w14:textId="77777777" w:rsidR="00A306AE" w:rsidRPr="00736304" w:rsidRDefault="00A306AE" w:rsidP="00A306AE">
      <w:pPr>
        <w:tabs>
          <w:tab w:val="left" w:pos="7655"/>
        </w:tabs>
        <w:spacing w:after="0"/>
        <w:ind w:left="360"/>
      </w:pPr>
      <w:r w:rsidRPr="00736304">
        <w:t>Recherche des fusions ou réarrangements impliquant les gènes suivants:</w:t>
      </w:r>
    </w:p>
    <w:p w14:paraId="668D1D18" w14:textId="77777777" w:rsidR="00A306AE" w:rsidRDefault="00A306AE" w:rsidP="00A306AE">
      <w:pPr>
        <w:pStyle w:val="ListParagraph"/>
        <w:numPr>
          <w:ilvl w:val="0"/>
          <w:numId w:val="18"/>
        </w:numPr>
        <w:tabs>
          <w:tab w:val="left" w:pos="7655"/>
        </w:tabs>
        <w:spacing w:after="0" w:line="259" w:lineRule="auto"/>
        <w:rPr>
          <w:lang w:val="fr-FR"/>
        </w:rPr>
      </w:pPr>
      <w:r>
        <w:rPr>
          <w:lang w:val="fr-FR"/>
        </w:rPr>
        <w:t xml:space="preserve">FGFR2 </w:t>
      </w:r>
      <w:r>
        <w:rPr>
          <w:lang w:val="fr-FR"/>
        </w:rPr>
        <w:tab/>
      </w:r>
      <w:r>
        <w:rPr>
          <w:lang w:val="fr-FR"/>
        </w:rPr>
        <w:tab/>
      </w:r>
      <w:r>
        <w:rPr>
          <w:b/>
          <w:bCs/>
          <w:lang w:val="fr-FR"/>
        </w:rPr>
        <w:t>thérapie</w:t>
      </w:r>
    </w:p>
    <w:p w14:paraId="4EA2067F" w14:textId="77777777" w:rsidR="00A306AE" w:rsidRPr="00736304" w:rsidRDefault="00A306AE" w:rsidP="00A306AE">
      <w:pPr>
        <w:pStyle w:val="ListParagraph"/>
        <w:numPr>
          <w:ilvl w:val="0"/>
          <w:numId w:val="18"/>
        </w:numPr>
        <w:tabs>
          <w:tab w:val="left" w:pos="7655"/>
        </w:tabs>
        <w:spacing w:after="0" w:line="259" w:lineRule="auto"/>
        <w:rPr>
          <w:lang w:val="fr-FR"/>
        </w:rPr>
      </w:pPr>
      <w:r>
        <w:rPr>
          <w:lang w:val="fr-FR"/>
        </w:rPr>
        <w:t>NTRK1, NTRK2, NTRK3</w:t>
      </w:r>
      <w:r>
        <w:rPr>
          <w:lang w:val="fr-FR"/>
        </w:rPr>
        <w:tab/>
      </w:r>
      <w:r>
        <w:rPr>
          <w:lang w:val="fr-FR"/>
        </w:rPr>
        <w:tab/>
      </w:r>
      <w:r>
        <w:rPr>
          <w:b/>
          <w:bCs/>
          <w:lang w:val="fr-FR"/>
        </w:rPr>
        <w:t>thérapie</w:t>
      </w:r>
    </w:p>
    <w:p w14:paraId="38E01BBE" w14:textId="77777777" w:rsidR="00A306AE" w:rsidRDefault="00A306AE" w:rsidP="00A306AE"/>
    <w:p w14:paraId="08950731" w14:textId="77777777" w:rsidR="00A306AE" w:rsidRPr="00736304" w:rsidRDefault="00A306AE" w:rsidP="00A306AE">
      <w:pPr>
        <w:tabs>
          <w:tab w:val="right" w:pos="9214"/>
        </w:tabs>
      </w:pPr>
      <w:r w:rsidRPr="00736304">
        <w:t>Enregistrement obligatoire dans PITTER :</w:t>
      </w:r>
    </w:p>
    <w:p w14:paraId="58419AFF" w14:textId="77777777" w:rsidR="00A306AE" w:rsidRPr="009C6C0D" w:rsidRDefault="00A306AE" w:rsidP="00A306AE">
      <w:pPr>
        <w:pStyle w:val="ListParagraph"/>
        <w:numPr>
          <w:ilvl w:val="0"/>
          <w:numId w:val="18"/>
        </w:numPr>
        <w:tabs>
          <w:tab w:val="right" w:pos="9214"/>
        </w:tabs>
        <w:spacing w:after="160" w:line="259" w:lineRule="auto"/>
        <w:rPr>
          <w:iCs/>
          <w:lang w:val="fr-BE"/>
        </w:rPr>
      </w:pPr>
      <w:r w:rsidRPr="009C6C0D">
        <w:rPr>
          <w:iCs/>
          <w:lang w:val="fr-BE"/>
        </w:rPr>
        <w:t>595173 – 595184 : « </w:t>
      </w:r>
      <w:r w:rsidRPr="00C33531">
        <w:rPr>
          <w:iCs/>
          <w:lang w:val="fr-FR"/>
        </w:rPr>
        <w:t>Détection de la fusion ou réarrangement du gène FGFR-2 dans le cholangiocarcinome intrahépatique localement avancé ou métastatique</w:t>
      </w:r>
      <w:r w:rsidRPr="009C6C0D">
        <w:rPr>
          <w:iCs/>
          <w:lang w:val="fr-BE"/>
        </w:rPr>
        <w:t> »</w:t>
      </w:r>
    </w:p>
    <w:p w14:paraId="67E40B51" w14:textId="77777777" w:rsidR="00A306AE" w:rsidRPr="009C6C0D" w:rsidRDefault="00A306AE" w:rsidP="00A306AE">
      <w:pPr>
        <w:tabs>
          <w:tab w:val="right" w:pos="9214"/>
        </w:tabs>
        <w:rPr>
          <w:lang w:val="fr-BE"/>
        </w:rPr>
      </w:pPr>
    </w:p>
    <w:p w14:paraId="329304BC" w14:textId="77777777" w:rsidR="00A306AE" w:rsidRPr="00736304" w:rsidRDefault="00A306AE" w:rsidP="00A306AE">
      <w:pPr>
        <w:tabs>
          <w:tab w:val="right" w:pos="9214"/>
        </w:tabs>
      </w:pPr>
      <w:r w:rsidRPr="00736304">
        <w:t>Règles de cumul :</w:t>
      </w:r>
    </w:p>
    <w:p w14:paraId="4D295FC3"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474B8FE9" w14:textId="77777777" w:rsidR="00A306AE" w:rsidRPr="009C6C0D" w:rsidRDefault="00A306AE" w:rsidP="00A306AE">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38DCAFD7"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0552AEEA"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500CF863"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1CA1BC58" w14:textId="1EBC8E2B" w:rsidR="00A306AE" w:rsidRPr="00736304" w:rsidRDefault="00A306AE" w:rsidP="00A306AE">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w:t>
      </w:r>
      <w:r w:rsidR="00E42988">
        <w:rPr>
          <w:i/>
          <w:iCs/>
          <w:lang w:val="fr-FR"/>
        </w:rPr>
        <w:t>8</w:t>
      </w:r>
      <w:r>
        <w:rPr>
          <w:i/>
          <w:iCs/>
          <w:lang w:val="fr-FR"/>
        </w:rPr>
        <w:t xml:space="preserve"> : </w:t>
      </w:r>
      <w:r w:rsidRPr="00D620CA">
        <w:rPr>
          <w:i/>
          <w:iCs/>
          <w:lang w:val="fr-FR"/>
        </w:rPr>
        <w:t xml:space="preserve">Le code de pseudonomenclature n'est facturable que si le pseudo-code </w:t>
      </w:r>
      <w:r w:rsidR="00B5731A" w:rsidRPr="00B5731A">
        <w:rPr>
          <w:i/>
          <w:iCs/>
          <w:lang w:val="fr-FR"/>
        </w:rPr>
        <w:t>536034-536045</w:t>
      </w:r>
      <w:r w:rsidRPr="00D620CA">
        <w:rPr>
          <w:i/>
          <w:iCs/>
          <w:lang w:val="fr-FR"/>
        </w:rPr>
        <w:t xml:space="preserve"> est également facturé pendant la phase d’investigation diagnostique.</w:t>
      </w:r>
    </w:p>
    <w:p w14:paraId="03C32F4C" w14:textId="77777777" w:rsidR="00A306AE" w:rsidRPr="006107BA" w:rsidRDefault="00A306AE" w:rsidP="00A306AE"/>
    <w:p w14:paraId="71FA3A58" w14:textId="062C09C6" w:rsidR="00A306AE" w:rsidRDefault="00B5731A" w:rsidP="00A306AE">
      <w:pPr>
        <w:pStyle w:val="Heading3"/>
      </w:pPr>
      <w:bookmarkStart w:id="71" w:name="_Toc215211277"/>
      <w:r w:rsidRPr="00B5731A">
        <w:t>536071-536082</w:t>
      </w:r>
      <w:r w:rsidR="00A306AE">
        <w:t xml:space="preserve"> : NGS pour un carcinome urothélial </w:t>
      </w:r>
      <w:r w:rsidR="00A306AE" w:rsidRPr="00D620CA">
        <w:t xml:space="preserve">non résécable </w:t>
      </w:r>
      <w:r w:rsidR="00A306AE">
        <w:t>ou métastatique</w:t>
      </w:r>
      <w:bookmarkEnd w:id="71"/>
    </w:p>
    <w:p w14:paraId="279D239A" w14:textId="77777777" w:rsidR="00A306AE" w:rsidRDefault="00A306AE" w:rsidP="00A306AE"/>
    <w:p w14:paraId="526B987F" w14:textId="77777777" w:rsidR="00A306AE" w:rsidRDefault="00A306AE" w:rsidP="00A306AE">
      <w:r w:rsidRPr="00736304">
        <w:t>Remboursement : 600 €</w:t>
      </w:r>
    </w:p>
    <w:p w14:paraId="04C619E8" w14:textId="77777777" w:rsidR="00A306AE" w:rsidRPr="00736304" w:rsidRDefault="00A306AE" w:rsidP="00A306AE"/>
    <w:p w14:paraId="3EDC7D9F" w14:textId="77777777" w:rsidR="00A306AE" w:rsidRPr="00736304" w:rsidRDefault="00A306AE" w:rsidP="00A306AE">
      <w:pPr>
        <w:rPr>
          <w:rFonts w:ascii="Calibri" w:hAnsi="Calibri" w:cs="Calibri"/>
          <w:bCs/>
        </w:rPr>
      </w:pPr>
      <w:r w:rsidRPr="00736304">
        <w:t xml:space="preserve">Indication: </w:t>
      </w:r>
    </w:p>
    <w:p w14:paraId="2BCC1A46" w14:textId="77777777" w:rsidR="00A306AE" w:rsidRPr="00525E02" w:rsidRDefault="00A306AE" w:rsidP="00A306AE">
      <w:pPr>
        <w:pStyle w:val="ListParagraph"/>
        <w:numPr>
          <w:ilvl w:val="0"/>
          <w:numId w:val="18"/>
        </w:numPr>
        <w:tabs>
          <w:tab w:val="right" w:pos="9214"/>
        </w:tabs>
        <w:spacing w:after="160" w:line="259" w:lineRule="auto"/>
        <w:rPr>
          <w:lang w:val="fr-FR"/>
        </w:rPr>
      </w:pPr>
      <w:r>
        <w:rPr>
          <w:lang w:val="fr-FR"/>
        </w:rPr>
        <w:t>C</w:t>
      </w:r>
      <w:r w:rsidRPr="00D620CA">
        <w:rPr>
          <w:lang w:val="fr-FR"/>
        </w:rPr>
        <w:t>arcinome urothélial non résécable ou métastatique</w:t>
      </w:r>
    </w:p>
    <w:p w14:paraId="5018BD48" w14:textId="77777777" w:rsidR="00A306AE" w:rsidRPr="00736304" w:rsidRDefault="00A306AE" w:rsidP="00A306AE"/>
    <w:p w14:paraId="6022426E" w14:textId="77777777" w:rsidR="00A306AE" w:rsidRPr="00736304" w:rsidRDefault="00A306AE" w:rsidP="00A306AE">
      <w:r w:rsidRPr="00736304">
        <w:t>Biomarqueurs minimaux à tester :</w:t>
      </w:r>
    </w:p>
    <w:p w14:paraId="1D5B568C" w14:textId="77777777" w:rsidR="00A306AE" w:rsidRDefault="00A306AE" w:rsidP="00A306AE">
      <w:pPr>
        <w:pStyle w:val="ListParagraph"/>
        <w:numPr>
          <w:ilvl w:val="0"/>
          <w:numId w:val="18"/>
        </w:numPr>
        <w:tabs>
          <w:tab w:val="left" w:pos="7655"/>
        </w:tabs>
        <w:spacing w:after="0" w:line="259" w:lineRule="auto"/>
        <w:rPr>
          <w:lang w:val="fr-FR"/>
        </w:rPr>
      </w:pPr>
      <w:r>
        <w:rPr>
          <w:lang w:val="fr-FR"/>
        </w:rPr>
        <w:t xml:space="preserve">FGFR3 (exon 7, exon 9) </w:t>
      </w:r>
      <w:r>
        <w:rPr>
          <w:lang w:val="fr-FR"/>
        </w:rPr>
        <w:tab/>
      </w:r>
      <w:r>
        <w:rPr>
          <w:lang w:val="fr-FR"/>
        </w:rPr>
        <w:tab/>
      </w:r>
      <w:r>
        <w:rPr>
          <w:b/>
          <w:bCs/>
          <w:lang w:val="fr-FR"/>
        </w:rPr>
        <w:t>thérapie</w:t>
      </w:r>
    </w:p>
    <w:p w14:paraId="5413F181" w14:textId="77777777" w:rsidR="00A306AE" w:rsidRPr="00D620CA" w:rsidRDefault="00A306AE" w:rsidP="00A306AE">
      <w:pPr>
        <w:tabs>
          <w:tab w:val="left" w:pos="7655"/>
        </w:tabs>
        <w:spacing w:after="0"/>
      </w:pPr>
    </w:p>
    <w:p w14:paraId="1C24C7FE" w14:textId="77777777" w:rsidR="00A306AE" w:rsidRDefault="00A306AE" w:rsidP="00A306AE"/>
    <w:p w14:paraId="4A1924DA" w14:textId="77777777" w:rsidR="00A306AE" w:rsidRPr="00736304" w:rsidRDefault="00A306AE" w:rsidP="00A306AE">
      <w:pPr>
        <w:tabs>
          <w:tab w:val="right" w:pos="9214"/>
        </w:tabs>
      </w:pPr>
      <w:r w:rsidRPr="00736304">
        <w:t>Enregistrement obligatoire dans PITTER :</w:t>
      </w:r>
    </w:p>
    <w:p w14:paraId="41A7A745" w14:textId="77777777" w:rsidR="00A306AE" w:rsidRPr="00525E02" w:rsidRDefault="00A306AE" w:rsidP="00A306AE">
      <w:pPr>
        <w:pStyle w:val="ListParagraph"/>
        <w:numPr>
          <w:ilvl w:val="0"/>
          <w:numId w:val="18"/>
        </w:numPr>
        <w:tabs>
          <w:tab w:val="right" w:pos="9214"/>
        </w:tabs>
        <w:rPr>
          <w:lang w:val="fr-BE"/>
        </w:rPr>
      </w:pPr>
      <w:r>
        <w:rPr>
          <w:iCs/>
          <w:lang w:val="fr-BE"/>
        </w:rPr>
        <w:t>595350</w:t>
      </w:r>
      <w:r w:rsidRPr="00525E02">
        <w:rPr>
          <w:iCs/>
          <w:lang w:val="fr-BE"/>
        </w:rPr>
        <w:t xml:space="preserve"> – </w:t>
      </w:r>
      <w:r>
        <w:rPr>
          <w:iCs/>
          <w:lang w:val="fr-BE"/>
        </w:rPr>
        <w:t>595361</w:t>
      </w:r>
      <w:r w:rsidRPr="00525E02">
        <w:rPr>
          <w:iCs/>
          <w:lang w:val="fr-BE"/>
        </w:rPr>
        <w:t xml:space="preserve"> : </w:t>
      </w:r>
      <w:r>
        <w:rPr>
          <w:iCs/>
          <w:lang w:val="fr-BE"/>
        </w:rPr>
        <w:t>« </w:t>
      </w:r>
      <w:r w:rsidRPr="009831DB">
        <w:rPr>
          <w:iCs/>
          <w:lang w:val="fr-BE"/>
        </w:rPr>
        <w:t>Analyse d’une mutation FGFR3 dans le carcinome urothélial non résécable ou métastatique</w:t>
      </w:r>
      <w:r>
        <w:rPr>
          <w:iCs/>
          <w:lang w:val="fr-BE"/>
        </w:rPr>
        <w:t> »</w:t>
      </w:r>
    </w:p>
    <w:p w14:paraId="743FCA40" w14:textId="77777777" w:rsidR="00E42988" w:rsidRDefault="00E42988" w:rsidP="00A306AE">
      <w:pPr>
        <w:tabs>
          <w:tab w:val="right" w:pos="9214"/>
        </w:tabs>
      </w:pPr>
    </w:p>
    <w:p w14:paraId="57C8E75E" w14:textId="289B98C0" w:rsidR="00A306AE" w:rsidRPr="00736304" w:rsidRDefault="00A306AE" w:rsidP="00A306AE">
      <w:pPr>
        <w:tabs>
          <w:tab w:val="right" w:pos="9214"/>
        </w:tabs>
      </w:pPr>
      <w:r w:rsidRPr="00736304">
        <w:t>Règles de cumul :</w:t>
      </w:r>
    </w:p>
    <w:p w14:paraId="5160F12A"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0F10C74E" w14:textId="77777777" w:rsidR="00A306AE" w:rsidRPr="00525E02" w:rsidRDefault="00A306AE" w:rsidP="00A306AE">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11BAB628"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42EAE690"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489BE779"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200BD989" w14:textId="77777777" w:rsidR="00A306AE" w:rsidRDefault="00A306AE" w:rsidP="00A306AE"/>
    <w:p w14:paraId="01A528AD" w14:textId="77777777" w:rsidR="00A306AE" w:rsidRDefault="00A306AE" w:rsidP="00A306AE">
      <w:r>
        <w:br w:type="page"/>
      </w:r>
    </w:p>
    <w:p w14:paraId="38162866" w14:textId="0BDF0F81" w:rsidR="00A306AE" w:rsidRDefault="00B5731A" w:rsidP="00A306AE">
      <w:pPr>
        <w:pStyle w:val="Heading3"/>
      </w:pPr>
      <w:bookmarkStart w:id="72" w:name="_Toc215211278"/>
      <w:r w:rsidRPr="00B5731A">
        <w:lastRenderedPageBreak/>
        <w:t>536093-536104</w:t>
      </w:r>
      <w:r w:rsidR="00A306AE">
        <w:t xml:space="preserve"> : RNA-seq pour un carcinome urothélial </w:t>
      </w:r>
      <w:r w:rsidR="00A306AE" w:rsidRPr="00D620CA">
        <w:t xml:space="preserve">non résécable </w:t>
      </w:r>
      <w:r w:rsidR="00A306AE">
        <w:t>ou métastatique</w:t>
      </w:r>
      <w:bookmarkEnd w:id="72"/>
    </w:p>
    <w:p w14:paraId="4518A9B2" w14:textId="77777777" w:rsidR="00A306AE" w:rsidRDefault="00A306AE" w:rsidP="00A306AE"/>
    <w:p w14:paraId="5E32F265" w14:textId="77777777" w:rsidR="00A306AE" w:rsidRDefault="00A306AE" w:rsidP="00A306AE">
      <w:r w:rsidRPr="00736304">
        <w:t>Remboursement : 600 €</w:t>
      </w:r>
    </w:p>
    <w:p w14:paraId="6389F9A3" w14:textId="77777777" w:rsidR="00A306AE" w:rsidRPr="00736304" w:rsidRDefault="00A306AE" w:rsidP="00A306AE"/>
    <w:p w14:paraId="3F3AC01A" w14:textId="77777777" w:rsidR="00A306AE" w:rsidRPr="00736304" w:rsidRDefault="00A306AE" w:rsidP="00A306AE">
      <w:pPr>
        <w:rPr>
          <w:rFonts w:ascii="Calibri" w:hAnsi="Calibri" w:cs="Calibri"/>
          <w:bCs/>
        </w:rPr>
      </w:pPr>
      <w:r w:rsidRPr="00736304">
        <w:t xml:space="preserve">Indication: </w:t>
      </w:r>
    </w:p>
    <w:p w14:paraId="4BE86FC6" w14:textId="77777777" w:rsidR="00A306AE" w:rsidRDefault="00A306AE" w:rsidP="00A306AE">
      <w:pPr>
        <w:pStyle w:val="ListParagraph"/>
        <w:numPr>
          <w:ilvl w:val="0"/>
          <w:numId w:val="18"/>
        </w:numPr>
        <w:tabs>
          <w:tab w:val="right" w:pos="9214"/>
        </w:tabs>
        <w:spacing w:after="160" w:line="259" w:lineRule="auto"/>
        <w:rPr>
          <w:lang w:val="fr-FR"/>
        </w:rPr>
      </w:pPr>
      <w:r>
        <w:rPr>
          <w:lang w:val="fr-FR"/>
        </w:rPr>
        <w:t>C</w:t>
      </w:r>
      <w:r w:rsidRPr="00D620CA">
        <w:rPr>
          <w:lang w:val="fr-FR"/>
        </w:rPr>
        <w:t>arcinome urothélial non résécable ou métastatique</w:t>
      </w:r>
    </w:p>
    <w:p w14:paraId="2F14DFF7" w14:textId="77777777" w:rsidR="00A306AE" w:rsidRPr="00525E02" w:rsidRDefault="00A306AE" w:rsidP="00A306AE">
      <w:pPr>
        <w:pStyle w:val="ListParagraph"/>
        <w:numPr>
          <w:ilvl w:val="0"/>
          <w:numId w:val="18"/>
        </w:numPr>
        <w:tabs>
          <w:tab w:val="right" w:pos="9214"/>
        </w:tabs>
        <w:spacing w:after="160" w:line="259" w:lineRule="auto"/>
        <w:rPr>
          <w:lang w:val="fr-FR"/>
        </w:rPr>
      </w:pPr>
      <w:r>
        <w:rPr>
          <w:lang w:val="fr-FR"/>
        </w:rPr>
        <w:t>RNA-seq chez un patient</w:t>
      </w:r>
      <w:r w:rsidRPr="00B35565">
        <w:rPr>
          <w:lang w:val="fr-FR"/>
        </w:rPr>
        <w:t xml:space="preserve"> </w:t>
      </w:r>
      <w:r w:rsidRPr="00736304">
        <w:rPr>
          <w:lang w:val="fr-FR"/>
        </w:rPr>
        <w:t>pour lequel aucun mutation driver n'a été trouvé (avec NGS ou autre technique moléculaire)</w:t>
      </w:r>
    </w:p>
    <w:p w14:paraId="4EE0C2D3" w14:textId="77777777" w:rsidR="00A306AE" w:rsidRPr="00736304" w:rsidRDefault="00A306AE" w:rsidP="00A306AE"/>
    <w:p w14:paraId="1F9EE60E" w14:textId="77777777" w:rsidR="00A306AE" w:rsidRPr="00736304" w:rsidRDefault="00A306AE" w:rsidP="00A306AE">
      <w:r w:rsidRPr="00736304">
        <w:t>Biomarqueurs minimaux à tester :</w:t>
      </w:r>
    </w:p>
    <w:p w14:paraId="2DEC72EA" w14:textId="77777777" w:rsidR="00A306AE" w:rsidRPr="00736304" w:rsidRDefault="00A306AE" w:rsidP="00A306AE">
      <w:pPr>
        <w:tabs>
          <w:tab w:val="left" w:pos="7655"/>
        </w:tabs>
        <w:spacing w:after="0"/>
        <w:ind w:left="360"/>
      </w:pPr>
      <w:r w:rsidRPr="00736304">
        <w:t>Recherche des fusions ou réarrangements impliquant les gènes suivants:</w:t>
      </w:r>
    </w:p>
    <w:p w14:paraId="63014DF4" w14:textId="01F87E88" w:rsidR="00A306AE" w:rsidRDefault="00A306AE" w:rsidP="007C587C">
      <w:pPr>
        <w:pStyle w:val="ListParagraph"/>
        <w:numPr>
          <w:ilvl w:val="0"/>
          <w:numId w:val="18"/>
        </w:numPr>
        <w:autoSpaceDE w:val="0"/>
        <w:autoSpaceDN w:val="0"/>
        <w:ind w:left="1440"/>
        <w:rPr>
          <w:lang w:val="fr-FR"/>
        </w:rPr>
      </w:pPr>
      <w:r w:rsidRPr="007C587C">
        <w:rPr>
          <w:rFonts w:ascii="Calibri" w:eastAsia="Times New Roman" w:hAnsi="Calibri" w:cs="Calibri"/>
          <w:i/>
          <w:lang w:val="de-DE"/>
        </w:rPr>
        <w:t>FGFR3</w:t>
      </w:r>
      <w:r>
        <w:rPr>
          <w:lang w:val="fr-FR"/>
        </w:rPr>
        <w:tab/>
      </w:r>
      <w:r>
        <w:rPr>
          <w:lang w:val="fr-FR"/>
        </w:rPr>
        <w:tab/>
      </w:r>
      <w:r w:rsidR="00E42988">
        <w:rPr>
          <w:lang w:val="fr-FR"/>
        </w:rPr>
        <w:tab/>
      </w:r>
      <w:r w:rsidR="00E42988">
        <w:rPr>
          <w:lang w:val="fr-FR"/>
        </w:rPr>
        <w:tab/>
      </w:r>
      <w:r w:rsidR="00E42988">
        <w:rPr>
          <w:lang w:val="fr-FR"/>
        </w:rPr>
        <w:tab/>
      </w:r>
      <w:r w:rsidR="00E42988">
        <w:rPr>
          <w:lang w:val="fr-FR"/>
        </w:rPr>
        <w:tab/>
      </w:r>
      <w:r w:rsidR="00E42988">
        <w:rPr>
          <w:lang w:val="fr-FR"/>
        </w:rPr>
        <w:tab/>
      </w:r>
      <w:r w:rsidR="00E42988">
        <w:rPr>
          <w:lang w:val="fr-FR"/>
        </w:rPr>
        <w:tab/>
      </w:r>
      <w:r w:rsidR="00E42988">
        <w:rPr>
          <w:lang w:val="fr-FR"/>
        </w:rPr>
        <w:tab/>
      </w:r>
      <w:r>
        <w:rPr>
          <w:b/>
          <w:bCs/>
          <w:lang w:val="fr-FR"/>
        </w:rPr>
        <w:t>thérapie</w:t>
      </w:r>
    </w:p>
    <w:p w14:paraId="44186667" w14:textId="77777777" w:rsidR="00A306AE" w:rsidRPr="00D620CA" w:rsidRDefault="00A306AE" w:rsidP="00A306AE">
      <w:pPr>
        <w:tabs>
          <w:tab w:val="left" w:pos="7655"/>
        </w:tabs>
        <w:spacing w:after="0"/>
      </w:pPr>
    </w:p>
    <w:p w14:paraId="771D524F" w14:textId="77777777" w:rsidR="00A306AE" w:rsidRDefault="00A306AE" w:rsidP="00A306AE"/>
    <w:p w14:paraId="3AEB992F" w14:textId="77777777" w:rsidR="00A306AE" w:rsidRPr="00736304" w:rsidRDefault="00A306AE" w:rsidP="00A306AE">
      <w:pPr>
        <w:tabs>
          <w:tab w:val="right" w:pos="9214"/>
        </w:tabs>
      </w:pPr>
      <w:r w:rsidRPr="00736304">
        <w:t>Enregistrement obligatoire dans PITTER :</w:t>
      </w:r>
    </w:p>
    <w:p w14:paraId="7B607CE8" w14:textId="77777777" w:rsidR="00A306AE" w:rsidRPr="00525E02" w:rsidRDefault="00A306AE" w:rsidP="00A306AE">
      <w:pPr>
        <w:pStyle w:val="ListParagraph"/>
        <w:numPr>
          <w:ilvl w:val="0"/>
          <w:numId w:val="18"/>
        </w:numPr>
        <w:tabs>
          <w:tab w:val="right" w:pos="9214"/>
        </w:tabs>
        <w:rPr>
          <w:lang w:val="fr-BE"/>
        </w:rPr>
      </w:pPr>
      <w:r>
        <w:rPr>
          <w:iCs/>
          <w:lang w:val="fr-BE"/>
        </w:rPr>
        <w:t>595335</w:t>
      </w:r>
      <w:r w:rsidRPr="00525E02">
        <w:rPr>
          <w:iCs/>
          <w:lang w:val="fr-BE"/>
        </w:rPr>
        <w:t xml:space="preserve"> – </w:t>
      </w:r>
      <w:r>
        <w:rPr>
          <w:iCs/>
          <w:lang w:val="fr-BE"/>
        </w:rPr>
        <w:t>595346</w:t>
      </w:r>
      <w:r w:rsidRPr="00525E02">
        <w:rPr>
          <w:iCs/>
          <w:lang w:val="fr-BE"/>
        </w:rPr>
        <w:t xml:space="preserve"> : </w:t>
      </w:r>
      <w:r>
        <w:rPr>
          <w:iCs/>
          <w:lang w:val="fr-BE"/>
        </w:rPr>
        <w:t>« </w:t>
      </w:r>
      <w:r w:rsidRPr="001D7B27">
        <w:rPr>
          <w:iCs/>
          <w:lang w:val="fr-BE"/>
        </w:rPr>
        <w:t>Détection d’une fusion du gène FGFR3 dans le carcinome urothélial non résécable ou métastatique</w:t>
      </w:r>
      <w:r>
        <w:rPr>
          <w:iCs/>
          <w:lang w:val="fr-BE"/>
        </w:rPr>
        <w:t> »</w:t>
      </w:r>
    </w:p>
    <w:p w14:paraId="7EFDC09D" w14:textId="77777777" w:rsidR="00E42988" w:rsidRDefault="00E42988" w:rsidP="00A306AE">
      <w:pPr>
        <w:tabs>
          <w:tab w:val="right" w:pos="9214"/>
        </w:tabs>
      </w:pPr>
    </w:p>
    <w:p w14:paraId="3FA4D282" w14:textId="04990FBF" w:rsidR="00A306AE" w:rsidRPr="00736304" w:rsidRDefault="00A306AE" w:rsidP="00A306AE">
      <w:pPr>
        <w:tabs>
          <w:tab w:val="right" w:pos="9214"/>
        </w:tabs>
      </w:pPr>
      <w:r w:rsidRPr="00736304">
        <w:t>Règles de cumul :</w:t>
      </w:r>
    </w:p>
    <w:p w14:paraId="312C9361"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161EB506" w14:textId="77777777" w:rsidR="00A306AE" w:rsidRPr="00525E02" w:rsidRDefault="00A306AE" w:rsidP="00A306AE">
      <w:pPr>
        <w:pStyle w:val="ListParagraph"/>
        <w:numPr>
          <w:ilvl w:val="0"/>
          <w:numId w:val="16"/>
        </w:numPr>
        <w:tabs>
          <w:tab w:val="right" w:pos="9214"/>
        </w:tabs>
        <w:spacing w:after="160" w:line="259" w:lineRule="auto"/>
        <w:rPr>
          <w:i/>
          <w:iCs/>
          <w:lang w:val="fr-FR"/>
        </w:rPr>
      </w:pPr>
      <w:r w:rsidRPr="00736304">
        <w:rPr>
          <w:i/>
          <w:iCs/>
          <w:lang w:val="fr-FR"/>
        </w:rPr>
        <w:t xml:space="preserve">Règle diagnostique 2 : </w:t>
      </w:r>
      <w:r w:rsidRPr="00736304">
        <w:rPr>
          <w:lang w:val="fr-FR"/>
        </w:rPr>
        <w:t xml:space="preserve">Aucune prestation de l'article 33, 33bis ou 33ter ne peut être </w:t>
      </w:r>
      <w:r>
        <w:rPr>
          <w:lang w:val="fr-FR"/>
        </w:rPr>
        <w:t xml:space="preserve">facturée en sus pour le test effectué </w:t>
      </w:r>
      <w:r w:rsidRPr="00736304">
        <w:rPr>
          <w:b/>
          <w:bCs/>
          <w:u w:val="single"/>
          <w:lang w:val="fr-FR"/>
        </w:rPr>
        <w:t>pour les biomarqueurs inclus dans le panel NGS effectivement utilisé</w:t>
      </w:r>
      <w:r w:rsidRPr="00736304">
        <w:rPr>
          <w:lang w:val="fr-FR"/>
        </w:rPr>
        <w:t>, si ce panel est plus étendu que le panel minimum requis.</w:t>
      </w:r>
    </w:p>
    <w:p w14:paraId="33137747" w14:textId="77777777" w:rsidR="00A306AE" w:rsidRPr="00736304"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3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avec les prestations 588534-588545, 587915-587926 et 588770-588781 de l'article 33bis.</w:t>
      </w:r>
    </w:p>
    <w:p w14:paraId="0CD3BF4E" w14:textId="77777777" w:rsidR="00A306AE"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4 : </w:t>
      </w:r>
      <w:r w:rsidRPr="00736304">
        <w:rPr>
          <w:lang w:val="fr-FR"/>
        </w:rPr>
        <w:t xml:space="preserve">Le </w:t>
      </w:r>
      <w:r>
        <w:rPr>
          <w:lang w:val="fr-FR"/>
        </w:rPr>
        <w:t>code de pseudonomenclature n</w:t>
      </w:r>
      <w:r w:rsidRPr="00736304">
        <w:rPr>
          <w:lang w:val="fr-FR"/>
        </w:rPr>
        <w:t xml:space="preserve">'est pas cumulable </w:t>
      </w:r>
      <w:r w:rsidRPr="00736304">
        <w:rPr>
          <w:b/>
          <w:bCs/>
          <w:u w:val="single"/>
          <w:lang w:val="fr-FR"/>
        </w:rPr>
        <w:t>pendant la phase d'investigation</w:t>
      </w:r>
      <w:r w:rsidRPr="00736304">
        <w:rPr>
          <w:lang w:val="fr-FR"/>
        </w:rPr>
        <w:t xml:space="preserve"> </w:t>
      </w:r>
      <w:r w:rsidRPr="009F5717">
        <w:rPr>
          <w:b/>
          <w:bCs/>
          <w:u w:val="single"/>
          <w:lang w:val="fr-FR"/>
        </w:rPr>
        <w:t>diagnostique</w:t>
      </w:r>
      <w:r w:rsidRPr="00736304">
        <w:rPr>
          <w:lang w:val="fr-FR"/>
        </w:rPr>
        <w:t xml:space="preserve"> avec les prestations </w:t>
      </w:r>
      <w:r>
        <w:rPr>
          <w:lang w:val="fr-FR"/>
        </w:rPr>
        <w:t>594016-594020, 594053-594064 et 594090-594101</w:t>
      </w:r>
      <w:r w:rsidRPr="00736304">
        <w:rPr>
          <w:lang w:val="fr-FR"/>
        </w:rPr>
        <w:t xml:space="preserve"> de l'article 33ter.</w:t>
      </w:r>
    </w:p>
    <w:p w14:paraId="325EC504" w14:textId="77777777" w:rsidR="00A306AE" w:rsidRPr="009C6C0D" w:rsidRDefault="00A306AE" w:rsidP="00A306AE">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Pr>
          <w:i/>
          <w:iCs/>
          <w:lang w:val="fr-FR"/>
        </w:rPr>
        <w:t>7</w:t>
      </w:r>
      <w:r w:rsidRPr="00736304">
        <w:rPr>
          <w:i/>
          <w:iCs/>
          <w:lang w:val="fr-FR"/>
        </w:rPr>
        <w:t xml:space="preserve"> : </w:t>
      </w:r>
      <w:r w:rsidRPr="00A93B4A">
        <w:rPr>
          <w:lang w:val="fr-FR"/>
        </w:rPr>
        <w:t>Le code de pseudonomenclature</w:t>
      </w:r>
      <w:r w:rsidRPr="00EC480E">
        <w:rPr>
          <w:lang w:val="fr-FR"/>
        </w:rPr>
        <w:t xml:space="preserve"> </w:t>
      </w:r>
      <w:r w:rsidRPr="00736304">
        <w:rPr>
          <w:lang w:val="fr-FR"/>
        </w:rPr>
        <w:t xml:space="preserve">n'est pas cumulable </w:t>
      </w:r>
      <w:r w:rsidRPr="00736304">
        <w:rPr>
          <w:b/>
          <w:bCs/>
          <w:u w:val="single"/>
          <w:lang w:val="fr-FR"/>
        </w:rPr>
        <w:t>pendant la phase d'investigation diagnostique</w:t>
      </w:r>
      <w:r w:rsidRPr="00736304">
        <w:rPr>
          <w:lang w:val="fr-FR"/>
        </w:rPr>
        <w:t xml:space="preserve"> avec les prestations</w:t>
      </w:r>
      <w:r>
        <w:rPr>
          <w:lang w:val="fr-FR"/>
        </w:rPr>
        <w:t xml:space="preserve"> </w:t>
      </w:r>
      <w:r w:rsidRPr="00EC480E">
        <w:rPr>
          <w:lang w:val="fr-FR"/>
        </w:rPr>
        <w:t>565154-565165, 565515-565526, 565530-565541 of 565552-565563</w:t>
      </w:r>
      <w:r>
        <w:rPr>
          <w:lang w:val="fr-FR"/>
        </w:rPr>
        <w:t xml:space="preserve"> de l’article 33 </w:t>
      </w:r>
      <w:r w:rsidRPr="00EC480E">
        <w:rPr>
          <w:rFonts w:ascii="Calibri" w:eastAsia="Times New Roman" w:hAnsi="Calibri" w:cs="Calibri"/>
          <w:b/>
          <w:bCs/>
          <w:u w:val="single"/>
          <w:lang w:val="fr-BE" w:eastAsia="nl-NL"/>
        </w:rPr>
        <w:t xml:space="preserve">des </w:t>
      </w:r>
      <w:r w:rsidRPr="00EC480E">
        <w:rPr>
          <w:b/>
          <w:bCs/>
          <w:u w:val="single"/>
          <w:lang w:val="fr-BE"/>
        </w:rPr>
        <w:t xml:space="preserve">anomalies </w:t>
      </w:r>
      <w:r>
        <w:rPr>
          <w:b/>
          <w:bCs/>
          <w:u w:val="single"/>
          <w:lang w:val="fr-BE"/>
        </w:rPr>
        <w:t>génomiques</w:t>
      </w:r>
      <w:r w:rsidRPr="00EC480E">
        <w:rPr>
          <w:b/>
          <w:bCs/>
          <w:u w:val="single"/>
          <w:lang w:val="fr-BE"/>
        </w:rPr>
        <w:t xml:space="preserve"> somatiques</w:t>
      </w:r>
    </w:p>
    <w:p w14:paraId="699C48CF" w14:textId="0A44F827" w:rsidR="00A306AE" w:rsidRPr="007C587C" w:rsidRDefault="00A306AE" w:rsidP="007C587C">
      <w:pPr>
        <w:pStyle w:val="ListParagraph"/>
        <w:numPr>
          <w:ilvl w:val="0"/>
          <w:numId w:val="16"/>
        </w:numPr>
        <w:tabs>
          <w:tab w:val="right" w:pos="9214"/>
        </w:tabs>
        <w:spacing w:after="160" w:line="259" w:lineRule="auto"/>
        <w:rPr>
          <w:lang w:val="fr-BE"/>
        </w:rPr>
      </w:pPr>
      <w:r w:rsidRPr="00993E74">
        <w:rPr>
          <w:i/>
          <w:iCs/>
          <w:lang w:val="fr-FR"/>
        </w:rPr>
        <w:t xml:space="preserve">Règle diagnostique </w:t>
      </w:r>
      <w:r w:rsidR="00E42988">
        <w:rPr>
          <w:i/>
          <w:iCs/>
          <w:lang w:val="fr-FR"/>
        </w:rPr>
        <w:t>9</w:t>
      </w:r>
      <w:r w:rsidRPr="009C6C0D">
        <w:rPr>
          <w:lang w:val="fr-FR"/>
        </w:rPr>
        <w:t xml:space="preserve"> : Le code de pseudonomenclature n'est facturable que si le pseudo-code </w:t>
      </w:r>
      <w:r w:rsidR="00B5731A" w:rsidRPr="00B5731A">
        <w:rPr>
          <w:lang w:val="fr-FR"/>
        </w:rPr>
        <w:t>536071-536082</w:t>
      </w:r>
      <w:r w:rsidRPr="009C6C0D">
        <w:rPr>
          <w:lang w:val="fr-FR"/>
        </w:rPr>
        <w:t xml:space="preserve"> est également facturé pendant la phase d’investigation diagnostique.</w:t>
      </w:r>
    </w:p>
    <w:p w14:paraId="4D5F6FC4" w14:textId="221CA413" w:rsidR="0046057C" w:rsidRPr="007C587C" w:rsidRDefault="00D25288" w:rsidP="0046057C">
      <w:pPr>
        <w:pStyle w:val="Heading3"/>
        <w:rPr>
          <w:lang w:val="fr-BE"/>
        </w:rPr>
      </w:pPr>
      <w:bookmarkStart w:id="73" w:name="_Toc215211279"/>
      <w:r w:rsidRPr="00D25288">
        <w:lastRenderedPageBreak/>
        <w:t>536115-536126</w:t>
      </w:r>
      <w:r w:rsidR="0046057C" w:rsidRPr="007C587C">
        <w:rPr>
          <w:lang w:val="fr-BE"/>
        </w:rPr>
        <w:t xml:space="preserve"> : </w:t>
      </w:r>
      <w:r w:rsidR="006F251B">
        <w:rPr>
          <w:lang w:val="fr-BE"/>
        </w:rPr>
        <w:t>Complément</w:t>
      </w:r>
      <w:r w:rsidR="0046057C" w:rsidRPr="007C587C">
        <w:rPr>
          <w:lang w:val="fr-BE"/>
        </w:rPr>
        <w:t xml:space="preserve"> </w:t>
      </w:r>
      <w:r w:rsidR="00972E78" w:rsidRPr="007C587C">
        <w:rPr>
          <w:lang w:val="fr-BE"/>
        </w:rPr>
        <w:t>p</w:t>
      </w:r>
      <w:r w:rsidR="00972E78">
        <w:rPr>
          <w:lang w:val="fr-BE"/>
        </w:rPr>
        <w:t xml:space="preserve">our </w:t>
      </w:r>
      <w:r w:rsidR="006F251B">
        <w:rPr>
          <w:lang w:val="fr-BE"/>
        </w:rPr>
        <w:t>l’exécution d’</w:t>
      </w:r>
      <w:r w:rsidR="00972E78">
        <w:rPr>
          <w:lang w:val="fr-BE"/>
        </w:rPr>
        <w:t>un NGS sur un</w:t>
      </w:r>
      <w:r w:rsidR="006F251B">
        <w:rPr>
          <w:lang w:val="fr-BE"/>
        </w:rPr>
        <w:t>e</w:t>
      </w:r>
      <w:r w:rsidR="00972E78">
        <w:rPr>
          <w:lang w:val="fr-BE"/>
        </w:rPr>
        <w:t xml:space="preserve"> biopsie liquide en cas </w:t>
      </w:r>
      <w:r w:rsidR="006F251B">
        <w:rPr>
          <w:lang w:val="fr-BE"/>
        </w:rPr>
        <w:t>de</w:t>
      </w:r>
      <w:r w:rsidR="00972E78">
        <w:rPr>
          <w:lang w:val="fr-BE"/>
        </w:rPr>
        <w:t xml:space="preserve"> tumeur solide</w:t>
      </w:r>
      <w:bookmarkEnd w:id="73"/>
    </w:p>
    <w:p w14:paraId="614F890B" w14:textId="77777777" w:rsidR="0046057C" w:rsidRPr="007C587C" w:rsidRDefault="0046057C" w:rsidP="0046057C">
      <w:pPr>
        <w:rPr>
          <w:lang w:val="fr-BE"/>
        </w:rPr>
      </w:pPr>
    </w:p>
    <w:p w14:paraId="434958D7" w14:textId="4BCAE84F" w:rsidR="0046057C" w:rsidRPr="007C587C" w:rsidRDefault="0046057C" w:rsidP="0046057C">
      <w:pPr>
        <w:rPr>
          <w:lang w:val="fr-BE"/>
        </w:rPr>
      </w:pPr>
      <w:r w:rsidRPr="007C587C">
        <w:rPr>
          <w:lang w:val="fr-BE"/>
        </w:rPr>
        <w:t>Remboursement : 400 €</w:t>
      </w:r>
    </w:p>
    <w:p w14:paraId="13406DD8" w14:textId="77777777" w:rsidR="0065318A" w:rsidRPr="007C587C" w:rsidRDefault="0065318A" w:rsidP="0046057C">
      <w:pPr>
        <w:rPr>
          <w:lang w:val="fr-BE"/>
        </w:rPr>
      </w:pPr>
    </w:p>
    <w:p w14:paraId="6FE214E2" w14:textId="1B72840C" w:rsidR="0046057C" w:rsidRPr="007C587C" w:rsidRDefault="0046057C" w:rsidP="0046057C">
      <w:pPr>
        <w:rPr>
          <w:rFonts w:ascii="Calibri" w:hAnsi="Calibri" w:cs="Calibri"/>
          <w:bCs/>
          <w:lang w:val="en-GB"/>
        </w:rPr>
      </w:pPr>
      <w:r w:rsidRPr="007C587C">
        <w:rPr>
          <w:lang w:val="en-GB"/>
        </w:rPr>
        <w:t xml:space="preserve">Indication: </w:t>
      </w:r>
    </w:p>
    <w:p w14:paraId="09583AEF" w14:textId="1F7AF662" w:rsidR="0046057C" w:rsidRPr="007C587C" w:rsidRDefault="0065318A" w:rsidP="0046057C">
      <w:pPr>
        <w:pStyle w:val="ListParagraph"/>
        <w:numPr>
          <w:ilvl w:val="0"/>
          <w:numId w:val="18"/>
        </w:numPr>
        <w:tabs>
          <w:tab w:val="right" w:pos="9214"/>
        </w:tabs>
        <w:spacing w:after="160" w:line="259" w:lineRule="auto"/>
        <w:rPr>
          <w:lang w:val="fr-BE"/>
        </w:rPr>
      </w:pPr>
      <w:r>
        <w:rPr>
          <w:lang w:val="fr-FR"/>
        </w:rPr>
        <w:t xml:space="preserve">Carcinome pulmonaire non squameux </w:t>
      </w:r>
      <w:r w:rsidRPr="00736304">
        <w:rPr>
          <w:lang w:val="fr-FR"/>
        </w:rPr>
        <w:t>(présence d’un composant ADC ou carcinome peu différencié pour lequel un ADC ne peut être exclu)</w:t>
      </w:r>
    </w:p>
    <w:p w14:paraId="62A2B28B" w14:textId="68F297CA" w:rsidR="0065318A" w:rsidRPr="007C587C" w:rsidRDefault="0065318A" w:rsidP="0046057C">
      <w:pPr>
        <w:pStyle w:val="ListParagraph"/>
        <w:numPr>
          <w:ilvl w:val="0"/>
          <w:numId w:val="18"/>
        </w:numPr>
        <w:tabs>
          <w:tab w:val="right" w:pos="9214"/>
        </w:tabs>
        <w:spacing w:after="160" w:line="259" w:lineRule="auto"/>
        <w:rPr>
          <w:lang w:val="fr-BE"/>
        </w:rPr>
      </w:pPr>
      <w:r>
        <w:rPr>
          <w:lang w:val="fr-FR"/>
        </w:rPr>
        <w:t>Carcinome pulmonaire squameux</w:t>
      </w:r>
      <w:r w:rsidRPr="0065318A">
        <w:rPr>
          <w:lang w:val="fr-FR"/>
        </w:rPr>
        <w:t xml:space="preserve"> </w:t>
      </w:r>
      <w:r w:rsidRPr="00736304">
        <w:rPr>
          <w:lang w:val="fr-FR"/>
        </w:rPr>
        <w:t>chez un patient qui n'a jamais ou rarement fumé</w:t>
      </w:r>
    </w:p>
    <w:p w14:paraId="212ED4A4" w14:textId="396A67A0" w:rsidR="0065318A" w:rsidRPr="0065318A" w:rsidRDefault="0065318A" w:rsidP="0065318A">
      <w:pPr>
        <w:pStyle w:val="ListParagraph"/>
        <w:numPr>
          <w:ilvl w:val="0"/>
          <w:numId w:val="18"/>
        </w:numPr>
        <w:rPr>
          <w:lang w:val="fr-BE"/>
        </w:rPr>
      </w:pPr>
      <w:r w:rsidRPr="0065318A">
        <w:rPr>
          <w:lang w:val="fr-BE"/>
        </w:rPr>
        <w:t>Carcinome pulmonaire avec progression endéans 1 an sous thérapie ciblée</w:t>
      </w:r>
    </w:p>
    <w:p w14:paraId="2DE2B7F1" w14:textId="77777777" w:rsidR="0094666E" w:rsidRPr="0094666E" w:rsidRDefault="0094666E" w:rsidP="0094666E">
      <w:pPr>
        <w:pStyle w:val="ListParagraph"/>
        <w:numPr>
          <w:ilvl w:val="0"/>
          <w:numId w:val="18"/>
        </w:numPr>
        <w:rPr>
          <w:lang w:val="fr-BE"/>
        </w:rPr>
      </w:pPr>
      <w:r w:rsidRPr="0094666E">
        <w:rPr>
          <w:lang w:val="fr-BE"/>
        </w:rPr>
        <w:t>Carcinome du sein métastatique, ER positif et HER2 négatif</w:t>
      </w:r>
    </w:p>
    <w:p w14:paraId="1A2551EC" w14:textId="77777777" w:rsidR="0094666E" w:rsidRPr="0094666E" w:rsidRDefault="0094666E" w:rsidP="0094666E">
      <w:pPr>
        <w:pStyle w:val="ListParagraph"/>
        <w:numPr>
          <w:ilvl w:val="0"/>
          <w:numId w:val="18"/>
        </w:numPr>
        <w:rPr>
          <w:lang w:val="fr-BE"/>
        </w:rPr>
      </w:pPr>
      <w:r w:rsidRPr="0094666E">
        <w:rPr>
          <w:lang w:val="fr-BE"/>
        </w:rPr>
        <w:t>Carcinome métastatique de la prostate résistant à la castration</w:t>
      </w:r>
    </w:p>
    <w:p w14:paraId="16F27C20" w14:textId="002011D1" w:rsidR="0065318A" w:rsidRPr="007C587C" w:rsidRDefault="0094666E" w:rsidP="007C587C">
      <w:pPr>
        <w:pStyle w:val="ListParagraph"/>
        <w:numPr>
          <w:ilvl w:val="0"/>
          <w:numId w:val="18"/>
        </w:numPr>
        <w:tabs>
          <w:tab w:val="right" w:pos="9214"/>
        </w:tabs>
        <w:spacing w:after="160" w:line="259" w:lineRule="auto"/>
        <w:rPr>
          <w:lang w:val="fr-BE"/>
        </w:rPr>
      </w:pPr>
      <w:r w:rsidRPr="0094666E">
        <w:rPr>
          <w:lang w:val="fr-BE"/>
        </w:rPr>
        <w:t>Cholangiocarcinome intrahépatique</w:t>
      </w:r>
    </w:p>
    <w:p w14:paraId="22F19592" w14:textId="77777777" w:rsidR="0065318A" w:rsidRDefault="0065318A" w:rsidP="0046057C"/>
    <w:p w14:paraId="18D99F25" w14:textId="39C057B5" w:rsidR="0046057C" w:rsidRPr="00736304" w:rsidRDefault="0046057C" w:rsidP="0046057C">
      <w:r w:rsidRPr="00736304">
        <w:t>Biomarqueurs minimaux à tester :</w:t>
      </w:r>
    </w:p>
    <w:p w14:paraId="527D4B1B" w14:textId="69131423" w:rsidR="0046057C" w:rsidRPr="009A5576" w:rsidRDefault="0046057C" w:rsidP="007C587C">
      <w:pPr>
        <w:pStyle w:val="ListParagraph"/>
        <w:numPr>
          <w:ilvl w:val="0"/>
          <w:numId w:val="18"/>
        </w:numPr>
        <w:tabs>
          <w:tab w:val="right" w:pos="9214"/>
        </w:tabs>
        <w:spacing w:after="160" w:line="259" w:lineRule="auto"/>
        <w:rPr>
          <w:iCs/>
        </w:rPr>
      </w:pPr>
      <w:r w:rsidRPr="00736304">
        <w:rPr>
          <w:iCs/>
          <w:lang w:val="fr-FR"/>
        </w:rPr>
        <w:t>Pas d’application</w:t>
      </w:r>
    </w:p>
    <w:p w14:paraId="2BB7240D" w14:textId="77777777" w:rsidR="0046057C" w:rsidRDefault="0046057C" w:rsidP="0046057C"/>
    <w:p w14:paraId="2BEEC703" w14:textId="77777777" w:rsidR="0046057C" w:rsidRPr="00736304" w:rsidRDefault="0046057C" w:rsidP="0046057C">
      <w:pPr>
        <w:tabs>
          <w:tab w:val="right" w:pos="9214"/>
        </w:tabs>
      </w:pPr>
      <w:r w:rsidRPr="00736304">
        <w:t>Enregistrement obligatoire dans PITTER :</w:t>
      </w:r>
    </w:p>
    <w:p w14:paraId="4A304FC9" w14:textId="77777777" w:rsidR="0046057C" w:rsidRPr="00736304" w:rsidRDefault="0046057C" w:rsidP="0046057C">
      <w:pPr>
        <w:pStyle w:val="ListParagraph"/>
        <w:numPr>
          <w:ilvl w:val="0"/>
          <w:numId w:val="18"/>
        </w:numPr>
        <w:tabs>
          <w:tab w:val="right" w:pos="9214"/>
        </w:tabs>
        <w:spacing w:after="160" w:line="259" w:lineRule="auto"/>
        <w:rPr>
          <w:iCs/>
          <w:lang w:val="fr-FR"/>
        </w:rPr>
      </w:pPr>
      <w:r w:rsidRPr="00736304">
        <w:rPr>
          <w:iCs/>
          <w:lang w:val="fr-FR"/>
        </w:rPr>
        <w:t>Pas d’application</w:t>
      </w:r>
    </w:p>
    <w:p w14:paraId="0F22A155" w14:textId="77777777" w:rsidR="0046057C" w:rsidRDefault="0046057C" w:rsidP="0046057C">
      <w:pPr>
        <w:tabs>
          <w:tab w:val="right" w:pos="9214"/>
        </w:tabs>
      </w:pPr>
    </w:p>
    <w:p w14:paraId="27D22139" w14:textId="52A49630" w:rsidR="0046057C" w:rsidRPr="00736304" w:rsidRDefault="0046057C" w:rsidP="0046057C">
      <w:pPr>
        <w:tabs>
          <w:tab w:val="right" w:pos="9214"/>
        </w:tabs>
      </w:pPr>
      <w:r w:rsidRPr="00736304">
        <w:t>Règles de cumul :</w:t>
      </w:r>
    </w:p>
    <w:p w14:paraId="43514946" w14:textId="77777777" w:rsidR="0046057C" w:rsidRDefault="0046057C" w:rsidP="0046057C">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00126249" w14:textId="70E96D8B" w:rsidR="0046057C" w:rsidRPr="00736304" w:rsidRDefault="0046057C" w:rsidP="0046057C">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sidR="00A70E9B">
        <w:rPr>
          <w:i/>
          <w:iCs/>
          <w:lang w:val="fr-FR"/>
        </w:rPr>
        <w:t>10</w:t>
      </w:r>
      <w:r>
        <w:rPr>
          <w:i/>
          <w:iCs/>
          <w:lang w:val="fr-FR"/>
        </w:rPr>
        <w:t> :</w:t>
      </w:r>
      <w:r w:rsidRPr="007C587C">
        <w:rPr>
          <w:lang w:val="fr-FR"/>
        </w:rPr>
        <w:t xml:space="preserve"> </w:t>
      </w:r>
      <w:r w:rsidR="005A25D2" w:rsidRPr="007C587C">
        <w:rPr>
          <w:lang w:val="fr-FR"/>
        </w:rPr>
        <w:t xml:space="preserve">Le code de pseudonomenclature n'est facturable que si le pseudo-code 535032-535043 , 535054-535065 , 535076-535080, 535231-535242 , 535356-535360 ou </w:t>
      </w:r>
      <w:r w:rsidR="00D25288" w:rsidRPr="00D25288">
        <w:rPr>
          <w:lang w:val="fr-FR"/>
        </w:rPr>
        <w:t>536034-536045</w:t>
      </w:r>
      <w:r w:rsidR="005A25D2" w:rsidRPr="007C587C">
        <w:rPr>
          <w:lang w:val="fr-FR"/>
        </w:rPr>
        <w:t xml:space="preserve"> est également facturé pendant la phase d’investigation diagnostique.</w:t>
      </w:r>
    </w:p>
    <w:p w14:paraId="68FA16D1" w14:textId="3CD2AC57" w:rsidR="00F57C4D" w:rsidRDefault="00F57C4D" w:rsidP="00407B8C"/>
    <w:p w14:paraId="2A06764E" w14:textId="6102AD55" w:rsidR="006F251B" w:rsidRPr="00F57A72" w:rsidRDefault="00153C7D" w:rsidP="006F251B">
      <w:pPr>
        <w:pStyle w:val="Heading3"/>
        <w:rPr>
          <w:lang w:val="fr-BE"/>
        </w:rPr>
      </w:pPr>
      <w:bookmarkStart w:id="74" w:name="_Toc215211280"/>
      <w:r w:rsidRPr="00153C7D">
        <w:t>536130-536141</w:t>
      </w:r>
      <w:r w:rsidR="00F57C4D" w:rsidRPr="00525E02">
        <w:rPr>
          <w:lang w:val="fr-BE"/>
        </w:rPr>
        <w:t xml:space="preserve"> : </w:t>
      </w:r>
      <w:r w:rsidR="006F251B">
        <w:rPr>
          <w:lang w:val="fr-BE"/>
        </w:rPr>
        <w:t>Complément</w:t>
      </w:r>
      <w:r w:rsidR="006F251B" w:rsidRPr="00F57A72">
        <w:rPr>
          <w:lang w:val="fr-BE"/>
        </w:rPr>
        <w:t xml:space="preserve"> p</w:t>
      </w:r>
      <w:r w:rsidR="006F251B">
        <w:rPr>
          <w:lang w:val="fr-BE"/>
        </w:rPr>
        <w:t>our l’exécution d’ un RNA-seq sur une biopsie liquide en cas de tumeur solide</w:t>
      </w:r>
      <w:bookmarkEnd w:id="74"/>
    </w:p>
    <w:p w14:paraId="2B093147" w14:textId="77777777" w:rsidR="00F57C4D" w:rsidRPr="00525E02" w:rsidRDefault="00F57C4D" w:rsidP="00F57C4D">
      <w:pPr>
        <w:rPr>
          <w:lang w:val="fr-BE"/>
        </w:rPr>
      </w:pPr>
    </w:p>
    <w:p w14:paraId="1AB433B5" w14:textId="77777777" w:rsidR="00F57C4D" w:rsidRPr="00525E02" w:rsidRDefault="00F57C4D" w:rsidP="00F57C4D">
      <w:pPr>
        <w:rPr>
          <w:lang w:val="fr-BE"/>
        </w:rPr>
      </w:pPr>
      <w:r w:rsidRPr="00525E02">
        <w:rPr>
          <w:lang w:val="fr-BE"/>
        </w:rPr>
        <w:t>Remboursement : 400 €</w:t>
      </w:r>
    </w:p>
    <w:p w14:paraId="0E30621A" w14:textId="77777777" w:rsidR="00F57C4D" w:rsidRPr="00525E02" w:rsidRDefault="00F57C4D" w:rsidP="00F57C4D">
      <w:pPr>
        <w:rPr>
          <w:lang w:val="fr-BE"/>
        </w:rPr>
      </w:pPr>
    </w:p>
    <w:p w14:paraId="71302D86" w14:textId="77777777" w:rsidR="00F57C4D" w:rsidRPr="00525E02" w:rsidRDefault="00F57C4D" w:rsidP="00F57C4D">
      <w:pPr>
        <w:rPr>
          <w:rFonts w:ascii="Calibri" w:hAnsi="Calibri" w:cs="Calibri"/>
          <w:bCs/>
          <w:lang w:val="en-GB"/>
        </w:rPr>
      </w:pPr>
      <w:r w:rsidRPr="00525E02">
        <w:rPr>
          <w:lang w:val="en-GB"/>
        </w:rPr>
        <w:t xml:space="preserve">Indication: </w:t>
      </w:r>
    </w:p>
    <w:p w14:paraId="604F62B7" w14:textId="226713AC" w:rsidR="00F57C4D" w:rsidRPr="00525E02" w:rsidRDefault="00F57C4D" w:rsidP="00F57C4D">
      <w:pPr>
        <w:pStyle w:val="ListParagraph"/>
        <w:numPr>
          <w:ilvl w:val="0"/>
          <w:numId w:val="18"/>
        </w:numPr>
        <w:tabs>
          <w:tab w:val="right" w:pos="9214"/>
        </w:tabs>
        <w:spacing w:after="160" w:line="259" w:lineRule="auto"/>
        <w:rPr>
          <w:lang w:val="fr-BE"/>
        </w:rPr>
      </w:pPr>
      <w:r>
        <w:rPr>
          <w:lang w:val="fr-FR"/>
        </w:rPr>
        <w:lastRenderedPageBreak/>
        <w:t xml:space="preserve">Carcinome pulmonaire </w:t>
      </w:r>
      <w:r w:rsidRPr="00F57C4D">
        <w:rPr>
          <w:lang w:val="fr-FR"/>
        </w:rPr>
        <w:t>d'un patient pour lequel aucun mutation driver n'a été trouvé (avec NGS ou autre technique moléculaire) ou d’un patient n’ayant jamais/peu fumé</w:t>
      </w:r>
    </w:p>
    <w:p w14:paraId="56EF64E9" w14:textId="4BA1CF4A" w:rsidR="00F57C4D" w:rsidRPr="00525E02" w:rsidRDefault="00F57C4D" w:rsidP="00F57C4D">
      <w:pPr>
        <w:pStyle w:val="ListParagraph"/>
        <w:numPr>
          <w:ilvl w:val="0"/>
          <w:numId w:val="18"/>
        </w:numPr>
        <w:tabs>
          <w:tab w:val="right" w:pos="9214"/>
        </w:tabs>
        <w:spacing w:after="160" w:line="259" w:lineRule="auto"/>
        <w:rPr>
          <w:lang w:val="fr-BE"/>
        </w:rPr>
      </w:pPr>
      <w:r w:rsidRPr="0094666E">
        <w:rPr>
          <w:lang w:val="fr-BE"/>
        </w:rPr>
        <w:t>Cholangiocarcinome intrahépatique</w:t>
      </w:r>
      <w:r>
        <w:rPr>
          <w:lang w:val="fr-BE"/>
        </w:rPr>
        <w:t xml:space="preserve"> </w:t>
      </w:r>
      <w:r w:rsidRPr="00F57C4D">
        <w:rPr>
          <w:lang w:val="fr-BE"/>
        </w:rPr>
        <w:t>chez un patient pour lequel aucun mutation driver n'a été trouvé (avec NGS ou autre technique moléculaire)</w:t>
      </w:r>
    </w:p>
    <w:p w14:paraId="38FF121E" w14:textId="77777777" w:rsidR="00F57C4D" w:rsidRDefault="00F57C4D" w:rsidP="00F57C4D"/>
    <w:p w14:paraId="2C66C9B7" w14:textId="77777777" w:rsidR="00F57C4D" w:rsidRPr="00736304" w:rsidRDefault="00F57C4D" w:rsidP="00F57C4D">
      <w:r w:rsidRPr="00736304">
        <w:t>Biomarqueurs minimaux à tester :</w:t>
      </w:r>
    </w:p>
    <w:p w14:paraId="7E552986" w14:textId="77777777" w:rsidR="00F57C4D" w:rsidRPr="00525E02" w:rsidRDefault="00F57C4D" w:rsidP="00F57C4D">
      <w:pPr>
        <w:pStyle w:val="ListParagraph"/>
        <w:numPr>
          <w:ilvl w:val="0"/>
          <w:numId w:val="18"/>
        </w:numPr>
        <w:tabs>
          <w:tab w:val="right" w:pos="9214"/>
        </w:tabs>
        <w:spacing w:after="160" w:line="259" w:lineRule="auto"/>
        <w:rPr>
          <w:iCs/>
          <w:lang w:val="fr-FR"/>
        </w:rPr>
      </w:pPr>
      <w:r w:rsidRPr="00736304">
        <w:rPr>
          <w:iCs/>
          <w:lang w:val="fr-FR"/>
        </w:rPr>
        <w:t>Pas d’application</w:t>
      </w:r>
    </w:p>
    <w:p w14:paraId="2426F4CA" w14:textId="77777777" w:rsidR="00F57C4D" w:rsidRDefault="00F57C4D" w:rsidP="00F57C4D"/>
    <w:p w14:paraId="0589ADA5" w14:textId="77777777" w:rsidR="00F57C4D" w:rsidRPr="00736304" w:rsidRDefault="00F57C4D" w:rsidP="00F57C4D">
      <w:pPr>
        <w:tabs>
          <w:tab w:val="right" w:pos="9214"/>
        </w:tabs>
      </w:pPr>
      <w:r w:rsidRPr="00736304">
        <w:t>Enregistrement obligatoire dans PITTER :</w:t>
      </w:r>
    </w:p>
    <w:p w14:paraId="0DD758A1" w14:textId="77777777" w:rsidR="00F57C4D" w:rsidRPr="00736304" w:rsidRDefault="00F57C4D" w:rsidP="00F57C4D">
      <w:pPr>
        <w:pStyle w:val="ListParagraph"/>
        <w:numPr>
          <w:ilvl w:val="0"/>
          <w:numId w:val="18"/>
        </w:numPr>
        <w:tabs>
          <w:tab w:val="right" w:pos="9214"/>
        </w:tabs>
        <w:spacing w:after="160" w:line="259" w:lineRule="auto"/>
        <w:rPr>
          <w:iCs/>
          <w:lang w:val="fr-FR"/>
        </w:rPr>
      </w:pPr>
      <w:r w:rsidRPr="00736304">
        <w:rPr>
          <w:iCs/>
          <w:lang w:val="fr-FR"/>
        </w:rPr>
        <w:t>Pas d’application</w:t>
      </w:r>
    </w:p>
    <w:p w14:paraId="196FC91F" w14:textId="77777777" w:rsidR="00F57C4D" w:rsidRDefault="00F57C4D" w:rsidP="00F57C4D">
      <w:pPr>
        <w:tabs>
          <w:tab w:val="right" w:pos="9214"/>
        </w:tabs>
      </w:pPr>
    </w:p>
    <w:p w14:paraId="70835950" w14:textId="77777777" w:rsidR="00F57C4D" w:rsidRPr="00736304" w:rsidRDefault="00F57C4D" w:rsidP="00F57C4D">
      <w:pPr>
        <w:tabs>
          <w:tab w:val="right" w:pos="9214"/>
        </w:tabs>
      </w:pPr>
      <w:r w:rsidRPr="00736304">
        <w:t>Règles de cumul :</w:t>
      </w:r>
    </w:p>
    <w:p w14:paraId="7A0654F6" w14:textId="77777777" w:rsidR="00F57C4D" w:rsidRDefault="00F57C4D" w:rsidP="00F57C4D">
      <w:pPr>
        <w:pStyle w:val="ListParagraph"/>
        <w:numPr>
          <w:ilvl w:val="0"/>
          <w:numId w:val="16"/>
        </w:numPr>
        <w:tabs>
          <w:tab w:val="right" w:pos="9214"/>
        </w:tabs>
        <w:spacing w:after="160" w:line="259" w:lineRule="auto"/>
        <w:rPr>
          <w:lang w:val="fr-FR"/>
        </w:rPr>
      </w:pPr>
      <w:r w:rsidRPr="00736304">
        <w:rPr>
          <w:i/>
          <w:iCs/>
          <w:lang w:val="fr-FR"/>
        </w:rPr>
        <w:t xml:space="preserve">Règle diagnostique 1 : </w:t>
      </w:r>
      <w:r w:rsidRPr="00736304">
        <w:rPr>
          <w:lang w:val="fr-FR"/>
        </w:rPr>
        <w:t xml:space="preserve">Le </w:t>
      </w:r>
      <w:r>
        <w:rPr>
          <w:lang w:val="fr-FR"/>
        </w:rPr>
        <w:t>code de pseudonomenclature n</w:t>
      </w:r>
      <w:r w:rsidRPr="00736304">
        <w:rPr>
          <w:lang w:val="fr-FR"/>
        </w:rPr>
        <w:t xml:space="preserve">e peut être facturé </w:t>
      </w:r>
      <w:r w:rsidRPr="00736304">
        <w:rPr>
          <w:b/>
          <w:bCs/>
          <w:u w:val="single"/>
          <w:lang w:val="fr-FR"/>
        </w:rPr>
        <w:t>qu'une seule fois par période de 12 mois</w:t>
      </w:r>
      <w:r w:rsidRPr="00736304">
        <w:rPr>
          <w:lang w:val="fr-FR"/>
        </w:rPr>
        <w:t>.</w:t>
      </w:r>
    </w:p>
    <w:p w14:paraId="5FF647CB" w14:textId="3ADDDD03" w:rsidR="00F57C4D" w:rsidRPr="00736304" w:rsidRDefault="00F57C4D" w:rsidP="00F57C4D">
      <w:pPr>
        <w:pStyle w:val="ListParagraph"/>
        <w:numPr>
          <w:ilvl w:val="0"/>
          <w:numId w:val="16"/>
        </w:numPr>
        <w:tabs>
          <w:tab w:val="right" w:pos="9214"/>
        </w:tabs>
        <w:spacing w:after="160" w:line="259" w:lineRule="auto"/>
        <w:rPr>
          <w:lang w:val="fr-FR"/>
        </w:rPr>
      </w:pPr>
      <w:r w:rsidRPr="00736304">
        <w:rPr>
          <w:i/>
          <w:iCs/>
          <w:lang w:val="fr-FR"/>
        </w:rPr>
        <w:t xml:space="preserve">Règle diagnostique </w:t>
      </w:r>
      <w:r w:rsidR="00A70E9B">
        <w:rPr>
          <w:i/>
          <w:iCs/>
          <w:lang w:val="fr-FR"/>
        </w:rPr>
        <w:t>31</w:t>
      </w:r>
      <w:r w:rsidR="00570B12">
        <w:rPr>
          <w:i/>
          <w:iCs/>
          <w:lang w:val="fr-FR"/>
        </w:rPr>
        <w:t> :</w:t>
      </w:r>
      <w:r w:rsidR="00570B12" w:rsidRPr="007C587C">
        <w:rPr>
          <w:lang w:val="fr-FR"/>
        </w:rPr>
        <w:t xml:space="preserve"> Le code de pseudonomenclature n'est facturable que si le pseudo-code 535091-535102 ou </w:t>
      </w:r>
      <w:r w:rsidR="00153C7D" w:rsidRPr="00153C7D">
        <w:rPr>
          <w:lang w:val="fr-FR"/>
        </w:rPr>
        <w:t>536056-536060</w:t>
      </w:r>
      <w:r w:rsidR="00570B12" w:rsidRPr="007C587C">
        <w:rPr>
          <w:lang w:val="fr-FR"/>
        </w:rPr>
        <w:t xml:space="preserve"> est également facturé </w:t>
      </w:r>
      <w:r w:rsidR="00570B12" w:rsidRPr="007C587C">
        <w:rPr>
          <w:b/>
          <w:bCs/>
          <w:lang w:val="fr-FR"/>
        </w:rPr>
        <w:t>pendant la phase d’investigation diagnostique.</w:t>
      </w:r>
    </w:p>
    <w:p w14:paraId="5D4A4F01" w14:textId="792A522E" w:rsidR="00407B8C" w:rsidRPr="00096D02" w:rsidRDefault="00F57C4D" w:rsidP="007C587C">
      <w:pPr>
        <w:pStyle w:val="Heading3"/>
        <w:rPr>
          <w:rFonts w:eastAsia="Calibri"/>
        </w:rPr>
      </w:pPr>
      <w:r>
        <w:br w:type="page"/>
      </w:r>
      <w:bookmarkStart w:id="75" w:name="_Toc167180275"/>
      <w:bookmarkStart w:id="76" w:name="_Toc215211281"/>
      <w:r w:rsidR="00407B8C" w:rsidRPr="00096D02">
        <w:rPr>
          <w:rFonts w:eastAsia="Calibri"/>
        </w:rPr>
        <w:lastRenderedPageBreak/>
        <w:t>Tableau indiquant les versions des références NM des biomarqueurs à analyser</w:t>
      </w:r>
      <w:bookmarkEnd w:id="75"/>
      <w:bookmarkEnd w:id="76"/>
      <w:r w:rsidR="00407B8C" w:rsidRPr="00096D02">
        <w:rPr>
          <w:rFonts w:eastAsia="Calibri"/>
        </w:rPr>
        <w:t xml:space="preserve"> </w:t>
      </w:r>
    </w:p>
    <w:p w14:paraId="06C5B59B" w14:textId="77777777" w:rsidR="00407B8C" w:rsidRDefault="00407B8C" w:rsidP="00407B8C">
      <w:pPr>
        <w:jc w:val="both"/>
        <w:rPr>
          <w:rFonts w:ascii="Calibri" w:eastAsia="Calibri" w:hAnsi="Calibri" w:cs="Times New Roman"/>
          <w:bCs/>
        </w:rPr>
      </w:pPr>
    </w:p>
    <w:p w14:paraId="69D49F6C" w14:textId="77777777" w:rsidR="00407B8C" w:rsidRDefault="00407B8C" w:rsidP="00407B8C">
      <w:pPr>
        <w:jc w:val="both"/>
        <w:rPr>
          <w:rFonts w:ascii="Calibri" w:eastAsia="Calibri" w:hAnsi="Calibri" w:cs="Times New Roman"/>
          <w:bCs/>
        </w:rPr>
      </w:pPr>
      <w:r w:rsidRPr="00F455A6">
        <w:rPr>
          <w:rFonts w:ascii="Calibri" w:eastAsia="Calibri" w:hAnsi="Calibri" w:cs="Times New Roman"/>
          <w:bCs/>
        </w:rPr>
        <w:t>Tableau indiquant, à titre informatif, les versions des références NM sur lesquelles ont été définies les régions des gènes à analyser (une autre version peut être utilisée dans le rapport NGS).</w:t>
      </w:r>
    </w:p>
    <w:p w14:paraId="1CF4E135" w14:textId="77777777" w:rsidR="00407B8C" w:rsidRPr="00F455A6" w:rsidRDefault="00407B8C" w:rsidP="00407B8C">
      <w:pPr>
        <w:jc w:val="both"/>
        <w:rPr>
          <w:rFonts w:ascii="Calibri" w:eastAsia="Calibri" w:hAnsi="Calibri" w:cs="Times New Roman"/>
          <w:bCs/>
        </w:rPr>
      </w:pPr>
    </w:p>
    <w:tbl>
      <w:tblPr>
        <w:tblW w:w="3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3"/>
        <w:gridCol w:w="2100"/>
      </w:tblGrid>
      <w:tr w:rsidR="00407B8C" w14:paraId="601D693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970621A" w14:textId="77777777" w:rsidR="00407B8C" w:rsidRDefault="00407B8C" w:rsidP="009249EA">
            <w:pPr>
              <w:spacing w:after="0" w:line="240" w:lineRule="auto"/>
              <w:jc w:val="both"/>
              <w:rPr>
                <w:rFonts w:ascii="Calibri" w:eastAsia="Times New Roman" w:hAnsi="Calibri" w:cs="Calibri"/>
                <w:b/>
                <w:bCs/>
                <w:color w:val="000000"/>
                <w:lang w:val="fr-BE" w:eastAsia="fr-BE"/>
              </w:rPr>
            </w:pPr>
            <w:r>
              <w:rPr>
                <w:rFonts w:ascii="Calibri" w:eastAsia="Times New Roman" w:hAnsi="Calibri" w:cs="Calibri"/>
                <w:b/>
                <w:bCs/>
                <w:color w:val="000000"/>
                <w:lang w:val="fr-BE" w:eastAsia="fr-BE"/>
              </w:rPr>
              <w:t>gene</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77073F5" w14:textId="77777777" w:rsidR="00407B8C" w:rsidRDefault="00407B8C" w:rsidP="009249EA">
            <w:pPr>
              <w:spacing w:after="0" w:line="240" w:lineRule="auto"/>
              <w:jc w:val="both"/>
              <w:rPr>
                <w:rFonts w:ascii="Calibri" w:eastAsia="Times New Roman" w:hAnsi="Calibri" w:cs="Calibri"/>
                <w:b/>
                <w:bCs/>
                <w:color w:val="000000"/>
                <w:lang w:val="fr-BE" w:eastAsia="fr-BE"/>
              </w:rPr>
            </w:pPr>
            <w:r>
              <w:rPr>
                <w:rFonts w:ascii="Calibri" w:eastAsia="Times New Roman" w:hAnsi="Calibri" w:cs="Calibri"/>
                <w:b/>
                <w:bCs/>
                <w:color w:val="000000"/>
                <w:lang w:val="fr-BE" w:eastAsia="fr-BE"/>
              </w:rPr>
              <w:t>Transcript ID (NM)</w:t>
            </w:r>
          </w:p>
        </w:tc>
      </w:tr>
      <w:tr w:rsidR="00E05258" w14:paraId="44D9E95C"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4E703F41" w14:textId="1A08BCE0" w:rsidR="00E05258" w:rsidRDefault="00E05258"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AKT1</w:t>
            </w:r>
          </w:p>
        </w:tc>
        <w:tc>
          <w:tcPr>
            <w:tcW w:w="2100" w:type="dxa"/>
            <w:tcBorders>
              <w:top w:val="single" w:sz="4" w:space="0" w:color="auto"/>
              <w:left w:val="single" w:sz="4" w:space="0" w:color="auto"/>
              <w:bottom w:val="single" w:sz="4" w:space="0" w:color="auto"/>
              <w:right w:val="single" w:sz="4" w:space="0" w:color="auto"/>
            </w:tcBorders>
            <w:noWrap/>
            <w:vAlign w:val="center"/>
          </w:tcPr>
          <w:p w14:paraId="43378AF0" w14:textId="5A4DA2ED" w:rsidR="00E05258" w:rsidRDefault="004D0FF9" w:rsidP="009249EA">
            <w:pPr>
              <w:spacing w:after="0" w:line="240" w:lineRule="auto"/>
              <w:jc w:val="both"/>
            </w:pPr>
            <w:r w:rsidRPr="004D0FF9">
              <w:t>NM_001382431.1</w:t>
            </w:r>
          </w:p>
        </w:tc>
      </w:tr>
      <w:tr w:rsidR="00407B8C" w14:paraId="279161DD"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635AAD23"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ALK</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8B0F41A" w14:textId="77777777" w:rsidR="00407B8C" w:rsidRDefault="00407B8C" w:rsidP="009249EA">
            <w:pPr>
              <w:spacing w:after="0" w:line="240" w:lineRule="auto"/>
              <w:jc w:val="both"/>
              <w:rPr>
                <w:rFonts w:ascii="Calibri" w:eastAsia="Times New Roman" w:hAnsi="Calibri" w:cs="Calibri"/>
                <w:bCs/>
                <w:color w:val="000000"/>
                <w:lang w:val="fr-BE" w:eastAsia="fr-BE"/>
              </w:rPr>
            </w:pPr>
            <w:hyperlink w:history="1">
              <w:r>
                <w:rPr>
                  <w:rStyle w:val="Hyperlink"/>
                  <w:rFonts w:ascii="Calibri" w:eastAsia="Times New Roman" w:hAnsi="Calibri" w:cs="Calibri"/>
                  <w:bCs/>
                  <w:lang w:val="fr-BE" w:eastAsia="fr-BE"/>
                </w:rPr>
                <w:t>NM</w:t>
              </w:r>
            </w:hyperlink>
            <w:r>
              <w:rPr>
                <w:rFonts w:ascii="Calibri" w:eastAsia="Times New Roman" w:hAnsi="Calibri" w:cs="Calibri"/>
                <w:bCs/>
                <w:color w:val="58595B"/>
                <w:lang w:val="fr-BE" w:eastAsia="fr-BE"/>
              </w:rPr>
              <w:t>_004304.5</w:t>
            </w:r>
          </w:p>
        </w:tc>
      </w:tr>
      <w:tr w:rsidR="00E05258" w14:paraId="50A2AD94"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6EA264A0" w14:textId="20728ED1" w:rsidR="00E05258"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APC</w:t>
            </w:r>
          </w:p>
        </w:tc>
        <w:tc>
          <w:tcPr>
            <w:tcW w:w="2100" w:type="dxa"/>
            <w:tcBorders>
              <w:top w:val="single" w:sz="4" w:space="0" w:color="auto"/>
              <w:left w:val="single" w:sz="4" w:space="0" w:color="auto"/>
              <w:bottom w:val="single" w:sz="4" w:space="0" w:color="auto"/>
              <w:right w:val="single" w:sz="4" w:space="0" w:color="auto"/>
            </w:tcBorders>
            <w:noWrap/>
            <w:vAlign w:val="center"/>
          </w:tcPr>
          <w:p w14:paraId="66FB4569" w14:textId="1EBC4CC8" w:rsidR="00E05258" w:rsidRDefault="004D0FF9" w:rsidP="009249EA">
            <w:pPr>
              <w:spacing w:after="0" w:line="240" w:lineRule="auto"/>
              <w:jc w:val="both"/>
            </w:pPr>
            <w:r>
              <w:t>NM_000038.6</w:t>
            </w:r>
          </w:p>
        </w:tc>
      </w:tr>
      <w:tr w:rsidR="00E05258" w14:paraId="43623E98"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20543C04" w14:textId="4F1435AC" w:rsidR="00E05258"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ATM</w:t>
            </w:r>
          </w:p>
        </w:tc>
        <w:tc>
          <w:tcPr>
            <w:tcW w:w="2100" w:type="dxa"/>
            <w:tcBorders>
              <w:top w:val="single" w:sz="4" w:space="0" w:color="auto"/>
              <w:left w:val="single" w:sz="4" w:space="0" w:color="auto"/>
              <w:bottom w:val="single" w:sz="4" w:space="0" w:color="auto"/>
              <w:right w:val="single" w:sz="4" w:space="0" w:color="auto"/>
            </w:tcBorders>
            <w:noWrap/>
            <w:vAlign w:val="center"/>
          </w:tcPr>
          <w:p w14:paraId="5A8F37F3" w14:textId="4594F472" w:rsidR="00E05258" w:rsidRDefault="004D0FF9" w:rsidP="009249EA">
            <w:pPr>
              <w:spacing w:after="0" w:line="240" w:lineRule="auto"/>
              <w:jc w:val="both"/>
            </w:pPr>
            <w:r>
              <w:t>NM_000051.4</w:t>
            </w:r>
          </w:p>
        </w:tc>
      </w:tr>
      <w:tr w:rsidR="00E05258" w14:paraId="3067D7F4"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37166815" w14:textId="41DA1D46" w:rsidR="00E05258"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ATR</w:t>
            </w:r>
          </w:p>
        </w:tc>
        <w:tc>
          <w:tcPr>
            <w:tcW w:w="2100" w:type="dxa"/>
            <w:tcBorders>
              <w:top w:val="single" w:sz="4" w:space="0" w:color="auto"/>
              <w:left w:val="single" w:sz="4" w:space="0" w:color="auto"/>
              <w:bottom w:val="single" w:sz="4" w:space="0" w:color="auto"/>
              <w:right w:val="single" w:sz="4" w:space="0" w:color="auto"/>
            </w:tcBorders>
            <w:noWrap/>
            <w:vAlign w:val="center"/>
          </w:tcPr>
          <w:p w14:paraId="71A3B51C" w14:textId="293892AA" w:rsidR="00E05258" w:rsidRDefault="004D0FF9" w:rsidP="009249EA">
            <w:pPr>
              <w:spacing w:after="0" w:line="240" w:lineRule="auto"/>
              <w:jc w:val="both"/>
            </w:pPr>
            <w:r>
              <w:t>NM_001184.4</w:t>
            </w:r>
          </w:p>
        </w:tc>
      </w:tr>
      <w:tr w:rsidR="00407B8C" w14:paraId="3416402D"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0F641BA7"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BAP1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E858A45" w14:textId="77777777" w:rsidR="00407B8C" w:rsidRDefault="00407B8C" w:rsidP="009249EA">
            <w:pPr>
              <w:spacing w:after="0" w:line="240" w:lineRule="auto"/>
              <w:jc w:val="both"/>
              <w:rPr>
                <w:rFonts w:ascii="Calibri" w:eastAsia="Times New Roman" w:hAnsi="Calibri" w:cs="Calibri"/>
                <w:bCs/>
                <w:color w:val="000000"/>
                <w:lang w:val="fr-BE" w:eastAsia="fr-BE"/>
              </w:rPr>
            </w:pPr>
            <w:r>
              <w:rPr>
                <w:rStyle w:val="ui-provider"/>
                <w:rFonts w:ascii="Calibri" w:eastAsia="Times New Roman" w:hAnsi="Calibri" w:cs="Calibri"/>
                <w:bCs/>
                <w:color w:val="000000"/>
                <w:lang w:val="fr-BE" w:eastAsia="fr-BE"/>
              </w:rPr>
              <w:t>NM_004656.4</w:t>
            </w:r>
          </w:p>
        </w:tc>
      </w:tr>
      <w:tr w:rsidR="00407B8C" w14:paraId="4813C77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4A8C049"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BRAF</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8E5845D"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NM_004333.6</w:t>
            </w:r>
          </w:p>
        </w:tc>
      </w:tr>
      <w:tr w:rsidR="00407B8C" w14:paraId="25A1FA4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9D703DB"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BRCA1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8BBBF2E"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NM_007294.4</w:t>
            </w:r>
          </w:p>
        </w:tc>
      </w:tr>
      <w:tr w:rsidR="00407B8C" w14:paraId="3F90E11B"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20BB3A9"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BRCA2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5F83EE0"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NM_000059.4</w:t>
            </w:r>
          </w:p>
        </w:tc>
      </w:tr>
      <w:tr w:rsidR="00E05258" w14:paraId="0919E3B6"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1202D346" w14:textId="574063A8" w:rsidR="00E05258"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CDK12</w:t>
            </w:r>
          </w:p>
        </w:tc>
        <w:tc>
          <w:tcPr>
            <w:tcW w:w="2100" w:type="dxa"/>
            <w:tcBorders>
              <w:top w:val="single" w:sz="4" w:space="0" w:color="auto"/>
              <w:left w:val="single" w:sz="4" w:space="0" w:color="auto"/>
              <w:bottom w:val="single" w:sz="4" w:space="0" w:color="auto"/>
              <w:right w:val="single" w:sz="4" w:space="0" w:color="auto"/>
            </w:tcBorders>
            <w:noWrap/>
            <w:vAlign w:val="center"/>
          </w:tcPr>
          <w:p w14:paraId="116FCD0B" w14:textId="1A154C33" w:rsidR="00E05258"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NM_016507.4</w:t>
            </w:r>
          </w:p>
        </w:tc>
      </w:tr>
      <w:tr w:rsidR="00E05258" w14:paraId="1C371C5D"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7065CF12" w14:textId="5EFE78F6" w:rsidR="00E05258"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CHEK2</w:t>
            </w:r>
          </w:p>
        </w:tc>
        <w:tc>
          <w:tcPr>
            <w:tcW w:w="2100" w:type="dxa"/>
            <w:tcBorders>
              <w:top w:val="single" w:sz="4" w:space="0" w:color="auto"/>
              <w:left w:val="single" w:sz="4" w:space="0" w:color="auto"/>
              <w:bottom w:val="single" w:sz="4" w:space="0" w:color="auto"/>
              <w:right w:val="single" w:sz="4" w:space="0" w:color="auto"/>
            </w:tcBorders>
            <w:noWrap/>
            <w:vAlign w:val="center"/>
          </w:tcPr>
          <w:p w14:paraId="0CC5D2DD" w14:textId="03F1075A" w:rsidR="00E05258"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NM_007194.4</w:t>
            </w:r>
          </w:p>
        </w:tc>
      </w:tr>
      <w:tr w:rsidR="00407B8C" w14:paraId="6FB28E14"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4189875"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CTNNB1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E9D9D91"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NM_001904.4</w:t>
            </w:r>
          </w:p>
        </w:tc>
      </w:tr>
      <w:tr w:rsidR="00407B8C" w14:paraId="6C1CE568"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0017D44"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DICER1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42F780A"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8" w:history="1">
              <w:r>
                <w:rPr>
                  <w:rStyle w:val="Hyperlink"/>
                  <w:rFonts w:ascii="Calibri" w:hAnsi="Calibri" w:cs="Calibri"/>
                  <w:shd w:val="clear" w:color="auto" w:fill="FFFFFF"/>
                </w:rPr>
                <w:t>NM_177438</w:t>
              </w:r>
            </w:hyperlink>
            <w:r>
              <w:rPr>
                <w:rStyle w:val="Hyperlink"/>
                <w:rFonts w:ascii="Calibri" w:hAnsi="Calibri" w:cs="Calibri"/>
                <w:shd w:val="clear" w:color="auto" w:fill="FFFFFF"/>
              </w:rPr>
              <w:t>.3</w:t>
            </w:r>
          </w:p>
        </w:tc>
      </w:tr>
      <w:tr w:rsidR="00407B8C" w14:paraId="2F23EA3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2B99B574"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EGFR</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2D2E18E"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NM_005228.5</w:t>
            </w:r>
          </w:p>
        </w:tc>
      </w:tr>
      <w:tr w:rsidR="00407B8C" w14:paraId="3D49EB90"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0FDC18F8"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EIF1AX</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9B69A4B"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NM_001412.4</w:t>
            </w:r>
          </w:p>
        </w:tc>
      </w:tr>
      <w:tr w:rsidR="00407B8C" w14:paraId="51672924"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7DED59E"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ELOC</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1AB5F43B"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NM_005648.4</w:t>
            </w:r>
          </w:p>
        </w:tc>
      </w:tr>
      <w:tr w:rsidR="00B6383D" w14:paraId="56A32880"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7708FE3D" w14:textId="5274E29A"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ERBB2</w:t>
            </w:r>
          </w:p>
        </w:tc>
        <w:tc>
          <w:tcPr>
            <w:tcW w:w="2100" w:type="dxa"/>
            <w:tcBorders>
              <w:top w:val="single" w:sz="4" w:space="0" w:color="auto"/>
              <w:left w:val="single" w:sz="4" w:space="0" w:color="auto"/>
              <w:bottom w:val="single" w:sz="4" w:space="0" w:color="auto"/>
              <w:right w:val="single" w:sz="4" w:space="0" w:color="auto"/>
            </w:tcBorders>
            <w:noWrap/>
            <w:vAlign w:val="center"/>
          </w:tcPr>
          <w:p w14:paraId="2F0E6771" w14:textId="2EB3CE29"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NM_004448.4</w:t>
            </w:r>
          </w:p>
        </w:tc>
      </w:tr>
      <w:tr w:rsidR="00407B8C" w14:paraId="21EE0E8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DA21C45"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ESR1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F238D3C"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NM_000125.4</w:t>
            </w:r>
          </w:p>
        </w:tc>
      </w:tr>
      <w:tr w:rsidR="00B6383D" w14:paraId="0CB83F57"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0ABC1923" w14:textId="6BFF5422"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FANCA</w:t>
            </w:r>
          </w:p>
        </w:tc>
        <w:tc>
          <w:tcPr>
            <w:tcW w:w="2100" w:type="dxa"/>
            <w:tcBorders>
              <w:top w:val="single" w:sz="4" w:space="0" w:color="auto"/>
              <w:left w:val="single" w:sz="4" w:space="0" w:color="auto"/>
              <w:bottom w:val="single" w:sz="4" w:space="0" w:color="auto"/>
              <w:right w:val="single" w:sz="4" w:space="0" w:color="auto"/>
            </w:tcBorders>
            <w:noWrap/>
            <w:vAlign w:val="center"/>
          </w:tcPr>
          <w:p w14:paraId="6D1D00E5" w14:textId="7389549E"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NM_000135.4</w:t>
            </w:r>
          </w:p>
        </w:tc>
      </w:tr>
      <w:tr w:rsidR="00407B8C" w14:paraId="7AD3211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44B09282"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FGFR1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4F15EEA"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NM_023110.3</w:t>
            </w:r>
          </w:p>
        </w:tc>
      </w:tr>
      <w:tr w:rsidR="00B6383D" w14:paraId="30A55157"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249A0508" w14:textId="30859A87"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FGFR3</w:t>
            </w:r>
          </w:p>
        </w:tc>
        <w:tc>
          <w:tcPr>
            <w:tcW w:w="2100" w:type="dxa"/>
            <w:tcBorders>
              <w:top w:val="single" w:sz="4" w:space="0" w:color="auto"/>
              <w:left w:val="single" w:sz="4" w:space="0" w:color="auto"/>
              <w:bottom w:val="single" w:sz="4" w:space="0" w:color="auto"/>
              <w:right w:val="single" w:sz="4" w:space="0" w:color="auto"/>
            </w:tcBorders>
            <w:noWrap/>
            <w:vAlign w:val="center"/>
          </w:tcPr>
          <w:p w14:paraId="43BFD042" w14:textId="52A49FAC"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NM_000142.5</w:t>
            </w:r>
          </w:p>
        </w:tc>
      </w:tr>
      <w:tr w:rsidR="00407B8C" w14:paraId="7C03F3B5"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10A9EA72"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GNA11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193BE9A"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NM_002067.5</w:t>
            </w:r>
          </w:p>
        </w:tc>
      </w:tr>
      <w:tr w:rsidR="00407B8C" w14:paraId="30179632"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EA957D2"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GNAQ</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19AF0E1"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NM_002072.5</w:t>
            </w:r>
          </w:p>
        </w:tc>
      </w:tr>
      <w:tr w:rsidR="00407B8C" w14:paraId="5EFB7A3C"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13E9C752"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GNAS</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A905AE3"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NM_000516.7</w:t>
            </w:r>
          </w:p>
        </w:tc>
      </w:tr>
      <w:tr w:rsidR="00407B8C" w14:paraId="46D249A0"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08D4817"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H3-3A</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77139F46"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NM_002107.7</w:t>
            </w:r>
          </w:p>
        </w:tc>
      </w:tr>
      <w:tr w:rsidR="00407B8C" w14:paraId="525910FC"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0C5F4915"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H3C2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E8368D2"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9" w:history="1">
              <w:r>
                <w:rPr>
                  <w:rStyle w:val="Hyperlink"/>
                  <w:rFonts w:ascii="Calibri" w:hAnsi="Calibri" w:cs="Calibri"/>
                  <w:shd w:val="clear" w:color="auto" w:fill="EEF0F7"/>
                </w:rPr>
                <w:t>NM_003537</w:t>
              </w:r>
            </w:hyperlink>
            <w:r>
              <w:rPr>
                <w:rStyle w:val="Hyperlink"/>
                <w:rFonts w:ascii="Calibri" w:hAnsi="Calibri" w:cs="Calibri"/>
                <w:shd w:val="clear" w:color="auto" w:fill="EEF0F7"/>
              </w:rPr>
              <w:t>.4</w:t>
            </w:r>
          </w:p>
        </w:tc>
      </w:tr>
      <w:tr w:rsidR="00407B8C" w14:paraId="11294D83"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DED8570"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H3C3</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5C24F71F"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10" w:history="1">
              <w:r>
                <w:rPr>
                  <w:rStyle w:val="Hyperlink"/>
                  <w:rFonts w:ascii="Calibri" w:hAnsi="Calibri" w:cs="Calibri"/>
                  <w:shd w:val="clear" w:color="auto" w:fill="EEF0F7"/>
                </w:rPr>
                <w:t>NM_003531</w:t>
              </w:r>
            </w:hyperlink>
            <w:r>
              <w:rPr>
                <w:rStyle w:val="Hyperlink"/>
                <w:rFonts w:ascii="Calibri" w:hAnsi="Calibri" w:cs="Calibri"/>
                <w:shd w:val="clear" w:color="auto" w:fill="EEF0F7"/>
              </w:rPr>
              <w:t>.3</w:t>
            </w:r>
          </w:p>
        </w:tc>
      </w:tr>
      <w:tr w:rsidR="00407B8C" w14:paraId="458F3CC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2E57187F"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HRAS</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5E5387D7"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NM_005343.4</w:t>
            </w:r>
          </w:p>
        </w:tc>
      </w:tr>
      <w:tr w:rsidR="00407B8C" w14:paraId="2DBD028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231BEAA0"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IDH1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104BC6B"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 xml:space="preserve">NM_005896.4 </w:t>
            </w:r>
          </w:p>
        </w:tc>
      </w:tr>
      <w:tr w:rsidR="00407B8C" w14:paraId="7737B9B5"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4715DA18"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IDH2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C5C97C9"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NM_002168.4</w:t>
            </w:r>
          </w:p>
        </w:tc>
      </w:tr>
      <w:tr w:rsidR="00407B8C" w14:paraId="3715C80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2FDC3DBB"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KIT</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F38F4D8"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NM_000222.3</w:t>
            </w:r>
          </w:p>
        </w:tc>
      </w:tr>
      <w:tr w:rsidR="00407B8C" w14:paraId="490C5A3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9A6976B"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KRAS</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70BC188"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NM_004985.5</w:t>
            </w:r>
          </w:p>
        </w:tc>
      </w:tr>
      <w:tr w:rsidR="00407B8C" w14:paraId="6E09522D"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9ECF731"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MET</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12D41A80"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NM_000245.4</w:t>
            </w:r>
          </w:p>
        </w:tc>
      </w:tr>
      <w:tr w:rsidR="00B6383D" w14:paraId="0825E661"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65D82FE1" w14:textId="46D5313B"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MLH1</w:t>
            </w:r>
          </w:p>
        </w:tc>
        <w:tc>
          <w:tcPr>
            <w:tcW w:w="2100" w:type="dxa"/>
            <w:tcBorders>
              <w:top w:val="single" w:sz="4" w:space="0" w:color="auto"/>
              <w:left w:val="single" w:sz="4" w:space="0" w:color="auto"/>
              <w:bottom w:val="single" w:sz="4" w:space="0" w:color="auto"/>
              <w:right w:val="single" w:sz="4" w:space="0" w:color="auto"/>
            </w:tcBorders>
            <w:noWrap/>
            <w:vAlign w:val="center"/>
          </w:tcPr>
          <w:p w14:paraId="31B1AC25" w14:textId="6E8E0E6F"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NM_000249.4</w:t>
            </w:r>
          </w:p>
        </w:tc>
      </w:tr>
      <w:tr w:rsidR="00B6383D" w14:paraId="5B2D0F85"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0B3FBD06" w14:textId="1C5516B4"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MRE11A</w:t>
            </w:r>
          </w:p>
        </w:tc>
        <w:tc>
          <w:tcPr>
            <w:tcW w:w="2100" w:type="dxa"/>
            <w:tcBorders>
              <w:top w:val="single" w:sz="4" w:space="0" w:color="auto"/>
              <w:left w:val="single" w:sz="4" w:space="0" w:color="auto"/>
              <w:bottom w:val="single" w:sz="4" w:space="0" w:color="auto"/>
              <w:right w:val="single" w:sz="4" w:space="0" w:color="auto"/>
            </w:tcBorders>
            <w:noWrap/>
            <w:vAlign w:val="center"/>
          </w:tcPr>
          <w:p w14:paraId="274347FA" w14:textId="4246D989"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NM_018736.4</w:t>
            </w:r>
          </w:p>
        </w:tc>
      </w:tr>
      <w:tr w:rsidR="00407B8C" w14:paraId="65E36A6E"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6A27298"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lastRenderedPageBreak/>
              <w:t>MYOD1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511320F0"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NM_002478.5</w:t>
            </w:r>
          </w:p>
        </w:tc>
      </w:tr>
      <w:tr w:rsidR="00B6383D" w14:paraId="73C902DC"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21909231" w14:textId="06E80426"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NBN</w:t>
            </w:r>
          </w:p>
        </w:tc>
        <w:tc>
          <w:tcPr>
            <w:tcW w:w="2100" w:type="dxa"/>
            <w:tcBorders>
              <w:top w:val="single" w:sz="4" w:space="0" w:color="auto"/>
              <w:left w:val="single" w:sz="4" w:space="0" w:color="auto"/>
              <w:bottom w:val="single" w:sz="4" w:space="0" w:color="auto"/>
              <w:right w:val="single" w:sz="4" w:space="0" w:color="auto"/>
            </w:tcBorders>
            <w:noWrap/>
            <w:vAlign w:val="center"/>
          </w:tcPr>
          <w:p w14:paraId="4245332C" w14:textId="62862D9C"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NM_002485.5</w:t>
            </w:r>
          </w:p>
        </w:tc>
      </w:tr>
      <w:tr w:rsidR="00407B8C" w14:paraId="5E7556E4"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6076F698"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NF1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EDF0FFE"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NM_001042492.3</w:t>
            </w:r>
          </w:p>
        </w:tc>
      </w:tr>
      <w:tr w:rsidR="00407B8C" w14:paraId="685FB456"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6935DF1"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NF2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E87BCB7"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NM_000268.4</w:t>
            </w:r>
          </w:p>
        </w:tc>
      </w:tr>
      <w:tr w:rsidR="00407B8C" w14:paraId="438DCD26"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A962AD3"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NRAS</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DF5A37D"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NM_002524.5</w:t>
            </w:r>
          </w:p>
        </w:tc>
      </w:tr>
      <w:tr w:rsidR="00407B8C" w14:paraId="6FD7FB48"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204035F"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PALB2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5F0221CF"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NM_024675.4</w:t>
            </w:r>
          </w:p>
        </w:tc>
      </w:tr>
      <w:tr w:rsidR="00407B8C" w14:paraId="5CDBDC38"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4BCFE760"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PDGFRA</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1EC2F36"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NM_006206.6</w:t>
            </w:r>
          </w:p>
        </w:tc>
      </w:tr>
      <w:tr w:rsidR="00407B8C" w14:paraId="4AC1F55F"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799C339F"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PDGFRB</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78756573"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NM_002609.4</w:t>
            </w:r>
          </w:p>
        </w:tc>
      </w:tr>
      <w:tr w:rsidR="00407B8C" w14:paraId="43A5751A"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0DEF1C73"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PIK3CA</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9232093"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NM_006218.4</w:t>
            </w:r>
          </w:p>
        </w:tc>
      </w:tr>
      <w:tr w:rsidR="00407B8C" w14:paraId="4D3070F6"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D8A4E26"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POLE</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7DE4CA43"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NM_006231.4</w:t>
            </w:r>
          </w:p>
        </w:tc>
      </w:tr>
      <w:tr w:rsidR="00407B8C" w14:paraId="46A0420F"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66A7AB0"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PTCH1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DF18C4D" w14:textId="77777777" w:rsidR="00407B8C" w:rsidRDefault="00407B8C" w:rsidP="009249EA">
            <w:pPr>
              <w:spacing w:after="0" w:line="240" w:lineRule="auto"/>
              <w:jc w:val="both"/>
              <w:rPr>
                <w:rFonts w:ascii="Calibri" w:eastAsia="Times New Roman" w:hAnsi="Calibri" w:cs="Calibri"/>
                <w:bCs/>
                <w:color w:val="58595B"/>
                <w:lang w:val="fr-BE" w:eastAsia="fr-BE"/>
              </w:rPr>
            </w:pPr>
            <w:hyperlink r:id="rId11" w:tgtFrame="_blank" w:history="1">
              <w:r>
                <w:rPr>
                  <w:rStyle w:val="Hyperlink"/>
                  <w:rFonts w:ascii="Calibri" w:hAnsi="Calibri" w:cs="Calibri"/>
                  <w:shd w:val="clear" w:color="auto" w:fill="FFFFFF"/>
                </w:rPr>
                <w:t>NM_000264</w:t>
              </w:r>
            </w:hyperlink>
            <w:r>
              <w:rPr>
                <w:rStyle w:val="Hyperlink"/>
                <w:rFonts w:ascii="Calibri" w:hAnsi="Calibri" w:cs="Calibri"/>
                <w:shd w:val="clear" w:color="auto" w:fill="FFFFFF"/>
              </w:rPr>
              <w:t>.5</w:t>
            </w:r>
          </w:p>
        </w:tc>
      </w:tr>
      <w:tr w:rsidR="00407B8C" w14:paraId="248A60BF"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0D131C5C"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PTEN</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1339FE8"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NM_000314.8</w:t>
            </w:r>
          </w:p>
        </w:tc>
      </w:tr>
      <w:tr w:rsidR="00B6383D" w14:paraId="24400673"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tcPr>
          <w:p w14:paraId="12DBE50E" w14:textId="7DD0B38C" w:rsidR="00B6383D" w:rsidRDefault="004D0FF9"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RAD51C</w:t>
            </w:r>
          </w:p>
        </w:tc>
        <w:tc>
          <w:tcPr>
            <w:tcW w:w="2100" w:type="dxa"/>
            <w:tcBorders>
              <w:top w:val="single" w:sz="4" w:space="0" w:color="auto"/>
              <w:left w:val="single" w:sz="4" w:space="0" w:color="auto"/>
              <w:bottom w:val="single" w:sz="4" w:space="0" w:color="auto"/>
              <w:right w:val="single" w:sz="4" w:space="0" w:color="auto"/>
            </w:tcBorders>
            <w:noWrap/>
            <w:vAlign w:val="center"/>
          </w:tcPr>
          <w:p w14:paraId="18EF0282" w14:textId="4FBBED65" w:rsidR="00B6383D" w:rsidRDefault="004D0FF9" w:rsidP="009249EA">
            <w:pPr>
              <w:spacing w:after="0" w:line="240" w:lineRule="auto"/>
              <w:jc w:val="both"/>
              <w:rPr>
                <w:rFonts w:ascii="Calibri" w:eastAsia="Times New Roman" w:hAnsi="Calibri" w:cs="Calibri"/>
                <w:bCs/>
                <w:color w:val="000000"/>
                <w:lang w:val="fr-BE" w:eastAsia="fr-BE"/>
              </w:rPr>
            </w:pPr>
            <w:r w:rsidRPr="004D0FF9">
              <w:rPr>
                <w:rFonts w:ascii="Calibri" w:eastAsia="Times New Roman" w:hAnsi="Calibri" w:cs="Calibri"/>
                <w:bCs/>
                <w:color w:val="000000"/>
                <w:lang w:val="fr-BE" w:eastAsia="fr-BE"/>
              </w:rPr>
              <w:t>NM_058216.3</w:t>
            </w:r>
          </w:p>
        </w:tc>
      </w:tr>
      <w:tr w:rsidR="00407B8C" w14:paraId="18D0C832"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6BAE5494"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RET</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19EF9FC3"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NM_020975.6</w:t>
            </w:r>
          </w:p>
        </w:tc>
      </w:tr>
      <w:tr w:rsidR="00407B8C" w14:paraId="6DF2F380"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1C9CDD2A"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SMARCA4</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8DD542C"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12" w:history="1">
              <w:r>
                <w:rPr>
                  <w:rStyle w:val="Hyperlink"/>
                  <w:rFonts w:ascii="Calibri" w:hAnsi="Calibri" w:cs="Calibri"/>
                  <w:shd w:val="clear" w:color="auto" w:fill="FFFFFF"/>
                </w:rPr>
                <w:t>NM_003072</w:t>
              </w:r>
            </w:hyperlink>
            <w:r>
              <w:rPr>
                <w:rStyle w:val="Hyperlink"/>
                <w:rFonts w:ascii="Calibri" w:hAnsi="Calibri" w:cs="Calibri"/>
                <w:shd w:val="clear" w:color="auto" w:fill="FFFFFF"/>
              </w:rPr>
              <w:t>.5</w:t>
            </w:r>
          </w:p>
        </w:tc>
      </w:tr>
      <w:tr w:rsidR="00407B8C" w14:paraId="66A70A4E"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1C745556"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SMARCB1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5FA8402"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NM_003073.5</w:t>
            </w:r>
          </w:p>
        </w:tc>
      </w:tr>
      <w:tr w:rsidR="00407B8C" w14:paraId="4A050C6E"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1433A6A"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SF3B1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7B24B372"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NM_012433.4</w:t>
            </w:r>
          </w:p>
        </w:tc>
      </w:tr>
      <w:tr w:rsidR="00407B8C" w14:paraId="6ABEF8C7"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EBAC714"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SUFU</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1E74326B"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13" w:history="1">
              <w:r>
                <w:rPr>
                  <w:rStyle w:val="Hyperlink"/>
                  <w:rFonts w:ascii="Calibri" w:hAnsi="Calibri" w:cs="Calibri"/>
                  <w:shd w:val="clear" w:color="auto" w:fill="FFFFFF"/>
                </w:rPr>
                <w:t>NM_016169</w:t>
              </w:r>
            </w:hyperlink>
            <w:r>
              <w:rPr>
                <w:rStyle w:val="Hyperlink"/>
                <w:rFonts w:ascii="Calibri" w:hAnsi="Calibri" w:cs="Calibri"/>
                <w:shd w:val="clear" w:color="auto" w:fill="FFFFFF"/>
              </w:rPr>
              <w:t>.4</w:t>
            </w:r>
          </w:p>
        </w:tc>
      </w:tr>
      <w:tr w:rsidR="00407B8C" w14:paraId="428D5538"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3B5AD631"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TSC1</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26D7DEDC" w14:textId="77777777" w:rsidR="00407B8C" w:rsidRDefault="00407B8C" w:rsidP="009249EA">
            <w:pPr>
              <w:spacing w:after="0" w:line="240" w:lineRule="auto"/>
              <w:jc w:val="both"/>
              <w:rPr>
                <w:rFonts w:ascii="Calibri" w:eastAsia="Times New Roman" w:hAnsi="Calibri" w:cs="Calibri"/>
                <w:bCs/>
                <w:color w:val="000000"/>
                <w:lang w:val="fr-BE" w:eastAsia="fr-BE"/>
              </w:rPr>
            </w:pPr>
            <w:hyperlink r:id="rId14" w:history="1">
              <w:r>
                <w:rPr>
                  <w:rStyle w:val="Hyperlink"/>
                  <w:rFonts w:ascii="Calibri" w:hAnsi="Calibri" w:cs="Calibri"/>
                  <w:shd w:val="clear" w:color="auto" w:fill="FFFFFF"/>
                </w:rPr>
                <w:t>NM_000368</w:t>
              </w:r>
            </w:hyperlink>
            <w:r>
              <w:rPr>
                <w:rStyle w:val="Hyperlink"/>
                <w:rFonts w:ascii="Calibri" w:hAnsi="Calibri" w:cs="Calibri"/>
                <w:shd w:val="clear" w:color="auto" w:fill="FFFFFF"/>
              </w:rPr>
              <w:t>.5</w:t>
            </w:r>
          </w:p>
        </w:tc>
      </w:tr>
      <w:tr w:rsidR="00407B8C" w14:paraId="11CD7CF0"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430B2122"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TSC2</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1D02DC63" w14:textId="77777777" w:rsidR="00407B8C" w:rsidRDefault="00407B8C" w:rsidP="009249EA">
            <w:pPr>
              <w:spacing w:after="0" w:line="240" w:lineRule="auto"/>
              <w:jc w:val="both"/>
              <w:rPr>
                <w:rFonts w:ascii="Calibri" w:eastAsia="Times New Roman" w:hAnsi="Calibri" w:cs="Calibri"/>
                <w:bCs/>
                <w:color w:val="58595B"/>
                <w:lang w:val="fr-BE" w:eastAsia="fr-BE"/>
              </w:rPr>
            </w:pPr>
            <w:hyperlink r:id="rId15" w:history="1">
              <w:r>
                <w:rPr>
                  <w:rStyle w:val="Hyperlink"/>
                  <w:rFonts w:ascii="Calibri" w:hAnsi="Calibri" w:cs="Calibri"/>
                  <w:shd w:val="clear" w:color="auto" w:fill="FFFFFF"/>
                </w:rPr>
                <w:t>NM_000548</w:t>
              </w:r>
            </w:hyperlink>
            <w:r>
              <w:rPr>
                <w:rStyle w:val="Hyperlink"/>
                <w:rFonts w:ascii="Calibri" w:hAnsi="Calibri" w:cs="Calibri"/>
                <w:shd w:val="clear" w:color="auto" w:fill="FFFFFF"/>
              </w:rPr>
              <w:t>.5</w:t>
            </w:r>
          </w:p>
        </w:tc>
      </w:tr>
      <w:tr w:rsidR="00407B8C" w14:paraId="14E32316"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133EB4CB"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TERT</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67AA8CA9"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NM_198253.3</w:t>
            </w:r>
          </w:p>
        </w:tc>
      </w:tr>
      <w:tr w:rsidR="00407B8C" w14:paraId="7C1F5FB9"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68C5C7D9"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TP53</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690CD44"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NM_000546.6</w:t>
            </w:r>
          </w:p>
        </w:tc>
      </w:tr>
      <w:tr w:rsidR="00407B8C" w14:paraId="28A2A465" w14:textId="77777777" w:rsidTr="009249EA">
        <w:trPr>
          <w:trHeight w:val="288"/>
        </w:trPr>
        <w:tc>
          <w:tcPr>
            <w:tcW w:w="1033" w:type="dxa"/>
            <w:tcBorders>
              <w:top w:val="single" w:sz="4" w:space="0" w:color="auto"/>
              <w:left w:val="single" w:sz="4" w:space="0" w:color="auto"/>
              <w:bottom w:val="single" w:sz="4" w:space="0" w:color="auto"/>
              <w:right w:val="single" w:sz="4" w:space="0" w:color="auto"/>
            </w:tcBorders>
            <w:noWrap/>
            <w:vAlign w:val="center"/>
            <w:hideMark/>
          </w:tcPr>
          <w:p w14:paraId="5AA83AFC" w14:textId="77777777" w:rsidR="00407B8C" w:rsidRDefault="00407B8C" w:rsidP="009249EA">
            <w:pPr>
              <w:spacing w:after="0" w:line="240" w:lineRule="auto"/>
              <w:jc w:val="both"/>
              <w:rPr>
                <w:rFonts w:ascii="Calibri" w:eastAsia="Times New Roman" w:hAnsi="Calibri" w:cs="Calibri"/>
                <w:bCs/>
                <w:i/>
                <w:color w:val="000000"/>
                <w:lang w:val="fr-BE" w:eastAsia="fr-BE"/>
              </w:rPr>
            </w:pPr>
            <w:r>
              <w:rPr>
                <w:rFonts w:ascii="Calibri" w:eastAsia="Times New Roman" w:hAnsi="Calibri" w:cs="Calibri"/>
                <w:bCs/>
                <w:i/>
                <w:color w:val="000000"/>
                <w:lang w:val="fr-BE" w:eastAsia="fr-BE"/>
              </w:rPr>
              <w:t>VHL</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2EBBC47" w14:textId="77777777" w:rsidR="00407B8C" w:rsidRDefault="00407B8C" w:rsidP="009249EA">
            <w:pPr>
              <w:spacing w:after="0" w:line="240" w:lineRule="auto"/>
              <w:jc w:val="both"/>
              <w:rPr>
                <w:rFonts w:ascii="Calibri" w:eastAsia="Times New Roman" w:hAnsi="Calibri" w:cs="Calibri"/>
                <w:bCs/>
                <w:color w:val="000000"/>
                <w:lang w:val="fr-BE" w:eastAsia="fr-BE"/>
              </w:rPr>
            </w:pPr>
            <w:r>
              <w:rPr>
                <w:rFonts w:ascii="Calibri" w:eastAsia="Times New Roman" w:hAnsi="Calibri" w:cs="Calibri"/>
                <w:bCs/>
                <w:color w:val="000000"/>
                <w:lang w:val="fr-BE" w:eastAsia="fr-BE"/>
              </w:rPr>
              <w:t>NM_000551.4</w:t>
            </w:r>
          </w:p>
        </w:tc>
      </w:tr>
    </w:tbl>
    <w:p w14:paraId="02897DCE" w14:textId="77777777" w:rsidR="00407B8C" w:rsidRDefault="00407B8C" w:rsidP="00407B8C">
      <w:pPr>
        <w:pStyle w:val="BodySciensano"/>
      </w:pPr>
    </w:p>
    <w:p w14:paraId="6FABFA69" w14:textId="77777777" w:rsidR="00407B8C" w:rsidRPr="00EE109D" w:rsidRDefault="00407B8C" w:rsidP="00407B8C"/>
    <w:sectPr w:rsidR="00407B8C" w:rsidRPr="00EE109D" w:rsidSect="00D41DA9">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EAC" w14:textId="77777777" w:rsidR="007A26FA" w:rsidRDefault="007A26FA" w:rsidP="00CC10F4">
      <w:pPr>
        <w:spacing w:after="0" w:line="240" w:lineRule="auto"/>
      </w:pPr>
      <w:r>
        <w:separator/>
      </w:r>
    </w:p>
  </w:endnote>
  <w:endnote w:type="continuationSeparator" w:id="0">
    <w:p w14:paraId="2248913B" w14:textId="77777777" w:rsidR="007A26FA" w:rsidRDefault="007A26FA" w:rsidP="00C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59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7955"/>
      <w:docPartObj>
        <w:docPartGallery w:val="Page Numbers (Bottom of Page)"/>
        <w:docPartUnique/>
      </w:docPartObj>
    </w:sdtPr>
    <w:sdtEndPr>
      <w:rPr>
        <w:noProof/>
      </w:rPr>
    </w:sdtEndPr>
    <w:sdtContent>
      <w:p w14:paraId="629D07B6" w14:textId="77777777" w:rsidR="002B667A" w:rsidRDefault="002E0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53536" w14:textId="77777777" w:rsidR="009B7389" w:rsidRDefault="009B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73A" w14:textId="77777777" w:rsidR="007A26FA" w:rsidRDefault="007A26FA" w:rsidP="00CC10F4">
      <w:pPr>
        <w:spacing w:after="0" w:line="240" w:lineRule="auto"/>
      </w:pPr>
      <w:r>
        <w:separator/>
      </w:r>
    </w:p>
  </w:footnote>
  <w:footnote w:type="continuationSeparator" w:id="0">
    <w:p w14:paraId="2BBF03C0" w14:textId="77777777" w:rsidR="007A26FA" w:rsidRDefault="007A26FA" w:rsidP="00CC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77"/>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E60966"/>
    <w:multiLevelType w:val="hybridMultilevel"/>
    <w:tmpl w:val="81F05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FC2D5E"/>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87DEF"/>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F1954"/>
    <w:multiLevelType w:val="hybridMultilevel"/>
    <w:tmpl w:val="B840FF5A"/>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26281A"/>
    <w:multiLevelType w:val="hybridMultilevel"/>
    <w:tmpl w:val="49D4B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C123CF"/>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B0724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EBC6D0F"/>
    <w:multiLevelType w:val="hybridMultilevel"/>
    <w:tmpl w:val="3AC8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0329E4"/>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82232F"/>
    <w:multiLevelType w:val="hybridMultilevel"/>
    <w:tmpl w:val="ECE82F4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822A1F"/>
    <w:multiLevelType w:val="multilevel"/>
    <w:tmpl w:val="BF2A63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BB670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D53B52"/>
    <w:multiLevelType w:val="hybridMultilevel"/>
    <w:tmpl w:val="E042F3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2237F19"/>
    <w:multiLevelType w:val="hybridMultilevel"/>
    <w:tmpl w:val="03E0F1FE"/>
    <w:lvl w:ilvl="0" w:tplc="04130001">
      <w:start w:val="1"/>
      <w:numFmt w:val="bullet"/>
      <w:lvlText w:val=""/>
      <w:lvlJc w:val="left"/>
      <w:pPr>
        <w:ind w:left="720" w:hanging="360"/>
      </w:pPr>
      <w:rPr>
        <w:rFonts w:ascii="Symbol" w:hAnsi="Symbol" w:hint="default"/>
      </w:rPr>
    </w:lvl>
    <w:lvl w:ilvl="1" w:tplc="D1D4361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4B5B23"/>
    <w:multiLevelType w:val="hybridMultilevel"/>
    <w:tmpl w:val="9C7CE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861D92"/>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52307CE"/>
    <w:multiLevelType w:val="hybridMultilevel"/>
    <w:tmpl w:val="E86E6A7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7304719"/>
    <w:multiLevelType w:val="hybridMultilevel"/>
    <w:tmpl w:val="8C4CB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76B26C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5C75D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A817995"/>
    <w:multiLevelType w:val="hybridMultilevel"/>
    <w:tmpl w:val="344E210A"/>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B430699"/>
    <w:multiLevelType w:val="multilevel"/>
    <w:tmpl w:val="3C9690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B5B18C7"/>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DF45E43"/>
    <w:multiLevelType w:val="hybridMultilevel"/>
    <w:tmpl w:val="E2DA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E9D1A46"/>
    <w:multiLevelType w:val="hybridMultilevel"/>
    <w:tmpl w:val="64F459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FA8392E"/>
    <w:multiLevelType w:val="hybridMultilevel"/>
    <w:tmpl w:val="A2D20360"/>
    <w:lvl w:ilvl="0" w:tplc="DB500E28">
      <w:start w:val="1"/>
      <w:numFmt w:val="bullet"/>
      <w:lvlText w:val="-"/>
      <w:lvlJc w:val="left"/>
      <w:pPr>
        <w:ind w:left="720" w:hanging="360"/>
      </w:pPr>
      <w:rPr>
        <w:rFonts w:ascii="Calibri" w:eastAsia="Times New Roman" w:hAnsi="Calibri" w:cs="Calibri" w:hint="default"/>
        <w:b w:val="0"/>
        <w:color w:val="2D323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0785590"/>
    <w:multiLevelType w:val="hybridMultilevel"/>
    <w:tmpl w:val="607A7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2374C65"/>
    <w:multiLevelType w:val="hybridMultilevel"/>
    <w:tmpl w:val="64EABA1C"/>
    <w:lvl w:ilvl="0" w:tplc="FFFFFFFF">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B62CCA"/>
    <w:multiLevelType w:val="hybridMultilevel"/>
    <w:tmpl w:val="D6FCFD2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3C0653"/>
    <w:multiLevelType w:val="hybridMultilevel"/>
    <w:tmpl w:val="673252C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422CE8"/>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C185895"/>
    <w:multiLevelType w:val="hybridMultilevel"/>
    <w:tmpl w:val="3AFC394E"/>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2CCA7591"/>
    <w:multiLevelType w:val="multilevel"/>
    <w:tmpl w:val="21E21F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EDC68EF"/>
    <w:multiLevelType w:val="hybridMultilevel"/>
    <w:tmpl w:val="F4BA058E"/>
    <w:lvl w:ilvl="0" w:tplc="04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25A6B1B"/>
    <w:multiLevelType w:val="hybridMultilevel"/>
    <w:tmpl w:val="59CC74E4"/>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3C25C89"/>
    <w:multiLevelType w:val="hybridMultilevel"/>
    <w:tmpl w:val="746E074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70B6DB5"/>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E33C65"/>
    <w:multiLevelType w:val="hybridMultilevel"/>
    <w:tmpl w:val="E86E6A7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FD06281"/>
    <w:multiLevelType w:val="hybridMultilevel"/>
    <w:tmpl w:val="814827A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0D14501"/>
    <w:multiLevelType w:val="hybridMultilevel"/>
    <w:tmpl w:val="17B60B7C"/>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13A00C9"/>
    <w:multiLevelType w:val="hybridMultilevel"/>
    <w:tmpl w:val="5AC489EE"/>
    <w:lvl w:ilvl="0" w:tplc="1320045A">
      <w:start w:val="1"/>
      <w:numFmt w:val="decimal"/>
      <w:pStyle w:val="Heading2"/>
      <w:lvlText w:val="Article 1.%1."/>
      <w:lvlJc w:val="left"/>
      <w:pPr>
        <w:ind w:left="29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19F45B2"/>
    <w:multiLevelType w:val="hybridMultilevel"/>
    <w:tmpl w:val="38800A4C"/>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3" w15:restartNumberingAfterBreak="0">
    <w:nsid w:val="422B222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96D0C4C"/>
    <w:multiLevelType w:val="hybridMultilevel"/>
    <w:tmpl w:val="633A3BF2"/>
    <w:lvl w:ilvl="0" w:tplc="49E8A3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B44488"/>
    <w:multiLevelType w:val="hybridMultilevel"/>
    <w:tmpl w:val="64F45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D2C5AE3"/>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2097566"/>
    <w:multiLevelType w:val="hybridMultilevel"/>
    <w:tmpl w:val="41A01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5DD4089"/>
    <w:multiLevelType w:val="hybridMultilevel"/>
    <w:tmpl w:val="BDFE4BD2"/>
    <w:lvl w:ilvl="0" w:tplc="1EF8533C">
      <w:start w:val="1"/>
      <w:numFmt w:val="decimal"/>
      <w:pStyle w:val="Heading1"/>
      <w:lvlText w:val="Article %1."/>
      <w:lvlJc w:val="left"/>
      <w:pPr>
        <w:ind w:left="360" w:hanging="360"/>
      </w:pPr>
      <w:rPr>
        <w:rFonts w:hint="default"/>
      </w:rPr>
    </w:lvl>
    <w:lvl w:ilvl="1" w:tplc="04130019" w:tentative="1">
      <w:start w:val="1"/>
      <w:numFmt w:val="lowerLetter"/>
      <w:lvlText w:val="%2."/>
      <w:lvlJc w:val="left"/>
      <w:pPr>
        <w:ind w:left="2782" w:hanging="360"/>
      </w:pPr>
    </w:lvl>
    <w:lvl w:ilvl="2" w:tplc="0413001B" w:tentative="1">
      <w:start w:val="1"/>
      <w:numFmt w:val="lowerRoman"/>
      <w:lvlText w:val="%3."/>
      <w:lvlJc w:val="right"/>
      <w:pPr>
        <w:ind w:left="3502" w:hanging="180"/>
      </w:pPr>
    </w:lvl>
    <w:lvl w:ilvl="3" w:tplc="0413000F" w:tentative="1">
      <w:start w:val="1"/>
      <w:numFmt w:val="decimal"/>
      <w:lvlText w:val="%4."/>
      <w:lvlJc w:val="left"/>
      <w:pPr>
        <w:ind w:left="4222" w:hanging="360"/>
      </w:pPr>
    </w:lvl>
    <w:lvl w:ilvl="4" w:tplc="04130019" w:tentative="1">
      <w:start w:val="1"/>
      <w:numFmt w:val="lowerLetter"/>
      <w:lvlText w:val="%5."/>
      <w:lvlJc w:val="left"/>
      <w:pPr>
        <w:ind w:left="4942" w:hanging="360"/>
      </w:pPr>
    </w:lvl>
    <w:lvl w:ilvl="5" w:tplc="0413001B" w:tentative="1">
      <w:start w:val="1"/>
      <w:numFmt w:val="lowerRoman"/>
      <w:lvlText w:val="%6."/>
      <w:lvlJc w:val="right"/>
      <w:pPr>
        <w:ind w:left="5662" w:hanging="180"/>
      </w:pPr>
    </w:lvl>
    <w:lvl w:ilvl="6" w:tplc="0413000F" w:tentative="1">
      <w:start w:val="1"/>
      <w:numFmt w:val="decimal"/>
      <w:lvlText w:val="%7."/>
      <w:lvlJc w:val="left"/>
      <w:pPr>
        <w:ind w:left="6382" w:hanging="360"/>
      </w:pPr>
    </w:lvl>
    <w:lvl w:ilvl="7" w:tplc="04130019" w:tentative="1">
      <w:start w:val="1"/>
      <w:numFmt w:val="lowerLetter"/>
      <w:lvlText w:val="%8."/>
      <w:lvlJc w:val="left"/>
      <w:pPr>
        <w:ind w:left="7102" w:hanging="360"/>
      </w:pPr>
    </w:lvl>
    <w:lvl w:ilvl="8" w:tplc="0413001B" w:tentative="1">
      <w:start w:val="1"/>
      <w:numFmt w:val="lowerRoman"/>
      <w:lvlText w:val="%9."/>
      <w:lvlJc w:val="right"/>
      <w:pPr>
        <w:ind w:left="7822" w:hanging="180"/>
      </w:pPr>
    </w:lvl>
  </w:abstractNum>
  <w:abstractNum w:abstractNumId="49" w15:restartNumberingAfterBreak="0">
    <w:nsid w:val="582B37B8"/>
    <w:multiLevelType w:val="hybridMultilevel"/>
    <w:tmpl w:val="ECE82F42"/>
    <w:lvl w:ilvl="0" w:tplc="0D1A13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85E5393"/>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CA90200"/>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E3D0D66"/>
    <w:multiLevelType w:val="hybridMultilevel"/>
    <w:tmpl w:val="9BE66A3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E8A2537"/>
    <w:multiLevelType w:val="hybridMultilevel"/>
    <w:tmpl w:val="B824D9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E954793"/>
    <w:multiLevelType w:val="hybridMultilevel"/>
    <w:tmpl w:val="43685850"/>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F626A6E"/>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376788D"/>
    <w:multiLevelType w:val="multilevel"/>
    <w:tmpl w:val="474A38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3881895"/>
    <w:multiLevelType w:val="hybridMultilevel"/>
    <w:tmpl w:val="DCDEDB9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48B6291"/>
    <w:multiLevelType w:val="hybridMultilevel"/>
    <w:tmpl w:val="2A6AA164"/>
    <w:lvl w:ilvl="0" w:tplc="49E8A37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4EC0D7A"/>
    <w:multiLevelType w:val="multilevel"/>
    <w:tmpl w:val="062AD1F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DB58A8"/>
    <w:multiLevelType w:val="multilevel"/>
    <w:tmpl w:val="5A22504A"/>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97447CC"/>
    <w:multiLevelType w:val="hybridMultilevel"/>
    <w:tmpl w:val="1F02E4F2"/>
    <w:lvl w:ilvl="0" w:tplc="1DDA98BE">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F3502AF"/>
    <w:multiLevelType w:val="hybridMultilevel"/>
    <w:tmpl w:val="38663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FC7699B"/>
    <w:multiLevelType w:val="hybridMultilevel"/>
    <w:tmpl w:val="6FF6A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FF43181"/>
    <w:multiLevelType w:val="hybridMultilevel"/>
    <w:tmpl w:val="B84821FE"/>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3C81384"/>
    <w:multiLevelType w:val="hybridMultilevel"/>
    <w:tmpl w:val="F0881D12"/>
    <w:lvl w:ilvl="0" w:tplc="1DDA98BE">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390FCF"/>
    <w:multiLevelType w:val="hybridMultilevel"/>
    <w:tmpl w:val="7B5A95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A7C34EA"/>
    <w:multiLevelType w:val="hybridMultilevel"/>
    <w:tmpl w:val="5EB60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BF94D07"/>
    <w:multiLevelType w:val="hybridMultilevel"/>
    <w:tmpl w:val="2AB4A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C55190F"/>
    <w:multiLevelType w:val="multilevel"/>
    <w:tmpl w:val="BDF025D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9346944">
    <w:abstractNumId w:val="65"/>
  </w:num>
  <w:num w:numId="2" w16cid:durableId="1816296753">
    <w:abstractNumId w:val="42"/>
  </w:num>
  <w:num w:numId="3" w16cid:durableId="926383473">
    <w:abstractNumId w:val="18"/>
  </w:num>
  <w:num w:numId="4" w16cid:durableId="36634940">
    <w:abstractNumId w:val="48"/>
  </w:num>
  <w:num w:numId="5" w16cid:durableId="1552306938">
    <w:abstractNumId w:val="34"/>
  </w:num>
  <w:num w:numId="6" w16cid:durableId="530071721">
    <w:abstractNumId w:val="45"/>
  </w:num>
  <w:num w:numId="7" w16cid:durableId="1907838703">
    <w:abstractNumId w:val="26"/>
  </w:num>
  <w:num w:numId="8" w16cid:durableId="2055962064">
    <w:abstractNumId w:val="61"/>
  </w:num>
  <w:num w:numId="9" w16cid:durableId="1307391310">
    <w:abstractNumId w:val="57"/>
  </w:num>
  <w:num w:numId="10" w16cid:durableId="722949016">
    <w:abstractNumId w:val="17"/>
  </w:num>
  <w:num w:numId="11" w16cid:durableId="1372728991">
    <w:abstractNumId w:val="41"/>
  </w:num>
  <w:num w:numId="12" w16cid:durableId="922449882">
    <w:abstractNumId w:val="25"/>
  </w:num>
  <w:num w:numId="13" w16cid:durableId="475998651">
    <w:abstractNumId w:val="38"/>
  </w:num>
  <w:num w:numId="14" w16cid:durableId="1827044532">
    <w:abstractNumId w:val="53"/>
  </w:num>
  <w:num w:numId="15" w16cid:durableId="818889065">
    <w:abstractNumId w:val="14"/>
  </w:num>
  <w:num w:numId="16" w16cid:durableId="1851212673">
    <w:abstractNumId w:val="5"/>
  </w:num>
  <w:num w:numId="17" w16cid:durableId="1853449227">
    <w:abstractNumId w:val="1"/>
  </w:num>
  <w:num w:numId="18" w16cid:durableId="308245411">
    <w:abstractNumId w:val="68"/>
  </w:num>
  <w:num w:numId="19" w16cid:durableId="359018726">
    <w:abstractNumId w:val="27"/>
  </w:num>
  <w:num w:numId="20" w16cid:durableId="131414046">
    <w:abstractNumId w:val="24"/>
  </w:num>
  <w:num w:numId="21" w16cid:durableId="1522233044">
    <w:abstractNumId w:val="30"/>
  </w:num>
  <w:num w:numId="22" w16cid:durableId="1577127435">
    <w:abstractNumId w:val="39"/>
  </w:num>
  <w:num w:numId="23" w16cid:durableId="1836141701">
    <w:abstractNumId w:val="36"/>
  </w:num>
  <w:num w:numId="24" w16cid:durableId="2145737050">
    <w:abstractNumId w:val="40"/>
  </w:num>
  <w:num w:numId="25" w16cid:durableId="1266109432">
    <w:abstractNumId w:val="4"/>
  </w:num>
  <w:num w:numId="26" w16cid:durableId="1274094906">
    <w:abstractNumId w:val="35"/>
  </w:num>
  <w:num w:numId="27" w16cid:durableId="1917469027">
    <w:abstractNumId w:val="64"/>
  </w:num>
  <w:num w:numId="28" w16cid:durableId="1456830242">
    <w:abstractNumId w:val="21"/>
  </w:num>
  <w:num w:numId="29" w16cid:durableId="880939938">
    <w:abstractNumId w:val="29"/>
  </w:num>
  <w:num w:numId="30" w16cid:durableId="1694762332">
    <w:abstractNumId w:val="54"/>
  </w:num>
  <w:num w:numId="31" w16cid:durableId="947200113">
    <w:abstractNumId w:val="47"/>
  </w:num>
  <w:num w:numId="32" w16cid:durableId="1306619291">
    <w:abstractNumId w:val="8"/>
  </w:num>
  <w:num w:numId="33" w16cid:durableId="1683431240">
    <w:abstractNumId w:val="66"/>
  </w:num>
  <w:num w:numId="34" w16cid:durableId="1585803073">
    <w:abstractNumId w:val="15"/>
  </w:num>
  <w:num w:numId="35" w16cid:durableId="845948499">
    <w:abstractNumId w:val="67"/>
  </w:num>
  <w:num w:numId="36" w16cid:durableId="469175090">
    <w:abstractNumId w:val="69"/>
  </w:num>
  <w:num w:numId="37" w16cid:durableId="477115193">
    <w:abstractNumId w:val="2"/>
  </w:num>
  <w:num w:numId="38" w16cid:durableId="1634169390">
    <w:abstractNumId w:val="44"/>
  </w:num>
  <w:num w:numId="39" w16cid:durableId="2024550628">
    <w:abstractNumId w:val="58"/>
  </w:num>
  <w:num w:numId="40" w16cid:durableId="902446809">
    <w:abstractNumId w:val="22"/>
  </w:num>
  <w:num w:numId="41" w16cid:durableId="589627414">
    <w:abstractNumId w:val="7"/>
  </w:num>
  <w:num w:numId="42" w16cid:durableId="982201185">
    <w:abstractNumId w:val="0"/>
  </w:num>
  <w:num w:numId="43" w16cid:durableId="1412000567">
    <w:abstractNumId w:val="33"/>
  </w:num>
  <w:num w:numId="44" w16cid:durableId="2096970906">
    <w:abstractNumId w:val="60"/>
  </w:num>
  <w:num w:numId="45" w16cid:durableId="1849057686">
    <w:abstractNumId w:val="46"/>
  </w:num>
  <w:num w:numId="46" w16cid:durableId="186914475">
    <w:abstractNumId w:val="59"/>
  </w:num>
  <w:num w:numId="47" w16cid:durableId="409351258">
    <w:abstractNumId w:val="3"/>
  </w:num>
  <w:num w:numId="48" w16cid:durableId="1333215298">
    <w:abstractNumId w:val="51"/>
  </w:num>
  <w:num w:numId="49" w16cid:durableId="638338940">
    <w:abstractNumId w:val="31"/>
  </w:num>
  <w:num w:numId="50" w16cid:durableId="666861556">
    <w:abstractNumId w:val="12"/>
  </w:num>
  <w:num w:numId="51" w16cid:durableId="1686127078">
    <w:abstractNumId w:val="50"/>
  </w:num>
  <w:num w:numId="52" w16cid:durableId="518548092">
    <w:abstractNumId w:val="56"/>
  </w:num>
  <w:num w:numId="53" w16cid:durableId="1846550855">
    <w:abstractNumId w:val="23"/>
  </w:num>
  <w:num w:numId="54" w16cid:durableId="1195192121">
    <w:abstractNumId w:val="9"/>
  </w:num>
  <w:num w:numId="55" w16cid:durableId="2039815215">
    <w:abstractNumId w:val="37"/>
  </w:num>
  <w:num w:numId="56" w16cid:durableId="512577264">
    <w:abstractNumId w:val="43"/>
  </w:num>
  <w:num w:numId="57" w16cid:durableId="441875271">
    <w:abstractNumId w:val="55"/>
  </w:num>
  <w:num w:numId="58" w16cid:durableId="879976363">
    <w:abstractNumId w:val="20"/>
  </w:num>
  <w:num w:numId="59" w16cid:durableId="1170674682">
    <w:abstractNumId w:val="16"/>
  </w:num>
  <w:num w:numId="60" w16cid:durableId="483740496">
    <w:abstractNumId w:val="19"/>
  </w:num>
  <w:num w:numId="61" w16cid:durableId="185826346">
    <w:abstractNumId w:val="6"/>
  </w:num>
  <w:num w:numId="62" w16cid:durableId="887766232">
    <w:abstractNumId w:val="11"/>
  </w:num>
  <w:num w:numId="63" w16cid:durableId="342901491">
    <w:abstractNumId w:val="28"/>
  </w:num>
  <w:num w:numId="64" w16cid:durableId="835851022">
    <w:abstractNumId w:val="52"/>
  </w:num>
  <w:num w:numId="65" w16cid:durableId="1029571581">
    <w:abstractNumId w:val="32"/>
  </w:num>
  <w:num w:numId="66" w16cid:durableId="638414641">
    <w:abstractNumId w:val="49"/>
  </w:num>
  <w:num w:numId="67" w16cid:durableId="123811189">
    <w:abstractNumId w:val="10"/>
  </w:num>
  <w:num w:numId="68" w16cid:durableId="1737118978">
    <w:abstractNumId w:val="48"/>
  </w:num>
  <w:num w:numId="69" w16cid:durableId="984705412">
    <w:abstractNumId w:val="48"/>
  </w:num>
  <w:num w:numId="70" w16cid:durableId="616521716">
    <w:abstractNumId w:val="48"/>
  </w:num>
  <w:num w:numId="71" w16cid:durableId="631325549">
    <w:abstractNumId w:val="63"/>
  </w:num>
  <w:num w:numId="72" w16cid:durableId="791941824">
    <w:abstractNumId w:val="13"/>
  </w:num>
  <w:num w:numId="73" w16cid:durableId="1064065889">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ZJvqXRs/3wONeHSDhiIIZJ/1bT0FO2SBk5qQ5le48LyvbRrDk33ofNk1VgGz9T8yWSxo1VHMsWzvlYtIaSbqxA==" w:salt="CcThWeyOWnxmRridCLaP3w=="/>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23"/>
    <w:rsid w:val="0000029E"/>
    <w:rsid w:val="00000781"/>
    <w:rsid w:val="000039B0"/>
    <w:rsid w:val="00004BD0"/>
    <w:rsid w:val="00004BF2"/>
    <w:rsid w:val="00005C93"/>
    <w:rsid w:val="00006A6A"/>
    <w:rsid w:val="00007395"/>
    <w:rsid w:val="00007AAC"/>
    <w:rsid w:val="00011155"/>
    <w:rsid w:val="00011259"/>
    <w:rsid w:val="00011432"/>
    <w:rsid w:val="0001177E"/>
    <w:rsid w:val="00027268"/>
    <w:rsid w:val="0003016E"/>
    <w:rsid w:val="0003413D"/>
    <w:rsid w:val="00041DC1"/>
    <w:rsid w:val="00041FE4"/>
    <w:rsid w:val="00042650"/>
    <w:rsid w:val="00045355"/>
    <w:rsid w:val="000537B1"/>
    <w:rsid w:val="000549A1"/>
    <w:rsid w:val="00060935"/>
    <w:rsid w:val="00062BED"/>
    <w:rsid w:val="00063905"/>
    <w:rsid w:val="00071E4B"/>
    <w:rsid w:val="000726B0"/>
    <w:rsid w:val="000764B7"/>
    <w:rsid w:val="00076DEE"/>
    <w:rsid w:val="00083250"/>
    <w:rsid w:val="00087A57"/>
    <w:rsid w:val="00090913"/>
    <w:rsid w:val="00093440"/>
    <w:rsid w:val="00093BD2"/>
    <w:rsid w:val="000944A9"/>
    <w:rsid w:val="000963B7"/>
    <w:rsid w:val="00097455"/>
    <w:rsid w:val="000A1076"/>
    <w:rsid w:val="000A2E89"/>
    <w:rsid w:val="000A3EE6"/>
    <w:rsid w:val="000A5AFB"/>
    <w:rsid w:val="000A617B"/>
    <w:rsid w:val="000B1185"/>
    <w:rsid w:val="000B142E"/>
    <w:rsid w:val="000B3A46"/>
    <w:rsid w:val="000B4372"/>
    <w:rsid w:val="000B4FEF"/>
    <w:rsid w:val="000B7800"/>
    <w:rsid w:val="000C01A6"/>
    <w:rsid w:val="000C1305"/>
    <w:rsid w:val="000C1402"/>
    <w:rsid w:val="000C6C03"/>
    <w:rsid w:val="000C7B33"/>
    <w:rsid w:val="000D43E5"/>
    <w:rsid w:val="000D5FD9"/>
    <w:rsid w:val="000E0AC8"/>
    <w:rsid w:val="000E0DAE"/>
    <w:rsid w:val="000E1B74"/>
    <w:rsid w:val="000E4CBD"/>
    <w:rsid w:val="000E54BA"/>
    <w:rsid w:val="000E7688"/>
    <w:rsid w:val="000E77C2"/>
    <w:rsid w:val="000F0559"/>
    <w:rsid w:val="000F0BFF"/>
    <w:rsid w:val="000F34BC"/>
    <w:rsid w:val="000F4D01"/>
    <w:rsid w:val="000F561C"/>
    <w:rsid w:val="00100A7B"/>
    <w:rsid w:val="00101D1A"/>
    <w:rsid w:val="001079BD"/>
    <w:rsid w:val="00114538"/>
    <w:rsid w:val="0011574C"/>
    <w:rsid w:val="00115802"/>
    <w:rsid w:val="00122DEF"/>
    <w:rsid w:val="00125249"/>
    <w:rsid w:val="001310BC"/>
    <w:rsid w:val="00134EF8"/>
    <w:rsid w:val="001377AD"/>
    <w:rsid w:val="0014002A"/>
    <w:rsid w:val="001406CE"/>
    <w:rsid w:val="00140EBC"/>
    <w:rsid w:val="00141121"/>
    <w:rsid w:val="00142333"/>
    <w:rsid w:val="0014356E"/>
    <w:rsid w:val="00143F86"/>
    <w:rsid w:val="00146DBE"/>
    <w:rsid w:val="00147A24"/>
    <w:rsid w:val="00150739"/>
    <w:rsid w:val="00151717"/>
    <w:rsid w:val="00152B12"/>
    <w:rsid w:val="00152DA8"/>
    <w:rsid w:val="0015354F"/>
    <w:rsid w:val="00153C7D"/>
    <w:rsid w:val="00157120"/>
    <w:rsid w:val="00162EE1"/>
    <w:rsid w:val="00162F0F"/>
    <w:rsid w:val="001630D6"/>
    <w:rsid w:val="00163A98"/>
    <w:rsid w:val="0016796D"/>
    <w:rsid w:val="0017203B"/>
    <w:rsid w:val="00172440"/>
    <w:rsid w:val="001729C7"/>
    <w:rsid w:val="00180E6C"/>
    <w:rsid w:val="0018188F"/>
    <w:rsid w:val="00182123"/>
    <w:rsid w:val="001834C6"/>
    <w:rsid w:val="00185BAB"/>
    <w:rsid w:val="00190D42"/>
    <w:rsid w:val="0019393F"/>
    <w:rsid w:val="00193C79"/>
    <w:rsid w:val="00194570"/>
    <w:rsid w:val="00194751"/>
    <w:rsid w:val="00194A8B"/>
    <w:rsid w:val="00197E6F"/>
    <w:rsid w:val="001A0139"/>
    <w:rsid w:val="001A26BE"/>
    <w:rsid w:val="001A4DEA"/>
    <w:rsid w:val="001B59EB"/>
    <w:rsid w:val="001B6976"/>
    <w:rsid w:val="001B78DD"/>
    <w:rsid w:val="001C29D8"/>
    <w:rsid w:val="001C4129"/>
    <w:rsid w:val="001C54F1"/>
    <w:rsid w:val="001C5BC0"/>
    <w:rsid w:val="001D0999"/>
    <w:rsid w:val="001D0A9E"/>
    <w:rsid w:val="001D1977"/>
    <w:rsid w:val="001D3136"/>
    <w:rsid w:val="001D411C"/>
    <w:rsid w:val="001D44DD"/>
    <w:rsid w:val="001D663D"/>
    <w:rsid w:val="001D731A"/>
    <w:rsid w:val="001D7B27"/>
    <w:rsid w:val="001E3FD7"/>
    <w:rsid w:val="001F1F43"/>
    <w:rsid w:val="001F27C7"/>
    <w:rsid w:val="001F2CC4"/>
    <w:rsid w:val="001F4E8C"/>
    <w:rsid w:val="001F4F36"/>
    <w:rsid w:val="001F5175"/>
    <w:rsid w:val="001F787A"/>
    <w:rsid w:val="001F7DB3"/>
    <w:rsid w:val="002004D4"/>
    <w:rsid w:val="002005FA"/>
    <w:rsid w:val="00200A74"/>
    <w:rsid w:val="00205A4D"/>
    <w:rsid w:val="002108C2"/>
    <w:rsid w:val="00211C66"/>
    <w:rsid w:val="00212AE4"/>
    <w:rsid w:val="00223B24"/>
    <w:rsid w:val="00224C58"/>
    <w:rsid w:val="00224DDC"/>
    <w:rsid w:val="00224F05"/>
    <w:rsid w:val="00225F3C"/>
    <w:rsid w:val="0023525C"/>
    <w:rsid w:val="0023673C"/>
    <w:rsid w:val="0023689E"/>
    <w:rsid w:val="00236CFC"/>
    <w:rsid w:val="00242C14"/>
    <w:rsid w:val="00244DB3"/>
    <w:rsid w:val="00246BA7"/>
    <w:rsid w:val="0025005E"/>
    <w:rsid w:val="00254208"/>
    <w:rsid w:val="00256120"/>
    <w:rsid w:val="00257B99"/>
    <w:rsid w:val="00257E20"/>
    <w:rsid w:val="00260437"/>
    <w:rsid w:val="0026222E"/>
    <w:rsid w:val="00262C20"/>
    <w:rsid w:val="00263049"/>
    <w:rsid w:val="00263FF7"/>
    <w:rsid w:val="002661D1"/>
    <w:rsid w:val="00266B10"/>
    <w:rsid w:val="0026736D"/>
    <w:rsid w:val="002676F6"/>
    <w:rsid w:val="00272565"/>
    <w:rsid w:val="002765E5"/>
    <w:rsid w:val="002774E9"/>
    <w:rsid w:val="00277DFA"/>
    <w:rsid w:val="002823BF"/>
    <w:rsid w:val="00282565"/>
    <w:rsid w:val="00286ABA"/>
    <w:rsid w:val="00286FBA"/>
    <w:rsid w:val="00287B9D"/>
    <w:rsid w:val="002913F9"/>
    <w:rsid w:val="0029288A"/>
    <w:rsid w:val="00292EA1"/>
    <w:rsid w:val="00293E68"/>
    <w:rsid w:val="002969D0"/>
    <w:rsid w:val="00297CEB"/>
    <w:rsid w:val="002A066D"/>
    <w:rsid w:val="002A09C0"/>
    <w:rsid w:val="002A206E"/>
    <w:rsid w:val="002A4FC9"/>
    <w:rsid w:val="002A5829"/>
    <w:rsid w:val="002A655C"/>
    <w:rsid w:val="002B001B"/>
    <w:rsid w:val="002B4796"/>
    <w:rsid w:val="002B4A25"/>
    <w:rsid w:val="002B64E9"/>
    <w:rsid w:val="002B667A"/>
    <w:rsid w:val="002C01E2"/>
    <w:rsid w:val="002C2154"/>
    <w:rsid w:val="002C4447"/>
    <w:rsid w:val="002C6F49"/>
    <w:rsid w:val="002D1728"/>
    <w:rsid w:val="002D2246"/>
    <w:rsid w:val="002D2E82"/>
    <w:rsid w:val="002D6ECA"/>
    <w:rsid w:val="002E0097"/>
    <w:rsid w:val="002E0150"/>
    <w:rsid w:val="002E0EA2"/>
    <w:rsid w:val="002E273B"/>
    <w:rsid w:val="002E500A"/>
    <w:rsid w:val="002F29DA"/>
    <w:rsid w:val="002F2D5A"/>
    <w:rsid w:val="002F4556"/>
    <w:rsid w:val="002F657A"/>
    <w:rsid w:val="002F6923"/>
    <w:rsid w:val="002F77A3"/>
    <w:rsid w:val="0030111B"/>
    <w:rsid w:val="0030230A"/>
    <w:rsid w:val="00303222"/>
    <w:rsid w:val="00303833"/>
    <w:rsid w:val="00307944"/>
    <w:rsid w:val="00311787"/>
    <w:rsid w:val="003128E8"/>
    <w:rsid w:val="003142D9"/>
    <w:rsid w:val="0031616A"/>
    <w:rsid w:val="00317355"/>
    <w:rsid w:val="003173BA"/>
    <w:rsid w:val="0032441A"/>
    <w:rsid w:val="00330C9F"/>
    <w:rsid w:val="003339ED"/>
    <w:rsid w:val="003359BC"/>
    <w:rsid w:val="00335B31"/>
    <w:rsid w:val="003366B2"/>
    <w:rsid w:val="00342074"/>
    <w:rsid w:val="00342FAF"/>
    <w:rsid w:val="0034345D"/>
    <w:rsid w:val="00344863"/>
    <w:rsid w:val="00345AEF"/>
    <w:rsid w:val="003525B0"/>
    <w:rsid w:val="003527AF"/>
    <w:rsid w:val="00352E1E"/>
    <w:rsid w:val="003568F7"/>
    <w:rsid w:val="00356D59"/>
    <w:rsid w:val="00357702"/>
    <w:rsid w:val="0036044C"/>
    <w:rsid w:val="003628E6"/>
    <w:rsid w:val="0036508C"/>
    <w:rsid w:val="00373ACB"/>
    <w:rsid w:val="00374E2D"/>
    <w:rsid w:val="0037679D"/>
    <w:rsid w:val="0037790A"/>
    <w:rsid w:val="0038153B"/>
    <w:rsid w:val="0038237D"/>
    <w:rsid w:val="00382CE8"/>
    <w:rsid w:val="0038436D"/>
    <w:rsid w:val="00384FBD"/>
    <w:rsid w:val="00385BFE"/>
    <w:rsid w:val="00390B58"/>
    <w:rsid w:val="00390DEF"/>
    <w:rsid w:val="00396BE2"/>
    <w:rsid w:val="00397B3D"/>
    <w:rsid w:val="003A0161"/>
    <w:rsid w:val="003A6427"/>
    <w:rsid w:val="003A755A"/>
    <w:rsid w:val="003A7CBC"/>
    <w:rsid w:val="003B4C7E"/>
    <w:rsid w:val="003B5619"/>
    <w:rsid w:val="003C0495"/>
    <w:rsid w:val="003C05D4"/>
    <w:rsid w:val="003C1291"/>
    <w:rsid w:val="003C1F1C"/>
    <w:rsid w:val="003C2478"/>
    <w:rsid w:val="003C4826"/>
    <w:rsid w:val="003C78DE"/>
    <w:rsid w:val="003C7D30"/>
    <w:rsid w:val="003D241F"/>
    <w:rsid w:val="003D4842"/>
    <w:rsid w:val="003D4A3F"/>
    <w:rsid w:val="003D75AB"/>
    <w:rsid w:val="003E0B3C"/>
    <w:rsid w:val="003E6586"/>
    <w:rsid w:val="003E6E4E"/>
    <w:rsid w:val="003F1912"/>
    <w:rsid w:val="003F3D5D"/>
    <w:rsid w:val="003F42A8"/>
    <w:rsid w:val="004024EE"/>
    <w:rsid w:val="00402B89"/>
    <w:rsid w:val="0040407D"/>
    <w:rsid w:val="00407B8C"/>
    <w:rsid w:val="004134D9"/>
    <w:rsid w:val="00413BAA"/>
    <w:rsid w:val="00413C97"/>
    <w:rsid w:val="00414FE2"/>
    <w:rsid w:val="0041541F"/>
    <w:rsid w:val="004175CB"/>
    <w:rsid w:val="00420827"/>
    <w:rsid w:val="0042154A"/>
    <w:rsid w:val="00426527"/>
    <w:rsid w:val="00427371"/>
    <w:rsid w:val="00430F66"/>
    <w:rsid w:val="0043154D"/>
    <w:rsid w:val="004316F0"/>
    <w:rsid w:val="00437B52"/>
    <w:rsid w:val="00440AE5"/>
    <w:rsid w:val="004413BE"/>
    <w:rsid w:val="0044392C"/>
    <w:rsid w:val="0044649F"/>
    <w:rsid w:val="00447004"/>
    <w:rsid w:val="00447C78"/>
    <w:rsid w:val="0045060E"/>
    <w:rsid w:val="00453315"/>
    <w:rsid w:val="00455603"/>
    <w:rsid w:val="0046057C"/>
    <w:rsid w:val="00461558"/>
    <w:rsid w:val="004649D0"/>
    <w:rsid w:val="00465BD2"/>
    <w:rsid w:val="00465C06"/>
    <w:rsid w:val="004670FD"/>
    <w:rsid w:val="00467810"/>
    <w:rsid w:val="0047035F"/>
    <w:rsid w:val="00472636"/>
    <w:rsid w:val="00475BA6"/>
    <w:rsid w:val="0048121F"/>
    <w:rsid w:val="00482367"/>
    <w:rsid w:val="00485112"/>
    <w:rsid w:val="00492074"/>
    <w:rsid w:val="00493126"/>
    <w:rsid w:val="004A1224"/>
    <w:rsid w:val="004A6115"/>
    <w:rsid w:val="004A78A1"/>
    <w:rsid w:val="004B11B1"/>
    <w:rsid w:val="004B1E63"/>
    <w:rsid w:val="004B33BF"/>
    <w:rsid w:val="004B3790"/>
    <w:rsid w:val="004C1945"/>
    <w:rsid w:val="004C56EC"/>
    <w:rsid w:val="004D0FF9"/>
    <w:rsid w:val="004D1421"/>
    <w:rsid w:val="004E01A9"/>
    <w:rsid w:val="004E1429"/>
    <w:rsid w:val="004E1DD9"/>
    <w:rsid w:val="004E4759"/>
    <w:rsid w:val="004E47F4"/>
    <w:rsid w:val="004E6886"/>
    <w:rsid w:val="004E784C"/>
    <w:rsid w:val="004E7E90"/>
    <w:rsid w:val="004F2465"/>
    <w:rsid w:val="004F2710"/>
    <w:rsid w:val="004F324F"/>
    <w:rsid w:val="004F4A33"/>
    <w:rsid w:val="004F5952"/>
    <w:rsid w:val="004F6CC2"/>
    <w:rsid w:val="005006BF"/>
    <w:rsid w:val="00502359"/>
    <w:rsid w:val="0050315F"/>
    <w:rsid w:val="005038EE"/>
    <w:rsid w:val="0050487B"/>
    <w:rsid w:val="0050715D"/>
    <w:rsid w:val="0051169B"/>
    <w:rsid w:val="005136AE"/>
    <w:rsid w:val="0051546A"/>
    <w:rsid w:val="00531323"/>
    <w:rsid w:val="005345FE"/>
    <w:rsid w:val="005367BD"/>
    <w:rsid w:val="0054044F"/>
    <w:rsid w:val="0054104C"/>
    <w:rsid w:val="005410A1"/>
    <w:rsid w:val="0054282C"/>
    <w:rsid w:val="00543AEA"/>
    <w:rsid w:val="00544B99"/>
    <w:rsid w:val="00544EEE"/>
    <w:rsid w:val="00547A00"/>
    <w:rsid w:val="00547A5B"/>
    <w:rsid w:val="00550117"/>
    <w:rsid w:val="00552D6B"/>
    <w:rsid w:val="005534A9"/>
    <w:rsid w:val="00555F28"/>
    <w:rsid w:val="00563FDB"/>
    <w:rsid w:val="00564F64"/>
    <w:rsid w:val="00570B12"/>
    <w:rsid w:val="00573477"/>
    <w:rsid w:val="00577B23"/>
    <w:rsid w:val="0058210D"/>
    <w:rsid w:val="00583279"/>
    <w:rsid w:val="005852D2"/>
    <w:rsid w:val="005860CD"/>
    <w:rsid w:val="0058615B"/>
    <w:rsid w:val="00587EC9"/>
    <w:rsid w:val="0059168F"/>
    <w:rsid w:val="00595389"/>
    <w:rsid w:val="00596197"/>
    <w:rsid w:val="0059708A"/>
    <w:rsid w:val="005A25D2"/>
    <w:rsid w:val="005A5610"/>
    <w:rsid w:val="005A5EEC"/>
    <w:rsid w:val="005A6C33"/>
    <w:rsid w:val="005A6F20"/>
    <w:rsid w:val="005B0BAE"/>
    <w:rsid w:val="005B393D"/>
    <w:rsid w:val="005B5204"/>
    <w:rsid w:val="005B56C9"/>
    <w:rsid w:val="005B5951"/>
    <w:rsid w:val="005C21B8"/>
    <w:rsid w:val="005C3B14"/>
    <w:rsid w:val="005D3ECB"/>
    <w:rsid w:val="005D4B43"/>
    <w:rsid w:val="005E0428"/>
    <w:rsid w:val="005E1D75"/>
    <w:rsid w:val="005E2935"/>
    <w:rsid w:val="005E43DC"/>
    <w:rsid w:val="005E62E6"/>
    <w:rsid w:val="005F2D6A"/>
    <w:rsid w:val="005F5EA5"/>
    <w:rsid w:val="005F65DA"/>
    <w:rsid w:val="00604A93"/>
    <w:rsid w:val="0060642F"/>
    <w:rsid w:val="006107BA"/>
    <w:rsid w:val="0061518E"/>
    <w:rsid w:val="006173FB"/>
    <w:rsid w:val="00622C8C"/>
    <w:rsid w:val="0062499E"/>
    <w:rsid w:val="00625D6A"/>
    <w:rsid w:val="00627479"/>
    <w:rsid w:val="00632018"/>
    <w:rsid w:val="0063280A"/>
    <w:rsid w:val="00633936"/>
    <w:rsid w:val="0063525F"/>
    <w:rsid w:val="0063643C"/>
    <w:rsid w:val="006403E5"/>
    <w:rsid w:val="006428B6"/>
    <w:rsid w:val="00643683"/>
    <w:rsid w:val="00646183"/>
    <w:rsid w:val="00647121"/>
    <w:rsid w:val="006525E4"/>
    <w:rsid w:val="0065318A"/>
    <w:rsid w:val="006542FD"/>
    <w:rsid w:val="00654423"/>
    <w:rsid w:val="00654676"/>
    <w:rsid w:val="00655E98"/>
    <w:rsid w:val="00656AE0"/>
    <w:rsid w:val="00656CED"/>
    <w:rsid w:val="006579AD"/>
    <w:rsid w:val="00661EFB"/>
    <w:rsid w:val="00665662"/>
    <w:rsid w:val="00666DE4"/>
    <w:rsid w:val="00667488"/>
    <w:rsid w:val="00670C76"/>
    <w:rsid w:val="006733A4"/>
    <w:rsid w:val="00674148"/>
    <w:rsid w:val="00675136"/>
    <w:rsid w:val="0067564B"/>
    <w:rsid w:val="0067785E"/>
    <w:rsid w:val="00680F05"/>
    <w:rsid w:val="006855D3"/>
    <w:rsid w:val="00687086"/>
    <w:rsid w:val="00690519"/>
    <w:rsid w:val="00692B91"/>
    <w:rsid w:val="00692E7C"/>
    <w:rsid w:val="006953A0"/>
    <w:rsid w:val="00696060"/>
    <w:rsid w:val="006A1C16"/>
    <w:rsid w:val="006A22DC"/>
    <w:rsid w:val="006A25E6"/>
    <w:rsid w:val="006A2700"/>
    <w:rsid w:val="006A2CBB"/>
    <w:rsid w:val="006A349A"/>
    <w:rsid w:val="006A5E3B"/>
    <w:rsid w:val="006B033E"/>
    <w:rsid w:val="006B0497"/>
    <w:rsid w:val="006B0D89"/>
    <w:rsid w:val="006B0EA1"/>
    <w:rsid w:val="006B4B06"/>
    <w:rsid w:val="006B4E86"/>
    <w:rsid w:val="006B6F98"/>
    <w:rsid w:val="006B7138"/>
    <w:rsid w:val="006B7761"/>
    <w:rsid w:val="006C0FF5"/>
    <w:rsid w:val="006C3A38"/>
    <w:rsid w:val="006C460F"/>
    <w:rsid w:val="006C4EE7"/>
    <w:rsid w:val="006C54EC"/>
    <w:rsid w:val="006D0116"/>
    <w:rsid w:val="006D4507"/>
    <w:rsid w:val="006D4B5D"/>
    <w:rsid w:val="006D64EC"/>
    <w:rsid w:val="006E09A3"/>
    <w:rsid w:val="006E1791"/>
    <w:rsid w:val="006E2319"/>
    <w:rsid w:val="006E2ECC"/>
    <w:rsid w:val="006E3E0E"/>
    <w:rsid w:val="006E417D"/>
    <w:rsid w:val="006E641A"/>
    <w:rsid w:val="006E6F5D"/>
    <w:rsid w:val="006E7BFC"/>
    <w:rsid w:val="006F107A"/>
    <w:rsid w:val="006F1FB5"/>
    <w:rsid w:val="006F251B"/>
    <w:rsid w:val="006F7CF0"/>
    <w:rsid w:val="00700083"/>
    <w:rsid w:val="007024E2"/>
    <w:rsid w:val="00702CD2"/>
    <w:rsid w:val="00704224"/>
    <w:rsid w:val="00713507"/>
    <w:rsid w:val="007164EA"/>
    <w:rsid w:val="007176E8"/>
    <w:rsid w:val="00722CE1"/>
    <w:rsid w:val="00727215"/>
    <w:rsid w:val="00733C3D"/>
    <w:rsid w:val="00735619"/>
    <w:rsid w:val="00741C07"/>
    <w:rsid w:val="00745B2F"/>
    <w:rsid w:val="0074644A"/>
    <w:rsid w:val="0074771F"/>
    <w:rsid w:val="00747BBE"/>
    <w:rsid w:val="00750FE8"/>
    <w:rsid w:val="00752636"/>
    <w:rsid w:val="00753338"/>
    <w:rsid w:val="0075464E"/>
    <w:rsid w:val="00756266"/>
    <w:rsid w:val="00761854"/>
    <w:rsid w:val="0076492E"/>
    <w:rsid w:val="00764F42"/>
    <w:rsid w:val="00764F45"/>
    <w:rsid w:val="00765BED"/>
    <w:rsid w:val="0076655A"/>
    <w:rsid w:val="00772BA3"/>
    <w:rsid w:val="0077358A"/>
    <w:rsid w:val="00775A31"/>
    <w:rsid w:val="0077652C"/>
    <w:rsid w:val="00777469"/>
    <w:rsid w:val="007805ED"/>
    <w:rsid w:val="0078622B"/>
    <w:rsid w:val="00787347"/>
    <w:rsid w:val="00790C0A"/>
    <w:rsid w:val="00793A7A"/>
    <w:rsid w:val="007A223B"/>
    <w:rsid w:val="007A26FA"/>
    <w:rsid w:val="007A3B8C"/>
    <w:rsid w:val="007A46CB"/>
    <w:rsid w:val="007A7069"/>
    <w:rsid w:val="007A76EA"/>
    <w:rsid w:val="007A79B2"/>
    <w:rsid w:val="007A7C23"/>
    <w:rsid w:val="007B03CF"/>
    <w:rsid w:val="007B1DC0"/>
    <w:rsid w:val="007B261F"/>
    <w:rsid w:val="007B4F7C"/>
    <w:rsid w:val="007C0FB1"/>
    <w:rsid w:val="007C2D26"/>
    <w:rsid w:val="007C3DF6"/>
    <w:rsid w:val="007C587C"/>
    <w:rsid w:val="007D0158"/>
    <w:rsid w:val="007D0821"/>
    <w:rsid w:val="007D1B10"/>
    <w:rsid w:val="007D1EC8"/>
    <w:rsid w:val="007D4ED1"/>
    <w:rsid w:val="007D5BA1"/>
    <w:rsid w:val="007E3A77"/>
    <w:rsid w:val="007E48FD"/>
    <w:rsid w:val="007E6952"/>
    <w:rsid w:val="007E7E56"/>
    <w:rsid w:val="007F3636"/>
    <w:rsid w:val="007F3CEB"/>
    <w:rsid w:val="00800016"/>
    <w:rsid w:val="00802877"/>
    <w:rsid w:val="00802880"/>
    <w:rsid w:val="00803DD9"/>
    <w:rsid w:val="00804C64"/>
    <w:rsid w:val="00804FB1"/>
    <w:rsid w:val="00807C50"/>
    <w:rsid w:val="008121F0"/>
    <w:rsid w:val="00812F42"/>
    <w:rsid w:val="00817D6A"/>
    <w:rsid w:val="00817F2D"/>
    <w:rsid w:val="00820774"/>
    <w:rsid w:val="00826603"/>
    <w:rsid w:val="00827C6D"/>
    <w:rsid w:val="00835EEF"/>
    <w:rsid w:val="008369C1"/>
    <w:rsid w:val="0083712E"/>
    <w:rsid w:val="00837B86"/>
    <w:rsid w:val="00840F73"/>
    <w:rsid w:val="00846841"/>
    <w:rsid w:val="00847B32"/>
    <w:rsid w:val="00854F72"/>
    <w:rsid w:val="00855CB1"/>
    <w:rsid w:val="00857C36"/>
    <w:rsid w:val="00864026"/>
    <w:rsid w:val="00864567"/>
    <w:rsid w:val="00864EC9"/>
    <w:rsid w:val="00866695"/>
    <w:rsid w:val="0087084B"/>
    <w:rsid w:val="00870C45"/>
    <w:rsid w:val="0087619A"/>
    <w:rsid w:val="00882D43"/>
    <w:rsid w:val="00884375"/>
    <w:rsid w:val="00884FAE"/>
    <w:rsid w:val="0088740B"/>
    <w:rsid w:val="008929A3"/>
    <w:rsid w:val="00895119"/>
    <w:rsid w:val="008976A3"/>
    <w:rsid w:val="008979B9"/>
    <w:rsid w:val="008A791A"/>
    <w:rsid w:val="008B1E06"/>
    <w:rsid w:val="008B2744"/>
    <w:rsid w:val="008B29A2"/>
    <w:rsid w:val="008B2C30"/>
    <w:rsid w:val="008B6C15"/>
    <w:rsid w:val="008B742E"/>
    <w:rsid w:val="008C11E5"/>
    <w:rsid w:val="008C2634"/>
    <w:rsid w:val="008C2B86"/>
    <w:rsid w:val="008C79A0"/>
    <w:rsid w:val="008D10A6"/>
    <w:rsid w:val="008D5FDB"/>
    <w:rsid w:val="008E1CE8"/>
    <w:rsid w:val="008E44AB"/>
    <w:rsid w:val="008E712F"/>
    <w:rsid w:val="008F3256"/>
    <w:rsid w:val="008F5079"/>
    <w:rsid w:val="008F548E"/>
    <w:rsid w:val="008F70E2"/>
    <w:rsid w:val="008F7BEC"/>
    <w:rsid w:val="00900839"/>
    <w:rsid w:val="00903DE7"/>
    <w:rsid w:val="0091097D"/>
    <w:rsid w:val="00914353"/>
    <w:rsid w:val="009168B8"/>
    <w:rsid w:val="00916F5C"/>
    <w:rsid w:val="00921933"/>
    <w:rsid w:val="00921DA6"/>
    <w:rsid w:val="009229E5"/>
    <w:rsid w:val="009239A8"/>
    <w:rsid w:val="0092759A"/>
    <w:rsid w:val="00931A4E"/>
    <w:rsid w:val="00931C25"/>
    <w:rsid w:val="00932E45"/>
    <w:rsid w:val="00932F74"/>
    <w:rsid w:val="00933AD5"/>
    <w:rsid w:val="009341CB"/>
    <w:rsid w:val="00937FD8"/>
    <w:rsid w:val="0094142F"/>
    <w:rsid w:val="00941949"/>
    <w:rsid w:val="009436DC"/>
    <w:rsid w:val="0094666E"/>
    <w:rsid w:val="009510B8"/>
    <w:rsid w:val="00951793"/>
    <w:rsid w:val="00951F6B"/>
    <w:rsid w:val="009603AE"/>
    <w:rsid w:val="009607C3"/>
    <w:rsid w:val="009631B8"/>
    <w:rsid w:val="00971B05"/>
    <w:rsid w:val="00971D09"/>
    <w:rsid w:val="00972E78"/>
    <w:rsid w:val="00972FB8"/>
    <w:rsid w:val="00974CCE"/>
    <w:rsid w:val="00980B3A"/>
    <w:rsid w:val="009831DB"/>
    <w:rsid w:val="00983DC8"/>
    <w:rsid w:val="009842B6"/>
    <w:rsid w:val="0098765D"/>
    <w:rsid w:val="00991A82"/>
    <w:rsid w:val="00991F04"/>
    <w:rsid w:val="00993E74"/>
    <w:rsid w:val="00994D51"/>
    <w:rsid w:val="009966D0"/>
    <w:rsid w:val="009A29DC"/>
    <w:rsid w:val="009A3875"/>
    <w:rsid w:val="009A4587"/>
    <w:rsid w:val="009A4FF8"/>
    <w:rsid w:val="009A5576"/>
    <w:rsid w:val="009B5593"/>
    <w:rsid w:val="009B6860"/>
    <w:rsid w:val="009B7389"/>
    <w:rsid w:val="009C0892"/>
    <w:rsid w:val="009C1D32"/>
    <w:rsid w:val="009D0F17"/>
    <w:rsid w:val="009D2AB6"/>
    <w:rsid w:val="009D4386"/>
    <w:rsid w:val="009E1FE2"/>
    <w:rsid w:val="009E2D4F"/>
    <w:rsid w:val="009E43E2"/>
    <w:rsid w:val="009E563E"/>
    <w:rsid w:val="009E69FD"/>
    <w:rsid w:val="009F06BE"/>
    <w:rsid w:val="009F0BBB"/>
    <w:rsid w:val="009F0E52"/>
    <w:rsid w:val="009F2016"/>
    <w:rsid w:val="009F3E91"/>
    <w:rsid w:val="009F44E7"/>
    <w:rsid w:val="009F7D24"/>
    <w:rsid w:val="00A05C7B"/>
    <w:rsid w:val="00A11C62"/>
    <w:rsid w:val="00A14451"/>
    <w:rsid w:val="00A154AC"/>
    <w:rsid w:val="00A15534"/>
    <w:rsid w:val="00A16F8D"/>
    <w:rsid w:val="00A22C40"/>
    <w:rsid w:val="00A232CA"/>
    <w:rsid w:val="00A23423"/>
    <w:rsid w:val="00A24C53"/>
    <w:rsid w:val="00A2693D"/>
    <w:rsid w:val="00A274EF"/>
    <w:rsid w:val="00A30461"/>
    <w:rsid w:val="00A306AE"/>
    <w:rsid w:val="00A3764E"/>
    <w:rsid w:val="00A4060C"/>
    <w:rsid w:val="00A42268"/>
    <w:rsid w:val="00A425DB"/>
    <w:rsid w:val="00A427D0"/>
    <w:rsid w:val="00A46831"/>
    <w:rsid w:val="00A469A2"/>
    <w:rsid w:val="00A50416"/>
    <w:rsid w:val="00A5085F"/>
    <w:rsid w:val="00A51212"/>
    <w:rsid w:val="00A521E0"/>
    <w:rsid w:val="00A52781"/>
    <w:rsid w:val="00A534CE"/>
    <w:rsid w:val="00A5496A"/>
    <w:rsid w:val="00A5635D"/>
    <w:rsid w:val="00A563B2"/>
    <w:rsid w:val="00A56510"/>
    <w:rsid w:val="00A63874"/>
    <w:rsid w:val="00A67B06"/>
    <w:rsid w:val="00A70E9B"/>
    <w:rsid w:val="00A70ED1"/>
    <w:rsid w:val="00A75E58"/>
    <w:rsid w:val="00A802D7"/>
    <w:rsid w:val="00A80BC5"/>
    <w:rsid w:val="00A81863"/>
    <w:rsid w:val="00A82E67"/>
    <w:rsid w:val="00A855AA"/>
    <w:rsid w:val="00A858AE"/>
    <w:rsid w:val="00A86B4F"/>
    <w:rsid w:val="00A86D17"/>
    <w:rsid w:val="00A91728"/>
    <w:rsid w:val="00A9451A"/>
    <w:rsid w:val="00A97AF5"/>
    <w:rsid w:val="00AA412F"/>
    <w:rsid w:val="00AA6EB9"/>
    <w:rsid w:val="00AA75D4"/>
    <w:rsid w:val="00AA7DA2"/>
    <w:rsid w:val="00AB285A"/>
    <w:rsid w:val="00AB5518"/>
    <w:rsid w:val="00AC2AF2"/>
    <w:rsid w:val="00AD15E3"/>
    <w:rsid w:val="00AD1677"/>
    <w:rsid w:val="00AD1BF4"/>
    <w:rsid w:val="00AD1EE9"/>
    <w:rsid w:val="00AD2091"/>
    <w:rsid w:val="00AD3558"/>
    <w:rsid w:val="00AD4CFF"/>
    <w:rsid w:val="00AE0121"/>
    <w:rsid w:val="00AE5805"/>
    <w:rsid w:val="00AE6347"/>
    <w:rsid w:val="00AE6892"/>
    <w:rsid w:val="00AE7C8D"/>
    <w:rsid w:val="00AF33E1"/>
    <w:rsid w:val="00AF3CCE"/>
    <w:rsid w:val="00AF5212"/>
    <w:rsid w:val="00AF5A62"/>
    <w:rsid w:val="00AF6980"/>
    <w:rsid w:val="00AF6C94"/>
    <w:rsid w:val="00AF7928"/>
    <w:rsid w:val="00B00842"/>
    <w:rsid w:val="00B00AB4"/>
    <w:rsid w:val="00B00F64"/>
    <w:rsid w:val="00B04039"/>
    <w:rsid w:val="00B072AB"/>
    <w:rsid w:val="00B123C8"/>
    <w:rsid w:val="00B174A2"/>
    <w:rsid w:val="00B2538D"/>
    <w:rsid w:val="00B2540C"/>
    <w:rsid w:val="00B274AD"/>
    <w:rsid w:val="00B27FB0"/>
    <w:rsid w:val="00B30543"/>
    <w:rsid w:val="00B31609"/>
    <w:rsid w:val="00B345C7"/>
    <w:rsid w:val="00B35565"/>
    <w:rsid w:val="00B35BA4"/>
    <w:rsid w:val="00B35BC2"/>
    <w:rsid w:val="00B42FAD"/>
    <w:rsid w:val="00B45190"/>
    <w:rsid w:val="00B462A4"/>
    <w:rsid w:val="00B54DD0"/>
    <w:rsid w:val="00B5731A"/>
    <w:rsid w:val="00B61557"/>
    <w:rsid w:val="00B6383D"/>
    <w:rsid w:val="00B6468B"/>
    <w:rsid w:val="00B64FBE"/>
    <w:rsid w:val="00B65309"/>
    <w:rsid w:val="00B70ACA"/>
    <w:rsid w:val="00B729AF"/>
    <w:rsid w:val="00B733CE"/>
    <w:rsid w:val="00B7354A"/>
    <w:rsid w:val="00B75CDE"/>
    <w:rsid w:val="00B8067E"/>
    <w:rsid w:val="00B80BD5"/>
    <w:rsid w:val="00B81F0A"/>
    <w:rsid w:val="00B82B7D"/>
    <w:rsid w:val="00B83E10"/>
    <w:rsid w:val="00B92BFB"/>
    <w:rsid w:val="00BA262C"/>
    <w:rsid w:val="00BA2E38"/>
    <w:rsid w:val="00BA54A8"/>
    <w:rsid w:val="00BB0719"/>
    <w:rsid w:val="00BB1479"/>
    <w:rsid w:val="00BB2557"/>
    <w:rsid w:val="00BB399F"/>
    <w:rsid w:val="00BB3E79"/>
    <w:rsid w:val="00BB5822"/>
    <w:rsid w:val="00BC417F"/>
    <w:rsid w:val="00BC5DB8"/>
    <w:rsid w:val="00BD0702"/>
    <w:rsid w:val="00BD0E2B"/>
    <w:rsid w:val="00BD344F"/>
    <w:rsid w:val="00BD4CFF"/>
    <w:rsid w:val="00BD5638"/>
    <w:rsid w:val="00BD7F51"/>
    <w:rsid w:val="00BE5657"/>
    <w:rsid w:val="00BE61E0"/>
    <w:rsid w:val="00BF0CB6"/>
    <w:rsid w:val="00BF25FE"/>
    <w:rsid w:val="00BF7642"/>
    <w:rsid w:val="00BF7679"/>
    <w:rsid w:val="00C00537"/>
    <w:rsid w:val="00C00771"/>
    <w:rsid w:val="00C014F9"/>
    <w:rsid w:val="00C01559"/>
    <w:rsid w:val="00C024BD"/>
    <w:rsid w:val="00C02B6E"/>
    <w:rsid w:val="00C03D7A"/>
    <w:rsid w:val="00C044C8"/>
    <w:rsid w:val="00C04515"/>
    <w:rsid w:val="00C05B47"/>
    <w:rsid w:val="00C0689E"/>
    <w:rsid w:val="00C1143F"/>
    <w:rsid w:val="00C11950"/>
    <w:rsid w:val="00C13EA9"/>
    <w:rsid w:val="00C169E4"/>
    <w:rsid w:val="00C17CFE"/>
    <w:rsid w:val="00C205A5"/>
    <w:rsid w:val="00C24C5B"/>
    <w:rsid w:val="00C26084"/>
    <w:rsid w:val="00C27E75"/>
    <w:rsid w:val="00C30496"/>
    <w:rsid w:val="00C30B34"/>
    <w:rsid w:val="00C3138C"/>
    <w:rsid w:val="00C31B1B"/>
    <w:rsid w:val="00C32B61"/>
    <w:rsid w:val="00C33531"/>
    <w:rsid w:val="00C359C5"/>
    <w:rsid w:val="00C362EF"/>
    <w:rsid w:val="00C4747F"/>
    <w:rsid w:val="00C50607"/>
    <w:rsid w:val="00C52953"/>
    <w:rsid w:val="00C529A6"/>
    <w:rsid w:val="00C53FC1"/>
    <w:rsid w:val="00C552F5"/>
    <w:rsid w:val="00C557B0"/>
    <w:rsid w:val="00C56F95"/>
    <w:rsid w:val="00C60490"/>
    <w:rsid w:val="00C63632"/>
    <w:rsid w:val="00C63BF4"/>
    <w:rsid w:val="00C63DFE"/>
    <w:rsid w:val="00C64F7C"/>
    <w:rsid w:val="00C671C2"/>
    <w:rsid w:val="00C71F70"/>
    <w:rsid w:val="00C74BA0"/>
    <w:rsid w:val="00C774E6"/>
    <w:rsid w:val="00C80826"/>
    <w:rsid w:val="00C82062"/>
    <w:rsid w:val="00C83B78"/>
    <w:rsid w:val="00C849B4"/>
    <w:rsid w:val="00C85129"/>
    <w:rsid w:val="00C85B81"/>
    <w:rsid w:val="00C85C0A"/>
    <w:rsid w:val="00C91B52"/>
    <w:rsid w:val="00C95600"/>
    <w:rsid w:val="00C9683D"/>
    <w:rsid w:val="00CA0091"/>
    <w:rsid w:val="00CA0E2E"/>
    <w:rsid w:val="00CA52DE"/>
    <w:rsid w:val="00CA70BF"/>
    <w:rsid w:val="00CA7C26"/>
    <w:rsid w:val="00CB3C7E"/>
    <w:rsid w:val="00CC0819"/>
    <w:rsid w:val="00CC0F15"/>
    <w:rsid w:val="00CC10F4"/>
    <w:rsid w:val="00CC2361"/>
    <w:rsid w:val="00CC30AD"/>
    <w:rsid w:val="00CC713C"/>
    <w:rsid w:val="00CC797A"/>
    <w:rsid w:val="00CD08F0"/>
    <w:rsid w:val="00CD1A66"/>
    <w:rsid w:val="00CD7D14"/>
    <w:rsid w:val="00CE53C7"/>
    <w:rsid w:val="00CE7DF0"/>
    <w:rsid w:val="00CF255B"/>
    <w:rsid w:val="00CF5142"/>
    <w:rsid w:val="00CF5D2C"/>
    <w:rsid w:val="00CF75A0"/>
    <w:rsid w:val="00D00FCA"/>
    <w:rsid w:val="00D05CAE"/>
    <w:rsid w:val="00D0729B"/>
    <w:rsid w:val="00D07B93"/>
    <w:rsid w:val="00D11A6C"/>
    <w:rsid w:val="00D14825"/>
    <w:rsid w:val="00D17397"/>
    <w:rsid w:val="00D22667"/>
    <w:rsid w:val="00D2300B"/>
    <w:rsid w:val="00D24023"/>
    <w:rsid w:val="00D24B5A"/>
    <w:rsid w:val="00D25288"/>
    <w:rsid w:val="00D303BA"/>
    <w:rsid w:val="00D30A9C"/>
    <w:rsid w:val="00D3294C"/>
    <w:rsid w:val="00D32AEA"/>
    <w:rsid w:val="00D33777"/>
    <w:rsid w:val="00D41DA9"/>
    <w:rsid w:val="00D50C2E"/>
    <w:rsid w:val="00D5283F"/>
    <w:rsid w:val="00D54BB6"/>
    <w:rsid w:val="00D557A8"/>
    <w:rsid w:val="00D55859"/>
    <w:rsid w:val="00D5617D"/>
    <w:rsid w:val="00D56AF9"/>
    <w:rsid w:val="00D577C9"/>
    <w:rsid w:val="00D57D90"/>
    <w:rsid w:val="00D57FAB"/>
    <w:rsid w:val="00D620CA"/>
    <w:rsid w:val="00D6295C"/>
    <w:rsid w:val="00D640E4"/>
    <w:rsid w:val="00D64BC2"/>
    <w:rsid w:val="00D67013"/>
    <w:rsid w:val="00D708B3"/>
    <w:rsid w:val="00D728DA"/>
    <w:rsid w:val="00D751C2"/>
    <w:rsid w:val="00D77DE0"/>
    <w:rsid w:val="00D80436"/>
    <w:rsid w:val="00D810F8"/>
    <w:rsid w:val="00D81C70"/>
    <w:rsid w:val="00D836EF"/>
    <w:rsid w:val="00D852D3"/>
    <w:rsid w:val="00D862DA"/>
    <w:rsid w:val="00D871A9"/>
    <w:rsid w:val="00D9271F"/>
    <w:rsid w:val="00D94957"/>
    <w:rsid w:val="00D94DB7"/>
    <w:rsid w:val="00D95418"/>
    <w:rsid w:val="00D96991"/>
    <w:rsid w:val="00DA4EC4"/>
    <w:rsid w:val="00DA757E"/>
    <w:rsid w:val="00DB179A"/>
    <w:rsid w:val="00DB2130"/>
    <w:rsid w:val="00DB21AB"/>
    <w:rsid w:val="00DB2F2A"/>
    <w:rsid w:val="00DB3DAF"/>
    <w:rsid w:val="00DB61B6"/>
    <w:rsid w:val="00DB66DE"/>
    <w:rsid w:val="00DC284E"/>
    <w:rsid w:val="00DC4AD1"/>
    <w:rsid w:val="00DC6680"/>
    <w:rsid w:val="00DC7A01"/>
    <w:rsid w:val="00DD038B"/>
    <w:rsid w:val="00DD21BC"/>
    <w:rsid w:val="00DD29AB"/>
    <w:rsid w:val="00DD4CF3"/>
    <w:rsid w:val="00DD6238"/>
    <w:rsid w:val="00DE3445"/>
    <w:rsid w:val="00DE6340"/>
    <w:rsid w:val="00DE7507"/>
    <w:rsid w:val="00DE7949"/>
    <w:rsid w:val="00DF047E"/>
    <w:rsid w:val="00DF0907"/>
    <w:rsid w:val="00DF52C6"/>
    <w:rsid w:val="00DF67AA"/>
    <w:rsid w:val="00DF716D"/>
    <w:rsid w:val="00DF772F"/>
    <w:rsid w:val="00E00837"/>
    <w:rsid w:val="00E0204D"/>
    <w:rsid w:val="00E05258"/>
    <w:rsid w:val="00E05305"/>
    <w:rsid w:val="00E05B5E"/>
    <w:rsid w:val="00E05E81"/>
    <w:rsid w:val="00E138F0"/>
    <w:rsid w:val="00E13A35"/>
    <w:rsid w:val="00E147C2"/>
    <w:rsid w:val="00E1555A"/>
    <w:rsid w:val="00E163E2"/>
    <w:rsid w:val="00E174CA"/>
    <w:rsid w:val="00E20968"/>
    <w:rsid w:val="00E21D67"/>
    <w:rsid w:val="00E23C49"/>
    <w:rsid w:val="00E25BBC"/>
    <w:rsid w:val="00E265EB"/>
    <w:rsid w:val="00E26A82"/>
    <w:rsid w:val="00E34D01"/>
    <w:rsid w:val="00E35063"/>
    <w:rsid w:val="00E350D0"/>
    <w:rsid w:val="00E424DC"/>
    <w:rsid w:val="00E42988"/>
    <w:rsid w:val="00E460C8"/>
    <w:rsid w:val="00E508FD"/>
    <w:rsid w:val="00E5096B"/>
    <w:rsid w:val="00E51574"/>
    <w:rsid w:val="00E5275F"/>
    <w:rsid w:val="00E55D27"/>
    <w:rsid w:val="00E60DFF"/>
    <w:rsid w:val="00E63579"/>
    <w:rsid w:val="00E6359B"/>
    <w:rsid w:val="00E70318"/>
    <w:rsid w:val="00E719BD"/>
    <w:rsid w:val="00E7242D"/>
    <w:rsid w:val="00E7316A"/>
    <w:rsid w:val="00E74CF1"/>
    <w:rsid w:val="00E76CC8"/>
    <w:rsid w:val="00E801C7"/>
    <w:rsid w:val="00E83301"/>
    <w:rsid w:val="00E86A24"/>
    <w:rsid w:val="00E8725C"/>
    <w:rsid w:val="00E92926"/>
    <w:rsid w:val="00E946AB"/>
    <w:rsid w:val="00E94FA1"/>
    <w:rsid w:val="00E95EB4"/>
    <w:rsid w:val="00EA3154"/>
    <w:rsid w:val="00EA45B7"/>
    <w:rsid w:val="00EA51ED"/>
    <w:rsid w:val="00EA56FA"/>
    <w:rsid w:val="00EB014E"/>
    <w:rsid w:val="00EB244C"/>
    <w:rsid w:val="00EB2F2E"/>
    <w:rsid w:val="00EB5635"/>
    <w:rsid w:val="00EB5823"/>
    <w:rsid w:val="00EB6289"/>
    <w:rsid w:val="00EB7CA0"/>
    <w:rsid w:val="00EC11E3"/>
    <w:rsid w:val="00EC1680"/>
    <w:rsid w:val="00EC16A1"/>
    <w:rsid w:val="00EC50EE"/>
    <w:rsid w:val="00EC6DE5"/>
    <w:rsid w:val="00EC7167"/>
    <w:rsid w:val="00ED1447"/>
    <w:rsid w:val="00ED26B6"/>
    <w:rsid w:val="00ED39E2"/>
    <w:rsid w:val="00ED51D7"/>
    <w:rsid w:val="00ED5B7A"/>
    <w:rsid w:val="00ED5D21"/>
    <w:rsid w:val="00ED753E"/>
    <w:rsid w:val="00EE16D4"/>
    <w:rsid w:val="00EE1AB6"/>
    <w:rsid w:val="00EE5BF8"/>
    <w:rsid w:val="00EF1BC7"/>
    <w:rsid w:val="00EF1E54"/>
    <w:rsid w:val="00EF249F"/>
    <w:rsid w:val="00EF2A4D"/>
    <w:rsid w:val="00EF3B06"/>
    <w:rsid w:val="00EF7952"/>
    <w:rsid w:val="00F01313"/>
    <w:rsid w:val="00F02435"/>
    <w:rsid w:val="00F160E3"/>
    <w:rsid w:val="00F1611A"/>
    <w:rsid w:val="00F163BC"/>
    <w:rsid w:val="00F23385"/>
    <w:rsid w:val="00F23FC0"/>
    <w:rsid w:val="00F240C8"/>
    <w:rsid w:val="00F252F0"/>
    <w:rsid w:val="00F25E14"/>
    <w:rsid w:val="00F3407B"/>
    <w:rsid w:val="00F35C33"/>
    <w:rsid w:val="00F36EBB"/>
    <w:rsid w:val="00F3715B"/>
    <w:rsid w:val="00F42E7A"/>
    <w:rsid w:val="00F43A3C"/>
    <w:rsid w:val="00F5189D"/>
    <w:rsid w:val="00F51FF2"/>
    <w:rsid w:val="00F53C06"/>
    <w:rsid w:val="00F53C9E"/>
    <w:rsid w:val="00F57C4D"/>
    <w:rsid w:val="00F602E6"/>
    <w:rsid w:val="00F63E85"/>
    <w:rsid w:val="00F65BC5"/>
    <w:rsid w:val="00F67941"/>
    <w:rsid w:val="00F75360"/>
    <w:rsid w:val="00F75BA0"/>
    <w:rsid w:val="00F772CE"/>
    <w:rsid w:val="00F83CD9"/>
    <w:rsid w:val="00F87BCC"/>
    <w:rsid w:val="00F9203C"/>
    <w:rsid w:val="00F92345"/>
    <w:rsid w:val="00F924D7"/>
    <w:rsid w:val="00F93A91"/>
    <w:rsid w:val="00FA0098"/>
    <w:rsid w:val="00FA2261"/>
    <w:rsid w:val="00FA369A"/>
    <w:rsid w:val="00FA383A"/>
    <w:rsid w:val="00FA5F6C"/>
    <w:rsid w:val="00FB023B"/>
    <w:rsid w:val="00FB0B62"/>
    <w:rsid w:val="00FB1497"/>
    <w:rsid w:val="00FB1B5D"/>
    <w:rsid w:val="00FB21A0"/>
    <w:rsid w:val="00FB2951"/>
    <w:rsid w:val="00FB3113"/>
    <w:rsid w:val="00FB33E2"/>
    <w:rsid w:val="00FB4A38"/>
    <w:rsid w:val="00FB72AB"/>
    <w:rsid w:val="00FD5C6E"/>
    <w:rsid w:val="00FD7529"/>
    <w:rsid w:val="00FD76BA"/>
    <w:rsid w:val="00FD7714"/>
    <w:rsid w:val="00FE1CBB"/>
    <w:rsid w:val="00FE5B57"/>
    <w:rsid w:val="00FF1253"/>
    <w:rsid w:val="00FF22A3"/>
    <w:rsid w:val="00FF230E"/>
    <w:rsid w:val="00FF3BA3"/>
    <w:rsid w:val="00FF4D49"/>
    <w:rsid w:val="00FF5702"/>
    <w:rsid w:val="00FF5BA2"/>
    <w:rsid w:val="00FF5EBD"/>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60AD99"/>
  <w15:chartTrackingRefBased/>
  <w15:docId w15:val="{7C4FF12A-B128-49A1-A12F-87ED25D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aliases w:val="Heading artikel"/>
    <w:basedOn w:val="Normal"/>
    <w:next w:val="Normal"/>
    <w:link w:val="Heading1Char"/>
    <w:uiPriority w:val="9"/>
    <w:qFormat/>
    <w:rsid w:val="0063280A"/>
    <w:pPr>
      <w:widowControl w:val="0"/>
      <w:numPr>
        <w:numId w:val="4"/>
      </w:numPr>
      <w:tabs>
        <w:tab w:val="left" w:pos="-720"/>
      </w:tabs>
      <w:suppressAutoHyphens/>
      <w:spacing w:after="240" w:line="240" w:lineRule="auto"/>
      <w:outlineLvl w:val="0"/>
    </w:pPr>
    <w:rPr>
      <w:rFonts w:ascii="Arial" w:eastAsia="Times New Roman" w:hAnsi="Arial" w:cs="Arial"/>
      <w:b/>
      <w:snapToGrid w:val="0"/>
      <w:color w:val="000000" w:themeColor="text1"/>
      <w:sz w:val="24"/>
      <w:szCs w:val="24"/>
      <w:u w:val="single"/>
    </w:rPr>
  </w:style>
  <w:style w:type="paragraph" w:styleId="Heading2">
    <w:name w:val="heading 2"/>
    <w:basedOn w:val="Normal"/>
    <w:next w:val="Normal"/>
    <w:link w:val="Heading2Char"/>
    <w:uiPriority w:val="9"/>
    <w:unhideWhenUsed/>
    <w:qFormat/>
    <w:rsid w:val="00467810"/>
    <w:pPr>
      <w:keepNext/>
      <w:keepLines/>
      <w:numPr>
        <w:numId w:val="11"/>
      </w:numPr>
      <w:spacing w:before="40" w:after="0"/>
      <w:ind w:left="1134" w:hanging="1200"/>
      <w:outlineLvl w:val="1"/>
    </w:pPr>
    <w:rPr>
      <w:rFonts w:ascii="Arial" w:eastAsiaTheme="majorEastAsia" w:hAnsi="Arial" w:cs="Arial"/>
      <w:u w:val="single"/>
    </w:rPr>
  </w:style>
  <w:style w:type="paragraph" w:styleId="Heading3">
    <w:name w:val="heading 3"/>
    <w:basedOn w:val="Normal"/>
    <w:next w:val="Normal"/>
    <w:link w:val="Heading3Char"/>
    <w:uiPriority w:val="9"/>
    <w:unhideWhenUsed/>
    <w:qFormat/>
    <w:rsid w:val="003D4A3F"/>
    <w:pPr>
      <w:keepNext/>
      <w:keepLines/>
      <w:spacing w:before="40" w:after="0"/>
      <w:outlineLvl w:val="2"/>
    </w:pPr>
    <w:rPr>
      <w:rFonts w:asciiTheme="majorHAnsi" w:eastAsiaTheme="majorEastAsia" w:hAnsiTheme="majorHAnsi" w:cstheme="majorBidi"/>
      <w:i/>
      <w:color w:val="0070C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423"/>
    <w:pPr>
      <w:spacing w:after="200" w:line="276" w:lineRule="auto"/>
      <w:ind w:left="720"/>
      <w:contextualSpacing/>
    </w:pPr>
    <w:rPr>
      <w:lang w:val="nl-BE"/>
    </w:rPr>
  </w:style>
  <w:style w:type="character" w:styleId="Hyperlink">
    <w:name w:val="Hyperlink"/>
    <w:basedOn w:val="DefaultParagraphFont"/>
    <w:uiPriority w:val="99"/>
    <w:unhideWhenUsed/>
    <w:rsid w:val="00654423"/>
    <w:rPr>
      <w:color w:val="0000FF" w:themeColor="hyperlink"/>
      <w:u w:val="single"/>
    </w:rPr>
  </w:style>
  <w:style w:type="character" w:styleId="PlaceholderText">
    <w:name w:val="Placeholder Text"/>
    <w:basedOn w:val="DefaultParagraphFont"/>
    <w:uiPriority w:val="99"/>
    <w:semiHidden/>
    <w:rsid w:val="00654423"/>
    <w:rPr>
      <w:color w:val="808080"/>
    </w:rPr>
  </w:style>
  <w:style w:type="character" w:customStyle="1" w:styleId="ListParagraphChar">
    <w:name w:val="List Paragraph Char"/>
    <w:link w:val="ListParagraph"/>
    <w:uiPriority w:val="34"/>
    <w:locked/>
    <w:rsid w:val="00654423"/>
    <w:rPr>
      <w:lang w:val="nl-BE"/>
    </w:rPr>
  </w:style>
  <w:style w:type="character" w:styleId="UnresolvedMention">
    <w:name w:val="Unresolved Mention"/>
    <w:basedOn w:val="DefaultParagraphFont"/>
    <w:uiPriority w:val="99"/>
    <w:semiHidden/>
    <w:unhideWhenUsed/>
    <w:rsid w:val="00654423"/>
    <w:rPr>
      <w:color w:val="605E5C"/>
      <w:shd w:val="clear" w:color="auto" w:fill="E1DFDD"/>
    </w:rPr>
  </w:style>
  <w:style w:type="character" w:customStyle="1" w:styleId="Heading1Char">
    <w:name w:val="Heading 1 Char"/>
    <w:aliases w:val="Heading artikel Char"/>
    <w:basedOn w:val="DefaultParagraphFont"/>
    <w:link w:val="Heading1"/>
    <w:uiPriority w:val="9"/>
    <w:rsid w:val="0063280A"/>
    <w:rPr>
      <w:rFonts w:ascii="Arial" w:eastAsia="Times New Roman" w:hAnsi="Arial" w:cs="Arial"/>
      <w:b/>
      <w:snapToGrid w:val="0"/>
      <w:color w:val="000000" w:themeColor="text1"/>
      <w:sz w:val="24"/>
      <w:szCs w:val="24"/>
      <w:u w:val="single"/>
      <w:lang w:val="fr-FR"/>
    </w:rPr>
  </w:style>
  <w:style w:type="character" w:customStyle="1" w:styleId="Heading2Char">
    <w:name w:val="Heading 2 Char"/>
    <w:basedOn w:val="DefaultParagraphFont"/>
    <w:link w:val="Heading2"/>
    <w:uiPriority w:val="9"/>
    <w:rsid w:val="00467810"/>
    <w:rPr>
      <w:rFonts w:ascii="Arial" w:eastAsiaTheme="majorEastAsia" w:hAnsi="Arial" w:cs="Arial"/>
      <w:u w:val="single"/>
      <w:lang w:val="fr-FR"/>
    </w:rPr>
  </w:style>
  <w:style w:type="character" w:customStyle="1" w:styleId="Geen">
    <w:name w:val="Geen"/>
    <w:rsid w:val="002F4556"/>
  </w:style>
  <w:style w:type="character" w:styleId="CommentReference">
    <w:name w:val="annotation reference"/>
    <w:basedOn w:val="DefaultParagraphFont"/>
    <w:uiPriority w:val="99"/>
    <w:semiHidden/>
    <w:unhideWhenUsed/>
    <w:rsid w:val="00CE7DF0"/>
    <w:rPr>
      <w:sz w:val="16"/>
      <w:szCs w:val="16"/>
    </w:rPr>
  </w:style>
  <w:style w:type="paragraph" w:styleId="CommentText">
    <w:name w:val="annotation text"/>
    <w:basedOn w:val="Normal"/>
    <w:link w:val="CommentTextChar"/>
    <w:uiPriority w:val="99"/>
    <w:unhideWhenUsed/>
    <w:rsid w:val="00CE7DF0"/>
    <w:pPr>
      <w:spacing w:line="240" w:lineRule="auto"/>
    </w:pPr>
    <w:rPr>
      <w:sz w:val="20"/>
      <w:szCs w:val="20"/>
    </w:rPr>
  </w:style>
  <w:style w:type="character" w:customStyle="1" w:styleId="CommentTextChar">
    <w:name w:val="Comment Text Char"/>
    <w:basedOn w:val="DefaultParagraphFont"/>
    <w:link w:val="CommentText"/>
    <w:uiPriority w:val="99"/>
    <w:rsid w:val="00CE7DF0"/>
    <w:rPr>
      <w:sz w:val="20"/>
      <w:szCs w:val="20"/>
    </w:rPr>
  </w:style>
  <w:style w:type="paragraph" w:styleId="CommentSubject">
    <w:name w:val="annotation subject"/>
    <w:basedOn w:val="CommentText"/>
    <w:next w:val="CommentText"/>
    <w:link w:val="CommentSubjectChar"/>
    <w:uiPriority w:val="99"/>
    <w:semiHidden/>
    <w:unhideWhenUsed/>
    <w:rsid w:val="00CE7DF0"/>
    <w:rPr>
      <w:b/>
      <w:bCs/>
    </w:rPr>
  </w:style>
  <w:style w:type="character" w:customStyle="1" w:styleId="CommentSubjectChar">
    <w:name w:val="Comment Subject Char"/>
    <w:basedOn w:val="CommentTextChar"/>
    <w:link w:val="CommentSubject"/>
    <w:uiPriority w:val="99"/>
    <w:semiHidden/>
    <w:rsid w:val="00CE7DF0"/>
    <w:rPr>
      <w:b/>
      <w:bCs/>
      <w:sz w:val="20"/>
      <w:szCs w:val="20"/>
    </w:rPr>
  </w:style>
  <w:style w:type="paragraph" w:styleId="FootnoteText">
    <w:name w:val="footnote text"/>
    <w:basedOn w:val="Normal"/>
    <w:link w:val="FootnoteTextChar"/>
    <w:uiPriority w:val="99"/>
    <w:semiHidden/>
    <w:unhideWhenUsed/>
    <w:rsid w:val="00CC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0F4"/>
    <w:rPr>
      <w:sz w:val="20"/>
      <w:szCs w:val="20"/>
    </w:rPr>
  </w:style>
  <w:style w:type="character" w:styleId="FootnoteReference">
    <w:name w:val="footnote reference"/>
    <w:basedOn w:val="DefaultParagraphFont"/>
    <w:uiPriority w:val="99"/>
    <w:semiHidden/>
    <w:unhideWhenUsed/>
    <w:rsid w:val="00CC10F4"/>
    <w:rPr>
      <w:vertAlign w:val="superscript"/>
    </w:rPr>
  </w:style>
  <w:style w:type="character" w:customStyle="1" w:styleId="Heading3Char">
    <w:name w:val="Heading 3 Char"/>
    <w:basedOn w:val="DefaultParagraphFont"/>
    <w:link w:val="Heading3"/>
    <w:uiPriority w:val="9"/>
    <w:rsid w:val="003D4A3F"/>
    <w:rPr>
      <w:rFonts w:asciiTheme="majorHAnsi" w:eastAsiaTheme="majorEastAsia" w:hAnsiTheme="majorHAnsi" w:cstheme="majorBidi"/>
      <w:i/>
      <w:color w:val="0070C0"/>
      <w:sz w:val="26"/>
      <w:szCs w:val="24"/>
      <w:lang w:val="fr-FR"/>
    </w:rPr>
  </w:style>
  <w:style w:type="paragraph" w:styleId="Footer">
    <w:name w:val="footer"/>
    <w:basedOn w:val="Normal"/>
    <w:link w:val="FooterChar"/>
    <w:uiPriority w:val="99"/>
    <w:unhideWhenUsed/>
    <w:rsid w:val="009B7389"/>
    <w:pPr>
      <w:tabs>
        <w:tab w:val="center" w:pos="4680"/>
        <w:tab w:val="right" w:pos="9360"/>
      </w:tabs>
      <w:spacing w:after="0" w:line="240" w:lineRule="auto"/>
    </w:pPr>
    <w:rPr>
      <w:lang w:val="nl-BE"/>
    </w:rPr>
  </w:style>
  <w:style w:type="character" w:customStyle="1" w:styleId="FooterChar">
    <w:name w:val="Footer Char"/>
    <w:basedOn w:val="DefaultParagraphFont"/>
    <w:link w:val="Footer"/>
    <w:uiPriority w:val="99"/>
    <w:rsid w:val="009B7389"/>
    <w:rPr>
      <w:lang w:val="nl-BE"/>
    </w:rPr>
  </w:style>
  <w:style w:type="paragraph" w:styleId="Revision">
    <w:name w:val="Revision"/>
    <w:hidden/>
    <w:uiPriority w:val="99"/>
    <w:semiHidden/>
    <w:rsid w:val="00A232CA"/>
    <w:pPr>
      <w:spacing w:after="0" w:line="240" w:lineRule="auto"/>
    </w:pPr>
  </w:style>
  <w:style w:type="character" w:customStyle="1" w:styleId="cf01">
    <w:name w:val="cf01"/>
    <w:basedOn w:val="DefaultParagraphFont"/>
    <w:rsid w:val="00143F86"/>
    <w:rPr>
      <w:rFonts w:ascii="Segoe UI" w:hAnsi="Segoe UI" w:cs="Segoe UI" w:hint="default"/>
      <w:sz w:val="18"/>
      <w:szCs w:val="18"/>
    </w:rPr>
  </w:style>
  <w:style w:type="paragraph" w:styleId="Header">
    <w:name w:val="header"/>
    <w:basedOn w:val="Normal"/>
    <w:link w:val="HeaderChar"/>
    <w:uiPriority w:val="99"/>
    <w:unhideWhenUsed/>
    <w:rsid w:val="004E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59"/>
  </w:style>
  <w:style w:type="paragraph" w:styleId="z-TopofForm">
    <w:name w:val="HTML Top of Form"/>
    <w:basedOn w:val="Normal"/>
    <w:next w:val="Normal"/>
    <w:link w:val="z-TopofFormChar"/>
    <w:hidden/>
    <w:uiPriority w:val="99"/>
    <w:semiHidden/>
    <w:unhideWhenUsed/>
    <w:rsid w:val="0069606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60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606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6060"/>
    <w:rPr>
      <w:rFonts w:ascii="Arial" w:hAnsi="Arial" w:cs="Arial"/>
      <w:vanish/>
      <w:sz w:val="16"/>
      <w:szCs w:val="16"/>
    </w:rPr>
  </w:style>
  <w:style w:type="character" w:styleId="FollowedHyperlink">
    <w:name w:val="FollowedHyperlink"/>
    <w:basedOn w:val="DefaultParagraphFont"/>
    <w:uiPriority w:val="99"/>
    <w:semiHidden/>
    <w:unhideWhenUsed/>
    <w:rsid w:val="00396BE2"/>
    <w:rPr>
      <w:color w:val="800080" w:themeColor="followedHyperlink"/>
      <w:u w:val="single"/>
    </w:rPr>
  </w:style>
  <w:style w:type="character" w:customStyle="1" w:styleId="ui-provider">
    <w:name w:val="ui-provider"/>
    <w:basedOn w:val="DefaultParagraphFont"/>
    <w:rsid w:val="00587EC9"/>
  </w:style>
  <w:style w:type="paragraph" w:styleId="NoSpacing">
    <w:name w:val="No Spacing"/>
    <w:link w:val="NoSpacingChar"/>
    <w:uiPriority w:val="1"/>
    <w:qFormat/>
    <w:rsid w:val="00407B8C"/>
    <w:pPr>
      <w:spacing w:after="0" w:line="240" w:lineRule="auto"/>
    </w:pPr>
    <w:rPr>
      <w:lang w:val="nl-BE"/>
    </w:rPr>
  </w:style>
  <w:style w:type="character" w:customStyle="1" w:styleId="NoSpacingChar">
    <w:name w:val="No Spacing Char"/>
    <w:basedOn w:val="DefaultParagraphFont"/>
    <w:link w:val="NoSpacing"/>
    <w:uiPriority w:val="1"/>
    <w:rsid w:val="00407B8C"/>
    <w:rPr>
      <w:lang w:val="nl-BE"/>
    </w:rPr>
  </w:style>
  <w:style w:type="character" w:customStyle="1" w:styleId="contentpasted0">
    <w:name w:val="contentpasted0"/>
    <w:basedOn w:val="DefaultParagraphFont"/>
    <w:rsid w:val="00407B8C"/>
    <w:rPr>
      <w:lang w:val="nl-BE"/>
    </w:rPr>
  </w:style>
  <w:style w:type="paragraph" w:styleId="Title">
    <w:name w:val="Title"/>
    <w:basedOn w:val="Normal"/>
    <w:next w:val="Normal"/>
    <w:link w:val="TitleChar"/>
    <w:uiPriority w:val="10"/>
    <w:qFormat/>
    <w:rsid w:val="00407B8C"/>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407B8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07B8C"/>
    <w:pPr>
      <w:keepNext/>
      <w:keepLines/>
      <w:widowControl/>
      <w:numPr>
        <w:numId w:val="0"/>
      </w:numPr>
      <w:tabs>
        <w:tab w:val="clear" w:pos="-720"/>
      </w:tabs>
      <w:suppressAutoHyphens w:val="0"/>
      <w:spacing w:before="240" w:after="0" w:line="259" w:lineRule="auto"/>
      <w:outlineLvl w:val="9"/>
    </w:pPr>
    <w:rPr>
      <w:rFonts w:asciiTheme="majorHAnsi" w:eastAsiaTheme="majorEastAsia" w:hAnsiTheme="majorHAnsi" w:cstheme="majorBidi"/>
      <w:b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407B8C"/>
    <w:pPr>
      <w:tabs>
        <w:tab w:val="right" w:leader="dot" w:pos="9350"/>
      </w:tabs>
      <w:spacing w:after="100"/>
    </w:pPr>
    <w:rPr>
      <w:lang w:val="nl-NL"/>
    </w:rPr>
  </w:style>
  <w:style w:type="paragraph" w:styleId="TOC2">
    <w:name w:val="toc 2"/>
    <w:basedOn w:val="Normal"/>
    <w:next w:val="Normal"/>
    <w:autoRedefine/>
    <w:uiPriority w:val="39"/>
    <w:unhideWhenUsed/>
    <w:rsid w:val="00407B8C"/>
    <w:pPr>
      <w:tabs>
        <w:tab w:val="right" w:leader="dot" w:pos="9350"/>
      </w:tabs>
      <w:spacing w:after="100"/>
      <w:ind w:left="220"/>
    </w:pPr>
    <w:rPr>
      <w:lang w:val="nl-NL"/>
    </w:rPr>
  </w:style>
  <w:style w:type="paragraph" w:styleId="BalloonText">
    <w:name w:val="Balloon Text"/>
    <w:basedOn w:val="Normal"/>
    <w:link w:val="BalloonTextChar"/>
    <w:uiPriority w:val="99"/>
    <w:semiHidden/>
    <w:unhideWhenUsed/>
    <w:rsid w:val="00407B8C"/>
    <w:pPr>
      <w:spacing w:after="0" w:line="240" w:lineRule="auto"/>
    </w:pPr>
    <w:rPr>
      <w:rFonts w:ascii="Segoe UI" w:hAnsi="Segoe UI" w:cs="Segoe UI"/>
      <w:sz w:val="18"/>
      <w:szCs w:val="18"/>
      <w:lang w:val="nl-NL"/>
    </w:rPr>
  </w:style>
  <w:style w:type="character" w:customStyle="1" w:styleId="BalloonTextChar">
    <w:name w:val="Balloon Text Char"/>
    <w:basedOn w:val="DefaultParagraphFont"/>
    <w:link w:val="BalloonText"/>
    <w:uiPriority w:val="99"/>
    <w:semiHidden/>
    <w:rsid w:val="00407B8C"/>
    <w:rPr>
      <w:rFonts w:ascii="Segoe UI" w:hAnsi="Segoe UI" w:cs="Segoe UI"/>
      <w:sz w:val="18"/>
      <w:szCs w:val="18"/>
    </w:rPr>
  </w:style>
  <w:style w:type="paragraph" w:customStyle="1" w:styleId="BodySciensano">
    <w:name w:val="Body Sciensano"/>
    <w:basedOn w:val="Normal"/>
    <w:qFormat/>
    <w:rsid w:val="00407B8C"/>
    <w:pPr>
      <w:spacing w:after="0" w:line="276" w:lineRule="auto"/>
      <w:contextualSpacing/>
      <w:jc w:val="both"/>
    </w:pPr>
    <w:rPr>
      <w:rFonts w:ascii="Arial" w:hAnsi="Arial"/>
      <w:color w:val="58595B"/>
      <w:sz w:val="20"/>
      <w:lang w:val="nl-BE"/>
    </w:rPr>
  </w:style>
  <w:style w:type="character" w:styleId="Emphasis">
    <w:name w:val="Emphasis"/>
    <w:basedOn w:val="DefaultParagraphFont"/>
    <w:uiPriority w:val="20"/>
    <w:qFormat/>
    <w:rsid w:val="00407B8C"/>
    <w:rPr>
      <w:i/>
      <w:iCs/>
    </w:rPr>
  </w:style>
  <w:style w:type="paragraph" w:styleId="Subtitle">
    <w:name w:val="Subtitle"/>
    <w:basedOn w:val="Normal"/>
    <w:next w:val="Normal"/>
    <w:link w:val="SubtitleChar"/>
    <w:uiPriority w:val="11"/>
    <w:qFormat/>
    <w:rsid w:val="00864EC9"/>
    <w:pPr>
      <w:numPr>
        <w:ilvl w:val="1"/>
      </w:numPr>
    </w:pPr>
    <w:rPr>
      <w:rFonts w:asciiTheme="majorHAnsi" w:eastAsiaTheme="minorEastAsia" w:hAnsiTheme="majorHAnsi"/>
      <w:color w:val="00B0F0"/>
      <w:spacing w:val="15"/>
      <w:sz w:val="26"/>
      <w:lang w:val="nl-NL"/>
    </w:rPr>
  </w:style>
  <w:style w:type="character" w:customStyle="1" w:styleId="SubtitleChar">
    <w:name w:val="Subtitle Char"/>
    <w:basedOn w:val="DefaultParagraphFont"/>
    <w:link w:val="Subtitle"/>
    <w:uiPriority w:val="11"/>
    <w:rsid w:val="00864EC9"/>
    <w:rPr>
      <w:rFonts w:asciiTheme="majorHAnsi" w:eastAsiaTheme="minorEastAsia" w:hAnsiTheme="majorHAnsi"/>
      <w:color w:val="00B0F0"/>
      <w:spacing w:val="15"/>
      <w:sz w:val="26"/>
    </w:rPr>
  </w:style>
  <w:style w:type="table" w:customStyle="1" w:styleId="TableauGrille1Clair1">
    <w:name w:val="Tableau Grille 1 Clair1"/>
    <w:basedOn w:val="TableNormal"/>
    <w:uiPriority w:val="46"/>
    <w:rsid w:val="00007AAC"/>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Variable">
    <w:name w:val="HTML Variable"/>
    <w:basedOn w:val="DefaultParagraphFont"/>
    <w:uiPriority w:val="99"/>
    <w:semiHidden/>
    <w:unhideWhenUsed/>
    <w:rsid w:val="00007AAC"/>
    <w:rPr>
      <w:i/>
      <w:iCs/>
    </w:rPr>
  </w:style>
  <w:style w:type="paragraph" w:styleId="TOC3">
    <w:name w:val="toc 3"/>
    <w:basedOn w:val="Normal"/>
    <w:next w:val="Normal"/>
    <w:autoRedefine/>
    <w:uiPriority w:val="39"/>
    <w:unhideWhenUsed/>
    <w:rsid w:val="000F56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nuccore/NM_177438.3" TargetMode="External"/><Relationship Id="rId13" Type="http://schemas.openxmlformats.org/officeDocument/2006/relationships/hyperlink" Target="http://www.ncbi.nlm.nih.gov/nuccore/NM_01616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nuccore/NM_00307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nuccore/NM_000264.5" TargetMode="External"/><Relationship Id="rId5" Type="http://schemas.openxmlformats.org/officeDocument/2006/relationships/webSettings" Target="webSettings.xml"/><Relationship Id="rId15" Type="http://schemas.openxmlformats.org/officeDocument/2006/relationships/hyperlink" Target="http://www.ncbi.nlm.nih.gov/nuccore/NM_000548.5" TargetMode="External"/><Relationship Id="rId10" Type="http://schemas.openxmlformats.org/officeDocument/2006/relationships/hyperlink" Target="http://www.ncbi.nlm.nih.gov/nuccore/NM_003531.3" TargetMode="External"/><Relationship Id="rId4" Type="http://schemas.openxmlformats.org/officeDocument/2006/relationships/settings" Target="settings.xml"/><Relationship Id="rId9" Type="http://schemas.openxmlformats.org/officeDocument/2006/relationships/hyperlink" Target="http://www.ncbi.nlm.nih.gov/nuccore/NM_003537.4" TargetMode="External"/><Relationship Id="rId14" Type="http://schemas.openxmlformats.org/officeDocument/2006/relationships/hyperlink" Target="http://www.ncbi.nlm.nih.gov/nuccore/NM_0003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55A1-37FD-4C73-AA83-3FF16BDF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9942</Words>
  <Characters>54683</Characters>
  <Application>Microsoft Office Word</Application>
  <DocSecurity>0</DocSecurity>
  <Lines>455</Lines>
  <Paragraphs>128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64497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Smet (RIZIV-INAMI)</dc:creator>
  <cp:keywords>, docId:59E11A27E043A68FF1A227996A231177</cp:keywords>
  <dc:description/>
  <cp:lastModifiedBy>Olivia Willems (RIZIV-INAMI)</cp:lastModifiedBy>
  <cp:revision>137</cp:revision>
  <cp:lastPrinted>2025-11-28T07:37:00Z</cp:lastPrinted>
  <dcterms:created xsi:type="dcterms:W3CDTF">2024-09-11T08:20:00Z</dcterms:created>
  <dcterms:modified xsi:type="dcterms:W3CDTF">2026-04-23T13:12:00Z</dcterms:modified>
</cp:coreProperties>
</file>