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B620" w14:textId="5F7CF0B1" w:rsidR="00BB093D" w:rsidRPr="00E7314C" w:rsidRDefault="007A3E41" w:rsidP="00013613">
      <w:pPr>
        <w:pStyle w:val="Heading2"/>
        <w:rPr>
          <w:lang w:val="fr-BE"/>
        </w:rPr>
      </w:pPr>
      <w:r w:rsidRPr="00E7314C">
        <w:rPr>
          <w:lang w:val="fr-BE"/>
        </w:rPr>
        <w:t>Annexe 4 : Exigences relatives à l'</w:t>
      </w:r>
      <w:r w:rsidR="005114C6">
        <w:rPr>
          <w:lang w:val="fr-BE"/>
        </w:rPr>
        <w:t>institution</w:t>
      </w:r>
      <w:r w:rsidRPr="00E7314C">
        <w:rPr>
          <w:lang w:val="fr-BE"/>
        </w:rPr>
        <w:t xml:space="preserve"> d'un SLA</w:t>
      </w:r>
    </w:p>
    <w:p w14:paraId="751D0BE7" w14:textId="50E234DB" w:rsidR="00434443" w:rsidRPr="00E7314C" w:rsidRDefault="00434443" w:rsidP="00013613">
      <w:pPr>
        <w:rPr>
          <w:lang w:val="fr-BE"/>
        </w:rPr>
      </w:pPr>
    </w:p>
    <w:p w14:paraId="0301ACB1" w14:textId="77777777" w:rsidR="00BB093D" w:rsidRPr="00E7314C" w:rsidRDefault="00BB093D" w:rsidP="00013613">
      <w:pPr>
        <w:pStyle w:val="Heading2"/>
        <w:rPr>
          <w:lang w:val="fr-BE"/>
        </w:rPr>
      </w:pPr>
      <w:r w:rsidRPr="00E7314C">
        <w:rPr>
          <w:lang w:val="fr-BE"/>
        </w:rPr>
        <w:t>Définition</w:t>
      </w:r>
    </w:p>
    <w:p w14:paraId="724AA537" w14:textId="3EAB7277" w:rsidR="00BB093D" w:rsidRPr="00E7314C" w:rsidRDefault="0063501D" w:rsidP="007A3E41">
      <w:pPr>
        <w:jc w:val="both"/>
        <w:rPr>
          <w:lang w:val="fr-BE"/>
        </w:rPr>
      </w:pPr>
      <w:r w:rsidRPr="00E7314C">
        <w:rPr>
          <w:lang w:val="fr-BE"/>
        </w:rPr>
        <w:t xml:space="preserve">Un </w:t>
      </w:r>
      <w:r w:rsidR="005114C6">
        <w:rPr>
          <w:lang w:val="fr-BE"/>
        </w:rPr>
        <w:t xml:space="preserve">Service </w:t>
      </w:r>
      <w:proofErr w:type="spellStart"/>
      <w:r w:rsidR="005114C6">
        <w:rPr>
          <w:lang w:val="fr-BE"/>
        </w:rPr>
        <w:t>Level</w:t>
      </w:r>
      <w:proofErr w:type="spellEnd"/>
      <w:r w:rsidR="005114C6">
        <w:rPr>
          <w:lang w:val="fr-BE"/>
        </w:rPr>
        <w:t xml:space="preserve"> Agreement</w:t>
      </w:r>
      <w:r w:rsidRPr="00E764F8">
        <w:rPr>
          <w:lang w:val="fr-BE"/>
        </w:rPr>
        <w:t xml:space="preserve"> (SLA) est défini comme un contrat écrit créé entre deux ou plusieurs institutions. Il décrit l'ensemble des compétences que ces institutions partagent et définit les responsabilités et les droits de chacun</w:t>
      </w:r>
      <w:r w:rsidR="00347DC6">
        <w:rPr>
          <w:lang w:val="fr-BE"/>
        </w:rPr>
        <w:t>.</w:t>
      </w:r>
    </w:p>
    <w:p w14:paraId="34B1218D" w14:textId="39A250AF" w:rsidR="00BB093D" w:rsidRPr="00E764F8" w:rsidRDefault="007A3E41" w:rsidP="007A3E41">
      <w:pPr>
        <w:jc w:val="both"/>
        <w:rPr>
          <w:lang w:val="fr-BE"/>
        </w:rPr>
      </w:pPr>
      <w:r w:rsidRPr="00E7314C">
        <w:rPr>
          <w:lang w:val="fr-BE"/>
        </w:rPr>
        <w:t xml:space="preserve">Ici, un SLA est défini comme un SLA collaboratif </w:t>
      </w:r>
      <w:r w:rsidRPr="00E764F8">
        <w:rPr>
          <w:lang w:val="fr-BE"/>
        </w:rPr>
        <w:t>entre un</w:t>
      </w:r>
      <w:r w:rsidR="00E764F8">
        <w:rPr>
          <w:lang w:val="fr-BE"/>
        </w:rPr>
        <w:t>e</w:t>
      </w:r>
      <w:r w:rsidRPr="00E764F8">
        <w:rPr>
          <w:lang w:val="fr-BE"/>
        </w:rPr>
        <w:t xml:space="preserve"> </w:t>
      </w:r>
      <w:r w:rsidR="005114C6">
        <w:rPr>
          <w:lang w:val="fr-BE"/>
        </w:rPr>
        <w:t>institution de haut-volume</w:t>
      </w:r>
      <w:r w:rsidRPr="00E764F8">
        <w:rPr>
          <w:lang w:val="fr-BE"/>
        </w:rPr>
        <w:t xml:space="preserve"> et un</w:t>
      </w:r>
      <w:r w:rsidR="00E764F8">
        <w:rPr>
          <w:lang w:val="fr-BE"/>
        </w:rPr>
        <w:t>e</w:t>
      </w:r>
      <w:r w:rsidRPr="00E764F8">
        <w:rPr>
          <w:lang w:val="fr-BE"/>
        </w:rPr>
        <w:t xml:space="preserve"> </w:t>
      </w:r>
      <w:r w:rsidR="005114C6">
        <w:rPr>
          <w:lang w:val="fr-BE"/>
        </w:rPr>
        <w:t>institution de bas-volume</w:t>
      </w:r>
      <w:r w:rsidRPr="00E764F8">
        <w:rPr>
          <w:lang w:val="fr-BE"/>
        </w:rPr>
        <w:t xml:space="preserve">, entre une </w:t>
      </w:r>
      <w:r w:rsidR="005114C6">
        <w:rPr>
          <w:lang w:val="fr-BE"/>
        </w:rPr>
        <w:t>institution de haut-volume</w:t>
      </w:r>
      <w:r w:rsidRPr="00E764F8">
        <w:rPr>
          <w:lang w:val="fr-BE"/>
        </w:rPr>
        <w:t xml:space="preserve"> et une institution </w:t>
      </w:r>
      <w:r w:rsidRPr="00E7314C">
        <w:rPr>
          <w:lang w:val="fr-BE"/>
        </w:rPr>
        <w:t xml:space="preserve">collaboratrice avec des étapes externalisées, ou </w:t>
      </w:r>
      <w:r w:rsidRPr="00E764F8">
        <w:rPr>
          <w:lang w:val="fr-BE"/>
        </w:rPr>
        <w:t xml:space="preserve">entre les partenaires d'une association de fait. </w:t>
      </w:r>
    </w:p>
    <w:p w14:paraId="5B85731F" w14:textId="19A2DF8D" w:rsidR="00B329E2" w:rsidRPr="00E7314C" w:rsidRDefault="00BB093D" w:rsidP="007A3E41">
      <w:pPr>
        <w:jc w:val="both"/>
        <w:rPr>
          <w:lang w:val="fr-BE"/>
        </w:rPr>
      </w:pPr>
      <w:r w:rsidRPr="00E764F8">
        <w:rPr>
          <w:lang w:val="fr-BE"/>
        </w:rPr>
        <w:t>SLA-</w:t>
      </w:r>
      <w:r w:rsidR="005114C6">
        <w:rPr>
          <w:lang w:val="fr-BE"/>
        </w:rPr>
        <w:t>CGH</w:t>
      </w:r>
      <w:r w:rsidRPr="00E764F8">
        <w:rPr>
          <w:lang w:val="fr-BE"/>
        </w:rPr>
        <w:t xml:space="preserve"> est défini comme un SLA obligatoire conclu entre une </w:t>
      </w:r>
      <w:r w:rsidR="005114C6">
        <w:rPr>
          <w:lang w:val="fr-BE"/>
        </w:rPr>
        <w:t>institution de haut-volume</w:t>
      </w:r>
      <w:r w:rsidRPr="00E764F8">
        <w:rPr>
          <w:lang w:val="fr-BE"/>
        </w:rPr>
        <w:t xml:space="preserve"> qui n'inclut pas de centre de génétique humaine (</w:t>
      </w:r>
      <w:r w:rsidR="005114C6">
        <w:rPr>
          <w:lang w:val="fr-BE"/>
        </w:rPr>
        <w:t>CGH</w:t>
      </w:r>
      <w:r w:rsidRPr="00E764F8">
        <w:rPr>
          <w:lang w:val="fr-BE"/>
        </w:rPr>
        <w:t xml:space="preserve">), une </w:t>
      </w:r>
      <w:r w:rsidR="005114C6">
        <w:rPr>
          <w:lang w:val="fr-BE"/>
        </w:rPr>
        <w:t>institution de bas-volume</w:t>
      </w:r>
      <w:r w:rsidRPr="00E764F8">
        <w:rPr>
          <w:lang w:val="fr-BE"/>
        </w:rPr>
        <w:t>, une institution collaboratrice avec des étapes externalisées ou une association de fa</w:t>
      </w:r>
      <w:r w:rsidR="005114C6">
        <w:rPr>
          <w:lang w:val="fr-BE"/>
        </w:rPr>
        <w:t>it</w:t>
      </w:r>
      <w:r w:rsidRPr="00E764F8">
        <w:rPr>
          <w:lang w:val="fr-BE"/>
        </w:rPr>
        <w:t xml:space="preserve"> avec un </w:t>
      </w:r>
      <w:r w:rsidRPr="00E7314C">
        <w:rPr>
          <w:lang w:val="fr-BE"/>
        </w:rPr>
        <w:t>centre de génétique humaine. Un</w:t>
      </w:r>
      <w:r w:rsidR="005114C6">
        <w:rPr>
          <w:lang w:val="fr-BE"/>
        </w:rPr>
        <w:t>e</w:t>
      </w:r>
      <w:r w:rsidRPr="00E7314C">
        <w:rPr>
          <w:lang w:val="fr-BE"/>
        </w:rPr>
        <w:t xml:space="preserve"> </w:t>
      </w:r>
      <w:r w:rsidR="005114C6">
        <w:rPr>
          <w:lang w:val="fr-BE"/>
        </w:rPr>
        <w:t>institution de bas-volume</w:t>
      </w:r>
      <w:r w:rsidRPr="00E7314C">
        <w:rPr>
          <w:lang w:val="fr-BE"/>
        </w:rPr>
        <w:t xml:space="preserve"> ou un</w:t>
      </w:r>
      <w:r w:rsidR="005114C6">
        <w:rPr>
          <w:lang w:val="fr-BE"/>
        </w:rPr>
        <w:t>e</w:t>
      </w:r>
      <w:r w:rsidRPr="00E7314C">
        <w:rPr>
          <w:lang w:val="fr-BE"/>
        </w:rPr>
        <w:t xml:space="preserve"> </w:t>
      </w:r>
      <w:r w:rsidR="005114C6">
        <w:rPr>
          <w:lang w:val="fr-BE"/>
        </w:rPr>
        <w:t>institution</w:t>
      </w:r>
      <w:r w:rsidRPr="00E7314C">
        <w:rPr>
          <w:lang w:val="fr-BE"/>
        </w:rPr>
        <w:t xml:space="preserve"> collaborat</w:t>
      </w:r>
      <w:r w:rsidR="005114C6">
        <w:rPr>
          <w:lang w:val="fr-BE"/>
        </w:rPr>
        <w:t>rice</w:t>
      </w:r>
      <w:r w:rsidRPr="00E7314C">
        <w:rPr>
          <w:lang w:val="fr-BE"/>
        </w:rPr>
        <w:t xml:space="preserve"> avec des étapes externalisées qui a signé un SLA avec un</w:t>
      </w:r>
      <w:r w:rsidR="005114C6">
        <w:rPr>
          <w:lang w:val="fr-BE"/>
        </w:rPr>
        <w:t>e institution de haut-volume</w:t>
      </w:r>
      <w:r w:rsidRPr="00E7314C">
        <w:rPr>
          <w:lang w:val="fr-BE"/>
        </w:rPr>
        <w:t xml:space="preserve"> doit conclure un SLA</w:t>
      </w:r>
      <w:r w:rsidR="005114C6">
        <w:rPr>
          <w:lang w:val="fr-BE"/>
        </w:rPr>
        <w:t>-CGH</w:t>
      </w:r>
      <w:r w:rsidRPr="00E7314C">
        <w:rPr>
          <w:lang w:val="fr-BE"/>
        </w:rPr>
        <w:t xml:space="preserve"> avec le même </w:t>
      </w:r>
      <w:r w:rsidR="008370E1">
        <w:rPr>
          <w:lang w:val="fr-BE"/>
        </w:rPr>
        <w:t>CGH</w:t>
      </w:r>
      <w:r w:rsidRPr="00E7314C">
        <w:rPr>
          <w:lang w:val="fr-BE"/>
        </w:rPr>
        <w:t xml:space="preserve"> que l</w:t>
      </w:r>
      <w:r w:rsidR="005114C6">
        <w:rPr>
          <w:lang w:val="fr-BE"/>
        </w:rPr>
        <w:t>’institution de haut-volume</w:t>
      </w:r>
      <w:r w:rsidRPr="00E7314C">
        <w:rPr>
          <w:lang w:val="fr-BE"/>
        </w:rPr>
        <w:t>.</w:t>
      </w:r>
    </w:p>
    <w:p w14:paraId="74FE7C20" w14:textId="77777777" w:rsidR="00BB093D" w:rsidRPr="00E7314C" w:rsidRDefault="00BB093D" w:rsidP="00BB093D">
      <w:pPr>
        <w:rPr>
          <w:lang w:val="fr-BE"/>
        </w:rPr>
      </w:pPr>
    </w:p>
    <w:p w14:paraId="00698B6B" w14:textId="21421955" w:rsidR="00BB093D" w:rsidRPr="00E7314C" w:rsidRDefault="00BB093D" w:rsidP="00013613">
      <w:pPr>
        <w:pStyle w:val="Heading2"/>
        <w:rPr>
          <w:lang w:val="fr-BE"/>
        </w:rPr>
      </w:pPr>
      <w:r w:rsidRPr="00E7314C">
        <w:rPr>
          <w:lang w:val="fr-BE"/>
        </w:rPr>
        <w:t xml:space="preserve">Exigences minimales pour un SLA </w:t>
      </w:r>
    </w:p>
    <w:p w14:paraId="6C163174" w14:textId="744A2139" w:rsidR="00BB093D" w:rsidRPr="00E7314C" w:rsidRDefault="00013613" w:rsidP="00BB093D">
      <w:pPr>
        <w:rPr>
          <w:lang w:val="fr-BE"/>
        </w:rPr>
      </w:pPr>
      <w:r w:rsidRPr="00E7314C">
        <w:rPr>
          <w:lang w:val="fr-BE"/>
        </w:rPr>
        <w:t>Au minimum, le SLA doit inclure les dispositions suivantes :</w:t>
      </w:r>
    </w:p>
    <w:p w14:paraId="2A742814" w14:textId="2CB326CF" w:rsidR="00BB093D" w:rsidRPr="00E7314C" w:rsidRDefault="0063501D" w:rsidP="00A16C68">
      <w:pPr>
        <w:pStyle w:val="ListParagraph"/>
        <w:numPr>
          <w:ilvl w:val="0"/>
          <w:numId w:val="2"/>
        </w:numPr>
        <w:spacing w:after="200" w:line="276" w:lineRule="auto"/>
        <w:ind w:left="426" w:hanging="273"/>
        <w:rPr>
          <w:kern w:val="0"/>
          <w:lang w:val="fr-BE"/>
          <w14:ligatures w14:val="none"/>
        </w:rPr>
      </w:pPr>
      <w:r w:rsidRPr="00E7314C">
        <w:rPr>
          <w:lang w:val="fr-BE"/>
        </w:rPr>
        <w:t xml:space="preserve">Les parties concernées </w:t>
      </w:r>
      <w:r w:rsidR="00BB093D" w:rsidRPr="00E7314C">
        <w:rPr>
          <w:kern w:val="0"/>
          <w:lang w:val="fr-BE"/>
          <w14:ligatures w14:val="none"/>
        </w:rPr>
        <w:t>et leurs représentants, y compris les suppléants éventuels</w:t>
      </w:r>
    </w:p>
    <w:p w14:paraId="45324F92" w14:textId="516AADFF" w:rsidR="00BB093D" w:rsidRPr="00E7314C" w:rsidRDefault="00BB093D" w:rsidP="00A16C68">
      <w:pPr>
        <w:pStyle w:val="ListParagraph"/>
        <w:numPr>
          <w:ilvl w:val="0"/>
          <w:numId w:val="2"/>
        </w:numPr>
        <w:spacing w:after="200" w:line="276" w:lineRule="auto"/>
        <w:ind w:left="426" w:hanging="273"/>
        <w:rPr>
          <w:kern w:val="0"/>
          <w:lang w:val="fr-BE"/>
          <w14:ligatures w14:val="none"/>
        </w:rPr>
      </w:pPr>
      <w:r w:rsidRPr="00E7314C">
        <w:rPr>
          <w:kern w:val="0"/>
          <w:lang w:val="fr-BE"/>
          <w14:ligatures w14:val="none"/>
        </w:rPr>
        <w:t xml:space="preserve">Le type de personnel que partagent les institutions signataires. Les noms de ces personnes et la preuve qu'elles répondent aux exigences seront détaillés dans le formulaire de </w:t>
      </w:r>
      <w:r w:rsidR="005114C6">
        <w:rPr>
          <w:kern w:val="0"/>
          <w:lang w:val="fr-BE"/>
          <w14:ligatures w14:val="none"/>
        </w:rPr>
        <w:t>candidature</w:t>
      </w:r>
      <w:r w:rsidRPr="00E7314C">
        <w:rPr>
          <w:kern w:val="0"/>
          <w:lang w:val="fr-BE"/>
          <w14:ligatures w14:val="none"/>
        </w:rPr>
        <w:t xml:space="preserve"> et ne doivent PAS être inclus dans le SLA.</w:t>
      </w:r>
    </w:p>
    <w:p w14:paraId="362378BE" w14:textId="25F9E81B" w:rsidR="00BB093D" w:rsidRPr="00E7314C" w:rsidRDefault="002569F7" w:rsidP="00A16C68">
      <w:pPr>
        <w:pStyle w:val="ListParagraph"/>
        <w:numPr>
          <w:ilvl w:val="0"/>
          <w:numId w:val="2"/>
        </w:numPr>
        <w:spacing w:after="200" w:line="276" w:lineRule="auto"/>
        <w:ind w:left="426" w:hanging="273"/>
        <w:rPr>
          <w:kern w:val="0"/>
          <w:lang w:val="fr-BE"/>
          <w14:ligatures w14:val="none"/>
        </w:rPr>
      </w:pPr>
      <w:r w:rsidRPr="00E7314C">
        <w:rPr>
          <w:kern w:val="0"/>
          <w:lang w:val="fr-BE"/>
          <w14:ligatures w14:val="none"/>
        </w:rPr>
        <w:t>Un accord prévoyant la nomination d'un biologiste clinicien ou d'un anatomopathologiste de l'</w:t>
      </w:r>
      <w:r w:rsidR="005114C6">
        <w:rPr>
          <w:kern w:val="0"/>
          <w:lang w:val="fr-BE"/>
          <w14:ligatures w14:val="none"/>
        </w:rPr>
        <w:t>institution de haut-volume</w:t>
      </w:r>
      <w:r w:rsidRPr="00E7314C">
        <w:rPr>
          <w:kern w:val="0"/>
          <w:lang w:val="fr-BE"/>
          <w14:ligatures w14:val="none"/>
        </w:rPr>
        <w:t xml:space="preserve"> pour être responsable de la coordination des points 5 à 8, ainsi que de ses </w:t>
      </w:r>
      <w:r w:rsidR="005114C6">
        <w:rPr>
          <w:kern w:val="0"/>
          <w:lang w:val="fr-BE"/>
          <w14:ligatures w14:val="none"/>
        </w:rPr>
        <w:t>suppléants</w:t>
      </w:r>
      <w:r w:rsidRPr="00E7314C">
        <w:rPr>
          <w:kern w:val="0"/>
          <w:lang w:val="fr-BE"/>
          <w14:ligatures w14:val="none"/>
        </w:rPr>
        <w:t xml:space="preserve"> et </w:t>
      </w:r>
      <w:r w:rsidR="00E7314C" w:rsidRPr="00E7314C">
        <w:rPr>
          <w:kern w:val="0"/>
          <w:lang w:val="fr-BE"/>
          <w14:ligatures w14:val="none"/>
        </w:rPr>
        <w:t>a</w:t>
      </w:r>
      <w:r w:rsidR="00E7314C">
        <w:rPr>
          <w:kern w:val="0"/>
          <w:lang w:val="fr-BE"/>
          <w14:ligatures w14:val="none"/>
        </w:rPr>
        <w:t>uxiliaires</w:t>
      </w:r>
      <w:r w:rsidRPr="00E7314C">
        <w:rPr>
          <w:kern w:val="0"/>
          <w:lang w:val="fr-BE"/>
          <w14:ligatures w14:val="none"/>
        </w:rPr>
        <w:t>. (</w:t>
      </w:r>
      <w:r w:rsidR="008D7DD5" w:rsidRPr="00E7314C">
        <w:rPr>
          <w:i/>
          <w:iCs/>
          <w:kern w:val="0"/>
          <w:lang w:val="fr-BE"/>
          <w14:ligatures w14:val="none"/>
        </w:rPr>
        <w:t>le nom de cette personne doit être fourni dans l</w:t>
      </w:r>
      <w:r w:rsidR="005114C6">
        <w:rPr>
          <w:i/>
          <w:iCs/>
          <w:kern w:val="0"/>
          <w:lang w:val="fr-BE"/>
          <w14:ligatures w14:val="none"/>
        </w:rPr>
        <w:t>e formulaire de candidature</w:t>
      </w:r>
      <w:r w:rsidR="008D7DD5" w:rsidRPr="00E7314C">
        <w:rPr>
          <w:i/>
          <w:iCs/>
          <w:kern w:val="0"/>
          <w:lang w:val="fr-BE"/>
          <w14:ligatures w14:val="none"/>
        </w:rPr>
        <w:t>, mais pas dans le SLA</w:t>
      </w:r>
      <w:r w:rsidR="008D7DD5" w:rsidRPr="00E7314C">
        <w:rPr>
          <w:kern w:val="0"/>
          <w:lang w:val="fr-BE"/>
          <w14:ligatures w14:val="none"/>
        </w:rPr>
        <w:t>).</w:t>
      </w:r>
    </w:p>
    <w:p w14:paraId="09DBEFA9" w14:textId="397DAA04" w:rsidR="00BB093D" w:rsidRPr="00E7314C" w:rsidRDefault="00BB093D" w:rsidP="00A16C68">
      <w:pPr>
        <w:pStyle w:val="ListParagraph"/>
        <w:numPr>
          <w:ilvl w:val="0"/>
          <w:numId w:val="2"/>
        </w:numPr>
        <w:spacing w:after="200" w:line="276" w:lineRule="auto"/>
        <w:ind w:left="426" w:hanging="273"/>
        <w:rPr>
          <w:lang w:val="fr-BE"/>
        </w:rPr>
      </w:pPr>
      <w:r w:rsidRPr="00E7314C">
        <w:rPr>
          <w:kern w:val="0"/>
          <w:lang w:val="fr-BE"/>
          <w14:ligatures w14:val="none"/>
        </w:rPr>
        <w:t>Dans le cas d'une institution collaboratrice avec des étapes externalisées</w:t>
      </w:r>
      <w:r w:rsidR="00EE5267" w:rsidRPr="00E7314C">
        <w:rPr>
          <w:lang w:val="fr-BE"/>
        </w:rPr>
        <w:t xml:space="preserve">, les responsabilités et les droits de chaque partie, y compris les parties responsables des étapes suivantes : </w:t>
      </w:r>
    </w:p>
    <w:p w14:paraId="5585E9AE" w14:textId="4BA7DDCB" w:rsidR="00BB093D" w:rsidRPr="00E7314C" w:rsidRDefault="00BB093D" w:rsidP="00A16C68">
      <w:pPr>
        <w:pStyle w:val="ListParagraph"/>
        <w:spacing w:after="200" w:line="276" w:lineRule="auto"/>
        <w:ind w:left="1134" w:hanging="360"/>
        <w:rPr>
          <w:kern w:val="0"/>
          <w:lang w:val="fr-BE"/>
          <w14:ligatures w14:val="none"/>
        </w:rPr>
      </w:pPr>
      <w:r w:rsidRPr="00E7314C">
        <w:rPr>
          <w:lang w:val="fr-BE"/>
        </w:rPr>
        <w:t>a. pré-analytique</w:t>
      </w:r>
      <w:r w:rsidRPr="00E7314C">
        <w:rPr>
          <w:kern w:val="0"/>
          <w:lang w:val="fr-BE"/>
          <w14:ligatures w14:val="none"/>
        </w:rPr>
        <w:t xml:space="preserve"> (gestion des échantillons, y compris l'acheminement et l'enregistrement). </w:t>
      </w:r>
    </w:p>
    <w:p w14:paraId="0D629666" w14:textId="61797282" w:rsidR="00BB093D" w:rsidRPr="00A16C68" w:rsidRDefault="00BB093D" w:rsidP="00A16C68">
      <w:pPr>
        <w:pStyle w:val="ListParagraph"/>
        <w:spacing w:after="200" w:line="276" w:lineRule="auto"/>
        <w:ind w:left="1134" w:hanging="360"/>
        <w:rPr>
          <w:kern w:val="0"/>
          <w:lang w:val="fr-BE"/>
          <w14:ligatures w14:val="none"/>
        </w:rPr>
      </w:pPr>
      <w:r w:rsidRPr="00E7314C">
        <w:rPr>
          <w:kern w:val="0"/>
          <w:lang w:val="fr-BE"/>
          <w14:ligatures w14:val="none"/>
        </w:rPr>
        <w:t xml:space="preserve">b. </w:t>
      </w:r>
      <w:r w:rsidR="008A0C30">
        <w:rPr>
          <w:kern w:val="0"/>
          <w:lang w:val="fr-BE"/>
          <w14:ligatures w14:val="none"/>
        </w:rPr>
        <w:t>a</w:t>
      </w:r>
      <w:r w:rsidRPr="00E7314C">
        <w:rPr>
          <w:kern w:val="0"/>
          <w:lang w:val="fr-BE"/>
          <w14:ligatures w14:val="none"/>
        </w:rPr>
        <w:t>nalytique (</w:t>
      </w:r>
      <w:proofErr w:type="spellStart"/>
      <w:r w:rsidR="005114C6">
        <w:rPr>
          <w:kern w:val="0"/>
          <w:lang w:val="fr-BE"/>
          <w14:ligatures w14:val="none"/>
        </w:rPr>
        <w:t>wet-bench</w:t>
      </w:r>
      <w:proofErr w:type="spellEnd"/>
      <w:r w:rsidRPr="00E7314C">
        <w:rPr>
          <w:kern w:val="0"/>
          <w:lang w:val="fr-BE"/>
          <w14:ligatures w14:val="none"/>
        </w:rPr>
        <w:t xml:space="preserve"> et séquençage). </w:t>
      </w:r>
    </w:p>
    <w:p w14:paraId="1A3086E5" w14:textId="0B2AD52C" w:rsidR="00BB093D" w:rsidRPr="00E7314C" w:rsidRDefault="00BB093D" w:rsidP="00A16C68">
      <w:pPr>
        <w:pStyle w:val="ListParagraph"/>
        <w:spacing w:after="200" w:line="276" w:lineRule="auto"/>
        <w:ind w:left="1134" w:hanging="360"/>
        <w:rPr>
          <w:lang w:val="fr-BE"/>
        </w:rPr>
      </w:pPr>
      <w:r w:rsidRPr="00E7314C">
        <w:rPr>
          <w:kern w:val="0"/>
          <w:lang w:val="fr-BE"/>
          <w14:ligatures w14:val="none"/>
        </w:rPr>
        <w:t xml:space="preserve">c. </w:t>
      </w:r>
      <w:r w:rsidR="008A0C30">
        <w:rPr>
          <w:kern w:val="0"/>
          <w:lang w:val="fr-BE"/>
          <w14:ligatures w14:val="none"/>
        </w:rPr>
        <w:t>p</w:t>
      </w:r>
      <w:r w:rsidRPr="00E7314C">
        <w:rPr>
          <w:kern w:val="0"/>
          <w:lang w:val="fr-BE"/>
          <w14:ligatures w14:val="none"/>
        </w:rPr>
        <w:t>ost-analytique</w:t>
      </w:r>
      <w:r w:rsidR="00A16C68" w:rsidRPr="00E7314C">
        <w:rPr>
          <w:lang w:val="fr-BE"/>
        </w:rPr>
        <w:t xml:space="preserve"> (</w:t>
      </w:r>
      <w:r w:rsidR="005114C6">
        <w:rPr>
          <w:lang w:val="fr-BE"/>
        </w:rPr>
        <w:t>dry-</w:t>
      </w:r>
      <w:proofErr w:type="spellStart"/>
      <w:r w:rsidR="005114C6">
        <w:rPr>
          <w:lang w:val="fr-BE"/>
        </w:rPr>
        <w:t>bench</w:t>
      </w:r>
      <w:proofErr w:type="spellEnd"/>
      <w:r w:rsidR="00A16C68" w:rsidRPr="00E7314C">
        <w:rPr>
          <w:lang w:val="fr-BE"/>
        </w:rPr>
        <w:t xml:space="preserve"> et validation des résultats). </w:t>
      </w:r>
    </w:p>
    <w:p w14:paraId="52B3CFBD" w14:textId="4C7B2A9C" w:rsidR="00BB093D" w:rsidRPr="00E7314C" w:rsidRDefault="009148EC" w:rsidP="00CC1971">
      <w:pPr>
        <w:pStyle w:val="ListParagraph"/>
        <w:numPr>
          <w:ilvl w:val="0"/>
          <w:numId w:val="2"/>
        </w:numPr>
        <w:spacing w:after="200" w:line="276" w:lineRule="auto"/>
        <w:ind w:left="426" w:hanging="273"/>
        <w:jc w:val="both"/>
        <w:rPr>
          <w:lang w:val="fr-BE"/>
        </w:rPr>
      </w:pPr>
      <w:r w:rsidRPr="00E7314C">
        <w:rPr>
          <w:lang w:val="fr-BE"/>
        </w:rPr>
        <w:t>Les modalités de formation, de supervision et de garantie de compétence de l'</w:t>
      </w:r>
      <w:r w:rsidR="005114C6">
        <w:rPr>
          <w:lang w:val="fr-BE"/>
        </w:rPr>
        <w:t>institution de bas-volume</w:t>
      </w:r>
      <w:r w:rsidRPr="00E7314C">
        <w:rPr>
          <w:lang w:val="fr-BE"/>
        </w:rPr>
        <w:t xml:space="preserve"> ou de l'</w:t>
      </w:r>
      <w:r w:rsidR="005114C6">
        <w:rPr>
          <w:lang w:val="fr-BE"/>
        </w:rPr>
        <w:t>institution</w:t>
      </w:r>
      <w:r w:rsidRPr="00E7314C">
        <w:rPr>
          <w:lang w:val="fr-BE"/>
        </w:rPr>
        <w:t xml:space="preserve"> co</w:t>
      </w:r>
      <w:r w:rsidR="005114C6">
        <w:rPr>
          <w:lang w:val="fr-BE"/>
        </w:rPr>
        <w:t>llaboratrice</w:t>
      </w:r>
      <w:r w:rsidRPr="00E7314C">
        <w:rPr>
          <w:lang w:val="fr-BE"/>
        </w:rPr>
        <w:t xml:space="preserve"> avec des </w:t>
      </w:r>
      <w:r w:rsidR="005114C6">
        <w:rPr>
          <w:lang w:val="fr-BE"/>
        </w:rPr>
        <w:t>étapes</w:t>
      </w:r>
      <w:r w:rsidRPr="00E7314C">
        <w:rPr>
          <w:lang w:val="fr-BE"/>
        </w:rPr>
        <w:t xml:space="preserve"> externalisées par l'</w:t>
      </w:r>
      <w:r w:rsidR="005114C6">
        <w:rPr>
          <w:lang w:val="fr-BE"/>
        </w:rPr>
        <w:t>institution de haut-volume</w:t>
      </w:r>
      <w:r w:rsidRPr="00E7314C">
        <w:rPr>
          <w:lang w:val="fr-BE"/>
        </w:rPr>
        <w:t>.</w:t>
      </w:r>
    </w:p>
    <w:p w14:paraId="372191B7" w14:textId="1419F1CB" w:rsidR="00BB093D" w:rsidRPr="005D3598" w:rsidRDefault="00F310DD" w:rsidP="00CC1971">
      <w:pPr>
        <w:pStyle w:val="ListParagraph"/>
        <w:numPr>
          <w:ilvl w:val="0"/>
          <w:numId w:val="2"/>
        </w:numPr>
        <w:spacing w:after="200" w:line="276" w:lineRule="auto"/>
        <w:ind w:left="426" w:hanging="273"/>
        <w:jc w:val="both"/>
        <w:rPr>
          <w:lang w:val="fr-BE"/>
        </w:rPr>
      </w:pPr>
      <w:r w:rsidRPr="00E7314C">
        <w:rPr>
          <w:lang w:val="fr-BE"/>
        </w:rPr>
        <w:t xml:space="preserve">L'organisation d'une </w:t>
      </w:r>
      <w:r w:rsidR="005114C6">
        <w:rPr>
          <w:lang w:val="fr-BE"/>
        </w:rPr>
        <w:t>Concertation Technique</w:t>
      </w:r>
      <w:r w:rsidRPr="00E7314C">
        <w:rPr>
          <w:lang w:val="fr-BE"/>
        </w:rPr>
        <w:t xml:space="preserve"> qui a lieu </w:t>
      </w:r>
      <w:r w:rsidRPr="00A96C42">
        <w:rPr>
          <w:lang w:val="fr-BE"/>
        </w:rPr>
        <w:t xml:space="preserve">au moins une fois par mois, composée au moins de l'anatomopathologiste et </w:t>
      </w:r>
      <w:r w:rsidRPr="005D3598">
        <w:rPr>
          <w:lang w:val="fr-BE"/>
        </w:rPr>
        <w:t>du biologiste clinique de l'</w:t>
      </w:r>
      <w:r w:rsidR="005114C6">
        <w:rPr>
          <w:lang w:val="fr-BE"/>
        </w:rPr>
        <w:t>institution de bas-volume</w:t>
      </w:r>
      <w:r w:rsidRPr="005D3598">
        <w:rPr>
          <w:lang w:val="fr-BE"/>
        </w:rPr>
        <w:t>, du coordonnateur de l'</w:t>
      </w:r>
      <w:r w:rsidR="005114C6">
        <w:rPr>
          <w:lang w:val="fr-BE"/>
        </w:rPr>
        <w:t>institution de haut-volume</w:t>
      </w:r>
      <w:r w:rsidRPr="005D3598">
        <w:rPr>
          <w:lang w:val="fr-BE"/>
        </w:rPr>
        <w:t xml:space="preserve"> et du généticien</w:t>
      </w:r>
      <w:r w:rsidR="005114C6">
        <w:rPr>
          <w:lang w:val="fr-BE"/>
        </w:rPr>
        <w:t xml:space="preserve"> clinicien</w:t>
      </w:r>
      <w:r w:rsidRPr="005D3598">
        <w:rPr>
          <w:lang w:val="fr-BE"/>
        </w:rPr>
        <w:t>-coordonnateur a</w:t>
      </w:r>
      <w:r w:rsidR="005114C6">
        <w:rPr>
          <w:lang w:val="fr-BE"/>
        </w:rPr>
        <w:t>gréé</w:t>
      </w:r>
      <w:r w:rsidRPr="005D3598">
        <w:rPr>
          <w:lang w:val="fr-BE"/>
        </w:rPr>
        <w:t xml:space="preserve"> ou de son délégué pour la discussion du suivi des variants de biomarqueurs pouvant être héréditaires. Cette </w:t>
      </w:r>
      <w:r w:rsidR="005114C6">
        <w:rPr>
          <w:lang w:val="fr-BE"/>
        </w:rPr>
        <w:t>Concertation Technique</w:t>
      </w:r>
      <w:r w:rsidRPr="005D3598">
        <w:rPr>
          <w:lang w:val="fr-BE"/>
        </w:rPr>
        <w:t xml:space="preserve"> est un complément </w:t>
      </w:r>
      <w:r w:rsidR="005114C6">
        <w:rPr>
          <w:lang w:val="fr-BE"/>
        </w:rPr>
        <w:t>à la COM</w:t>
      </w:r>
      <w:r w:rsidRPr="005D3598">
        <w:rPr>
          <w:lang w:val="fr-BE"/>
        </w:rPr>
        <w:t xml:space="preserve"> et traite non seulement de l'analyse et </w:t>
      </w:r>
      <w:r w:rsidRPr="005D3598">
        <w:rPr>
          <w:lang w:val="fr-BE"/>
        </w:rPr>
        <w:lastRenderedPageBreak/>
        <w:t>de l'interprétation de cas spécifiques, mais prévoit également la supervision et la vérification des compétences.</w:t>
      </w:r>
      <w:bookmarkStart w:id="0" w:name="_Hlk163718149"/>
      <w:bookmarkEnd w:id="0"/>
    </w:p>
    <w:p w14:paraId="3092647A" w14:textId="00AEB668" w:rsidR="00BB093D" w:rsidRPr="005D3598" w:rsidRDefault="00CC1971" w:rsidP="00CC1971">
      <w:pPr>
        <w:pStyle w:val="ListParagraph"/>
        <w:numPr>
          <w:ilvl w:val="0"/>
          <w:numId w:val="2"/>
        </w:numPr>
        <w:spacing w:after="200" w:line="276" w:lineRule="auto"/>
        <w:ind w:left="426" w:hanging="273"/>
        <w:jc w:val="both"/>
        <w:rPr>
          <w:lang w:val="fr-BE"/>
        </w:rPr>
      </w:pPr>
      <w:r w:rsidRPr="005D3598">
        <w:rPr>
          <w:lang w:val="fr-BE"/>
        </w:rPr>
        <w:t xml:space="preserve">La manière dont les cas nécessitant une analyse plus approfondie sont sélectionnés/renvoyés à la présente </w:t>
      </w:r>
      <w:r w:rsidR="005114C6">
        <w:rPr>
          <w:lang w:val="fr-BE"/>
        </w:rPr>
        <w:t>Concertation Technique</w:t>
      </w:r>
      <w:r w:rsidRPr="005D3598">
        <w:rPr>
          <w:lang w:val="fr-BE"/>
        </w:rPr>
        <w:t xml:space="preserve">. </w:t>
      </w:r>
    </w:p>
    <w:p w14:paraId="558E1848" w14:textId="461EF977" w:rsidR="00BB093D" w:rsidRPr="005D3598" w:rsidRDefault="00AC67DE" w:rsidP="00CC1971">
      <w:pPr>
        <w:pStyle w:val="ListParagraph"/>
        <w:numPr>
          <w:ilvl w:val="0"/>
          <w:numId w:val="2"/>
        </w:numPr>
        <w:spacing w:after="200" w:line="276" w:lineRule="auto"/>
        <w:ind w:left="426" w:hanging="273"/>
        <w:jc w:val="both"/>
        <w:rPr>
          <w:lang w:val="fr-BE"/>
        </w:rPr>
      </w:pPr>
      <w:r w:rsidRPr="005D3598">
        <w:rPr>
          <w:lang w:val="fr-BE"/>
        </w:rPr>
        <w:t>Confirmation que l'</w:t>
      </w:r>
      <w:r w:rsidR="005114C6">
        <w:rPr>
          <w:lang w:val="fr-BE"/>
        </w:rPr>
        <w:t>institution de bas-volume</w:t>
      </w:r>
      <w:r w:rsidRPr="005D3598">
        <w:rPr>
          <w:lang w:val="fr-BE"/>
        </w:rPr>
        <w:t xml:space="preserve"> ou l'</w:t>
      </w:r>
      <w:r w:rsidR="005114C6">
        <w:rPr>
          <w:lang w:val="fr-BE"/>
        </w:rPr>
        <w:t>institution</w:t>
      </w:r>
      <w:r w:rsidRPr="005D3598">
        <w:rPr>
          <w:lang w:val="fr-BE"/>
        </w:rPr>
        <w:t xml:space="preserve"> collaborat</w:t>
      </w:r>
      <w:r w:rsidR="005114C6">
        <w:rPr>
          <w:lang w:val="fr-BE"/>
        </w:rPr>
        <w:t>rice</w:t>
      </w:r>
      <w:r w:rsidRPr="005D3598">
        <w:rPr>
          <w:lang w:val="fr-BE"/>
        </w:rPr>
        <w:t xml:space="preserve"> ayant des étapes externalisées est responsable de la préparation d'un rapport pour chaque échantillon analysé et de sa soumission au prescripteur.</w:t>
      </w:r>
    </w:p>
    <w:p w14:paraId="35EFAA9D" w14:textId="0540BAB3" w:rsidR="00FB3969" w:rsidRPr="005D3598" w:rsidRDefault="00FB3969" w:rsidP="00CC1971">
      <w:pPr>
        <w:pStyle w:val="ListParagraph"/>
        <w:numPr>
          <w:ilvl w:val="0"/>
          <w:numId w:val="2"/>
        </w:numPr>
        <w:spacing w:after="200" w:line="276" w:lineRule="auto"/>
        <w:ind w:left="426" w:hanging="273"/>
        <w:jc w:val="both"/>
        <w:rPr>
          <w:lang w:val="fr-BE"/>
        </w:rPr>
      </w:pPr>
      <w:r w:rsidRPr="005D3598">
        <w:rPr>
          <w:kern w:val="0"/>
          <w:lang w:val="fr-BE"/>
          <w14:ligatures w14:val="none"/>
        </w:rPr>
        <w:t>Dans le cas d'une institution collaboratric</w:t>
      </w:r>
      <w:r w:rsidR="005114C6">
        <w:rPr>
          <w:kern w:val="0"/>
          <w:lang w:val="fr-BE"/>
          <w14:ligatures w14:val="none"/>
        </w:rPr>
        <w:t>e avec</w:t>
      </w:r>
      <w:r w:rsidRPr="005D3598">
        <w:rPr>
          <w:kern w:val="0"/>
          <w:lang w:val="fr-BE"/>
          <w14:ligatures w14:val="none"/>
        </w:rPr>
        <w:t xml:space="preserve"> étapes  externalisées, le </w:t>
      </w:r>
      <w:proofErr w:type="spellStart"/>
      <w:r w:rsidR="005114C6">
        <w:rPr>
          <w:i/>
          <w:iCs/>
          <w:lang w:val="fr-BE"/>
        </w:rPr>
        <w:t>turn</w:t>
      </w:r>
      <w:proofErr w:type="spellEnd"/>
      <w:r w:rsidR="005114C6">
        <w:rPr>
          <w:i/>
          <w:iCs/>
          <w:lang w:val="fr-BE"/>
        </w:rPr>
        <w:t>-</w:t>
      </w:r>
      <w:proofErr w:type="spellStart"/>
      <w:r w:rsidR="005114C6">
        <w:rPr>
          <w:i/>
          <w:iCs/>
          <w:lang w:val="fr-BE"/>
        </w:rPr>
        <w:t>around</w:t>
      </w:r>
      <w:proofErr w:type="spellEnd"/>
      <w:r w:rsidR="005114C6">
        <w:rPr>
          <w:i/>
          <w:iCs/>
          <w:lang w:val="fr-BE"/>
        </w:rPr>
        <w:t>-time</w:t>
      </w:r>
      <w:r w:rsidRPr="005D3598">
        <w:rPr>
          <w:lang w:val="fr-BE"/>
        </w:rPr>
        <w:t xml:space="preserve"> des sous-processus et la responsabilité de chacune des deux institutions d'assurer le </w:t>
      </w:r>
      <w:proofErr w:type="spellStart"/>
      <w:r w:rsidR="005114C6">
        <w:rPr>
          <w:i/>
          <w:iCs/>
          <w:lang w:val="fr-BE"/>
        </w:rPr>
        <w:t>turn</w:t>
      </w:r>
      <w:proofErr w:type="spellEnd"/>
      <w:r w:rsidR="005114C6">
        <w:rPr>
          <w:i/>
          <w:iCs/>
          <w:lang w:val="fr-BE"/>
        </w:rPr>
        <w:t>-</w:t>
      </w:r>
      <w:proofErr w:type="spellStart"/>
      <w:r w:rsidR="005114C6">
        <w:rPr>
          <w:i/>
          <w:iCs/>
          <w:lang w:val="fr-BE"/>
        </w:rPr>
        <w:t>around</w:t>
      </w:r>
      <w:proofErr w:type="spellEnd"/>
      <w:r w:rsidR="005114C6">
        <w:rPr>
          <w:i/>
          <w:iCs/>
          <w:lang w:val="fr-BE"/>
        </w:rPr>
        <w:t>-time.</w:t>
      </w:r>
    </w:p>
    <w:p w14:paraId="2015B1BA" w14:textId="1FC1D115" w:rsidR="009B70C9" w:rsidRPr="005D3598" w:rsidRDefault="009B70C9" w:rsidP="00BB093D">
      <w:pPr>
        <w:rPr>
          <w:lang w:val="fr-BE"/>
        </w:rPr>
      </w:pPr>
    </w:p>
    <w:p w14:paraId="3046FC04" w14:textId="178903E3" w:rsidR="00BB093D" w:rsidRPr="005D3598" w:rsidRDefault="00FF118D" w:rsidP="00E370A1">
      <w:pPr>
        <w:pStyle w:val="Heading2"/>
        <w:jc w:val="both"/>
        <w:rPr>
          <w:lang w:val="fr-BE"/>
        </w:rPr>
      </w:pPr>
      <w:r w:rsidRPr="005D3598">
        <w:rPr>
          <w:lang w:val="fr-BE"/>
        </w:rPr>
        <w:t>Exigences minimales pour un SLA</w:t>
      </w:r>
      <w:r w:rsidR="006366C8">
        <w:rPr>
          <w:lang w:val="fr-BE"/>
        </w:rPr>
        <w:t>-</w:t>
      </w:r>
      <w:r w:rsidR="005114C6">
        <w:rPr>
          <w:lang w:val="fr-BE"/>
        </w:rPr>
        <w:t>CGH</w:t>
      </w:r>
    </w:p>
    <w:p w14:paraId="2E3EF57A" w14:textId="7FBC0654" w:rsidR="00BB093D" w:rsidRPr="005D3598" w:rsidRDefault="00CC1971" w:rsidP="00E370A1">
      <w:pPr>
        <w:jc w:val="both"/>
        <w:rPr>
          <w:lang w:val="fr-BE"/>
        </w:rPr>
      </w:pPr>
      <w:r w:rsidRPr="005D3598">
        <w:rPr>
          <w:lang w:val="fr-BE"/>
        </w:rPr>
        <w:t>Le SLA-</w:t>
      </w:r>
      <w:r w:rsidR="005114C6">
        <w:rPr>
          <w:lang w:val="fr-BE"/>
        </w:rPr>
        <w:t>CGH</w:t>
      </w:r>
      <w:r w:rsidRPr="005D3598">
        <w:rPr>
          <w:lang w:val="fr-BE"/>
        </w:rPr>
        <w:t xml:space="preserve"> doit contenir au moins les dispositions suivantes :</w:t>
      </w:r>
    </w:p>
    <w:p w14:paraId="405C22DC" w14:textId="2531A998" w:rsidR="00BB093D" w:rsidRPr="00612E84" w:rsidRDefault="00954383" w:rsidP="00E370A1">
      <w:pPr>
        <w:pStyle w:val="ListParagraph"/>
        <w:numPr>
          <w:ilvl w:val="0"/>
          <w:numId w:val="4"/>
        </w:numPr>
        <w:spacing w:after="200" w:line="276" w:lineRule="auto"/>
        <w:ind w:left="426" w:hanging="280"/>
        <w:jc w:val="both"/>
        <w:rPr>
          <w:lang w:val="fr-BE"/>
        </w:rPr>
      </w:pPr>
      <w:r w:rsidRPr="005D3598">
        <w:rPr>
          <w:lang w:val="fr-BE"/>
        </w:rPr>
        <w:t xml:space="preserve">Les parties </w:t>
      </w:r>
      <w:r w:rsidRPr="00612E84">
        <w:rPr>
          <w:lang w:val="fr-BE"/>
        </w:rPr>
        <w:t>concernées et leurs représentants, y compris leurs suppléants.</w:t>
      </w:r>
    </w:p>
    <w:p w14:paraId="29B22E16" w14:textId="35B8554B" w:rsidR="00BB093D" w:rsidRPr="00612E84" w:rsidRDefault="00D63E5B" w:rsidP="00E370A1">
      <w:pPr>
        <w:pStyle w:val="ListParagraph"/>
        <w:numPr>
          <w:ilvl w:val="0"/>
          <w:numId w:val="4"/>
        </w:numPr>
        <w:spacing w:after="200" w:line="276" w:lineRule="auto"/>
        <w:ind w:left="426" w:hanging="280"/>
        <w:jc w:val="both"/>
        <w:rPr>
          <w:lang w:val="fr-BE"/>
        </w:rPr>
      </w:pPr>
      <w:r w:rsidRPr="00612E84">
        <w:rPr>
          <w:kern w:val="0"/>
          <w:lang w:val="fr-BE"/>
          <w14:ligatures w14:val="none"/>
        </w:rPr>
        <w:t>Un accord selon lequel un généticien</w:t>
      </w:r>
      <w:r w:rsidR="005114C6" w:rsidRPr="00612E84">
        <w:rPr>
          <w:kern w:val="0"/>
          <w:lang w:val="fr-BE"/>
          <w14:ligatures w14:val="none"/>
        </w:rPr>
        <w:t xml:space="preserve"> clinicien</w:t>
      </w:r>
      <w:r w:rsidRPr="00612E84">
        <w:rPr>
          <w:kern w:val="0"/>
          <w:lang w:val="fr-BE"/>
          <w14:ligatures w14:val="none"/>
        </w:rPr>
        <w:t>-</w:t>
      </w:r>
      <w:r w:rsidR="006366C8" w:rsidRPr="00612E84">
        <w:rPr>
          <w:kern w:val="0"/>
          <w:lang w:val="fr-BE"/>
          <w14:ligatures w14:val="none"/>
        </w:rPr>
        <w:t>coordonnateur</w:t>
      </w:r>
      <w:r w:rsidRPr="00612E84">
        <w:rPr>
          <w:kern w:val="0"/>
          <w:lang w:val="fr-BE"/>
          <w14:ligatures w14:val="none"/>
        </w:rPr>
        <w:t xml:space="preserve"> </w:t>
      </w:r>
      <w:r w:rsidR="005114C6" w:rsidRPr="00612E84">
        <w:rPr>
          <w:kern w:val="0"/>
          <w:lang w:val="fr-BE"/>
          <w14:ligatures w14:val="none"/>
        </w:rPr>
        <w:t>agréé</w:t>
      </w:r>
      <w:r w:rsidR="006366C8" w:rsidRPr="00612E84">
        <w:rPr>
          <w:kern w:val="0"/>
          <w:lang w:val="fr-BE"/>
          <w14:ligatures w14:val="none"/>
        </w:rPr>
        <w:t xml:space="preserve">, qui est nommé par le Chef de service du Centre de Génétique Humaine, </w:t>
      </w:r>
      <w:r w:rsidRPr="00612E84">
        <w:rPr>
          <w:kern w:val="0"/>
          <w:lang w:val="fr-BE"/>
          <w14:ligatures w14:val="none"/>
        </w:rPr>
        <w:t xml:space="preserve">coordonnera la collaboration </w:t>
      </w:r>
      <w:r w:rsidR="00371922" w:rsidRPr="00612E84">
        <w:rPr>
          <w:lang w:val="fr-BE"/>
        </w:rPr>
        <w:t>entre le personnel du Centre de génétique humaine (</w:t>
      </w:r>
      <w:r w:rsidR="005114C6" w:rsidRPr="00612E84">
        <w:rPr>
          <w:lang w:val="fr-BE"/>
        </w:rPr>
        <w:t>CGH</w:t>
      </w:r>
      <w:r w:rsidR="00371922" w:rsidRPr="00612E84">
        <w:rPr>
          <w:lang w:val="fr-BE"/>
        </w:rPr>
        <w:t xml:space="preserve">) et l'équipe qui réalise et interprète le NGS. </w:t>
      </w:r>
      <w:r w:rsidR="00371922" w:rsidRPr="00612E84">
        <w:rPr>
          <w:kern w:val="0"/>
          <w:lang w:val="fr-BE"/>
          <w14:ligatures w14:val="none"/>
        </w:rPr>
        <w:t>(</w:t>
      </w:r>
      <w:r w:rsidR="00371922" w:rsidRPr="00612E84">
        <w:rPr>
          <w:i/>
          <w:iCs/>
          <w:kern w:val="0"/>
          <w:lang w:val="fr-BE"/>
          <w14:ligatures w14:val="none"/>
        </w:rPr>
        <w:t xml:space="preserve">le nom de cette personne doit être fourni dans </w:t>
      </w:r>
      <w:r w:rsidR="005114C6" w:rsidRPr="00612E84">
        <w:rPr>
          <w:i/>
          <w:iCs/>
          <w:kern w:val="0"/>
          <w:lang w:val="fr-BE"/>
          <w14:ligatures w14:val="none"/>
        </w:rPr>
        <w:t>le formulaire de candidature</w:t>
      </w:r>
      <w:r w:rsidR="00371922" w:rsidRPr="00612E84">
        <w:rPr>
          <w:i/>
          <w:iCs/>
          <w:kern w:val="0"/>
          <w:lang w:val="fr-BE"/>
          <w14:ligatures w14:val="none"/>
        </w:rPr>
        <w:t>, mais pas dans le SLA</w:t>
      </w:r>
      <w:r w:rsidR="00371922" w:rsidRPr="00612E84">
        <w:rPr>
          <w:kern w:val="0"/>
          <w:lang w:val="fr-BE"/>
          <w14:ligatures w14:val="none"/>
        </w:rPr>
        <w:t>)</w:t>
      </w:r>
    </w:p>
    <w:p w14:paraId="6AB5DE41" w14:textId="7F18C547" w:rsidR="006366C8" w:rsidRPr="00612E84" w:rsidRDefault="002A25B7" w:rsidP="00E370A1">
      <w:pPr>
        <w:pStyle w:val="ListParagraph"/>
        <w:numPr>
          <w:ilvl w:val="0"/>
          <w:numId w:val="4"/>
        </w:numPr>
        <w:spacing w:after="200" w:line="276" w:lineRule="auto"/>
        <w:ind w:left="426" w:hanging="280"/>
        <w:jc w:val="both"/>
        <w:rPr>
          <w:lang w:val="fr-BE"/>
        </w:rPr>
      </w:pPr>
      <w:r w:rsidRPr="00612E84">
        <w:rPr>
          <w:lang w:val="fr-BE"/>
        </w:rPr>
        <w:t xml:space="preserve">Le </w:t>
      </w:r>
      <w:r w:rsidR="006366C8" w:rsidRPr="00612E84">
        <w:rPr>
          <w:lang w:val="fr-BE"/>
        </w:rPr>
        <w:t xml:space="preserve">Chef de service du </w:t>
      </w:r>
      <w:r w:rsidR="005114C6" w:rsidRPr="00612E84">
        <w:rPr>
          <w:lang w:val="fr-BE"/>
        </w:rPr>
        <w:t>CGH</w:t>
      </w:r>
      <w:r w:rsidRPr="00612E84">
        <w:rPr>
          <w:lang w:val="fr-BE"/>
        </w:rPr>
        <w:t xml:space="preserve"> peut également </w:t>
      </w:r>
      <w:r w:rsidR="004816BC" w:rsidRPr="00612E84">
        <w:rPr>
          <w:lang w:val="fr-BE"/>
        </w:rPr>
        <w:t xml:space="preserve">déléguer cette tâche </w:t>
      </w:r>
      <w:r w:rsidR="006366C8" w:rsidRPr="00612E84">
        <w:rPr>
          <w:lang w:val="fr-BE"/>
        </w:rPr>
        <w:t xml:space="preserve">de généticien-coordonnateur </w:t>
      </w:r>
      <w:r w:rsidR="004816BC" w:rsidRPr="00612E84">
        <w:rPr>
          <w:lang w:val="fr-BE"/>
        </w:rPr>
        <w:t xml:space="preserve">à </w:t>
      </w:r>
      <w:r w:rsidRPr="00612E84">
        <w:rPr>
          <w:lang w:val="fr-BE"/>
        </w:rPr>
        <w:t xml:space="preserve">un oncologue médical ou à un autre médecin spécialiste ayant de l'expérience en génétique tumorale en tant que représentant du </w:t>
      </w:r>
      <w:r w:rsidR="005114C6" w:rsidRPr="00612E84">
        <w:rPr>
          <w:lang w:val="fr-BE"/>
        </w:rPr>
        <w:t>CGH</w:t>
      </w:r>
      <w:r w:rsidR="00E370A1" w:rsidRPr="00612E84">
        <w:rPr>
          <w:lang w:val="fr-BE"/>
        </w:rPr>
        <w:t>.</w:t>
      </w:r>
    </w:p>
    <w:p w14:paraId="01A0720E" w14:textId="106EBA72" w:rsidR="002A25B7" w:rsidRPr="00612E84" w:rsidRDefault="002A25B7" w:rsidP="00E370A1">
      <w:pPr>
        <w:pStyle w:val="ListParagraph"/>
        <w:numPr>
          <w:ilvl w:val="0"/>
          <w:numId w:val="4"/>
        </w:numPr>
        <w:spacing w:after="200" w:line="276" w:lineRule="auto"/>
        <w:ind w:left="426" w:hanging="280"/>
        <w:jc w:val="both"/>
        <w:rPr>
          <w:lang w:val="fr-BE"/>
        </w:rPr>
      </w:pPr>
      <w:r w:rsidRPr="00612E84">
        <w:rPr>
          <w:lang w:val="fr-BE"/>
        </w:rPr>
        <w:t xml:space="preserve">Le rôle du </w:t>
      </w:r>
      <w:r w:rsidR="006366C8" w:rsidRPr="00612E84">
        <w:rPr>
          <w:lang w:val="fr-BE"/>
        </w:rPr>
        <w:t xml:space="preserve">généticien clinicien-coordonnateur ou le </w:t>
      </w:r>
      <w:r w:rsidR="00234DC8" w:rsidRPr="00612E84">
        <w:rPr>
          <w:lang w:val="fr-BE"/>
        </w:rPr>
        <w:t xml:space="preserve">délégué </w:t>
      </w:r>
      <w:r w:rsidR="00457982" w:rsidRPr="00612E84">
        <w:rPr>
          <w:lang w:val="fr-BE"/>
        </w:rPr>
        <w:t xml:space="preserve">dans l'analyse et l'interprétation des </w:t>
      </w:r>
      <w:r w:rsidR="005114C6" w:rsidRPr="00612E84">
        <w:rPr>
          <w:lang w:val="fr-BE"/>
        </w:rPr>
        <w:t>mutations</w:t>
      </w:r>
      <w:r w:rsidR="00457982" w:rsidRPr="00612E84">
        <w:rPr>
          <w:lang w:val="fr-BE"/>
        </w:rPr>
        <w:t xml:space="preserve"> dont l'impact héréditaire est avéré et/ou dans l'orientation des patients vers l</w:t>
      </w:r>
      <w:r w:rsidR="006366C8" w:rsidRPr="00612E84">
        <w:rPr>
          <w:lang w:val="fr-BE"/>
        </w:rPr>
        <w:t>e</w:t>
      </w:r>
      <w:r w:rsidR="00457982" w:rsidRPr="00612E84">
        <w:rPr>
          <w:lang w:val="fr-BE"/>
        </w:rPr>
        <w:t xml:space="preserve"> </w:t>
      </w:r>
      <w:r w:rsidR="005114C6" w:rsidRPr="00612E84">
        <w:rPr>
          <w:lang w:val="fr-BE"/>
        </w:rPr>
        <w:t>CGH</w:t>
      </w:r>
      <w:r w:rsidR="00457982" w:rsidRPr="00612E84">
        <w:rPr>
          <w:lang w:val="fr-BE"/>
        </w:rPr>
        <w:t xml:space="preserve"> pour une analyse germinale est défini dans le présent SLA.</w:t>
      </w:r>
    </w:p>
    <w:p w14:paraId="4288DE39" w14:textId="1BDA05BC" w:rsidR="00E26D6D" w:rsidRPr="00A96C42" w:rsidRDefault="00E26D6D" w:rsidP="00E370A1">
      <w:pPr>
        <w:pStyle w:val="ListParagraph"/>
        <w:numPr>
          <w:ilvl w:val="0"/>
          <w:numId w:val="4"/>
        </w:numPr>
        <w:spacing w:after="200" w:line="276" w:lineRule="auto"/>
        <w:ind w:left="426" w:hanging="280"/>
        <w:jc w:val="both"/>
        <w:rPr>
          <w:lang w:val="fr-BE"/>
        </w:rPr>
      </w:pPr>
      <w:r w:rsidRPr="005D3598">
        <w:rPr>
          <w:lang w:val="fr-BE"/>
        </w:rPr>
        <w:t>Confirmation que le</w:t>
      </w:r>
      <w:r w:rsidR="00E370A1" w:rsidRPr="005D3598">
        <w:rPr>
          <w:lang w:val="fr-BE"/>
        </w:rPr>
        <w:t xml:space="preserve"> généticien clini</w:t>
      </w:r>
      <w:r w:rsidR="00E370A1">
        <w:rPr>
          <w:lang w:val="fr-BE"/>
        </w:rPr>
        <w:t>cien-</w:t>
      </w:r>
      <w:r w:rsidRPr="005D3598">
        <w:rPr>
          <w:lang w:val="fr-BE"/>
        </w:rPr>
        <w:t>coord</w:t>
      </w:r>
      <w:r w:rsidR="00E370A1">
        <w:rPr>
          <w:lang w:val="fr-BE"/>
        </w:rPr>
        <w:t>on</w:t>
      </w:r>
      <w:r w:rsidRPr="005D3598">
        <w:rPr>
          <w:lang w:val="fr-BE"/>
        </w:rPr>
        <w:t xml:space="preserve">nateur ou le délégué est disponible, dans un délai </w:t>
      </w:r>
      <w:r w:rsidR="005114C6">
        <w:rPr>
          <w:lang w:val="fr-BE"/>
        </w:rPr>
        <w:t>raisonnable</w:t>
      </w:r>
      <w:r w:rsidRPr="00A96C42">
        <w:rPr>
          <w:lang w:val="fr-BE"/>
        </w:rPr>
        <w:t xml:space="preserve"> après avoir effectué le séquençage de la tumeur, pour discuter de tous les cas sélectionnés et décider d'effectuer ou non des tests génétiques germinaux et des conseils génétiques. </w:t>
      </w:r>
      <w:r w:rsidRPr="00612E84">
        <w:rPr>
          <w:lang w:val="fr-BE"/>
        </w:rPr>
        <w:t>Cette discussion ne doit pas nécessairement s'</w:t>
      </w:r>
      <w:r w:rsidR="00E370A1" w:rsidRPr="00612E84">
        <w:rPr>
          <w:lang w:val="fr-BE"/>
        </w:rPr>
        <w:t>effectuer</w:t>
      </w:r>
      <w:r w:rsidRPr="00612E84">
        <w:rPr>
          <w:lang w:val="fr-BE"/>
        </w:rPr>
        <w:t xml:space="preserve"> dans la même période que celle de la discussion</w:t>
      </w:r>
      <w:r w:rsidR="00E370A1" w:rsidRPr="00612E84">
        <w:rPr>
          <w:lang w:val="fr-BE"/>
        </w:rPr>
        <w:t xml:space="preserve"> COM </w:t>
      </w:r>
      <w:r w:rsidRPr="00612E84">
        <w:rPr>
          <w:lang w:val="fr-BE"/>
        </w:rPr>
        <w:t xml:space="preserve"> sur le parcours de traitement du cancer</w:t>
      </w:r>
      <w:r w:rsidRPr="00A96C42">
        <w:rPr>
          <w:lang w:val="fr-BE"/>
        </w:rPr>
        <w:t>.</w:t>
      </w:r>
      <w:bookmarkStart w:id="1" w:name="_Hlk163719282"/>
      <w:bookmarkEnd w:id="1"/>
    </w:p>
    <w:p w14:paraId="6D0BB296" w14:textId="3D73FDC2" w:rsidR="00BB093D" w:rsidRPr="00A96C42" w:rsidRDefault="000507D5" w:rsidP="00E370A1">
      <w:pPr>
        <w:pStyle w:val="ListParagraph"/>
        <w:numPr>
          <w:ilvl w:val="0"/>
          <w:numId w:val="4"/>
        </w:numPr>
        <w:spacing w:after="200" w:line="276" w:lineRule="auto"/>
        <w:ind w:left="426" w:hanging="280"/>
        <w:jc w:val="both"/>
        <w:rPr>
          <w:lang w:val="fr-BE"/>
        </w:rPr>
      </w:pPr>
      <w:r w:rsidRPr="00A96C42">
        <w:rPr>
          <w:lang w:val="fr-BE"/>
        </w:rPr>
        <w:t>La façon dont les cas sont sélectionnés</w:t>
      </w:r>
      <w:r w:rsidR="005114C6">
        <w:rPr>
          <w:lang w:val="fr-BE"/>
        </w:rPr>
        <w:t xml:space="preserve"> </w:t>
      </w:r>
      <w:r w:rsidRPr="00A96C42">
        <w:rPr>
          <w:lang w:val="fr-BE"/>
        </w:rPr>
        <w:t xml:space="preserve">dans un délai raisonnable </w:t>
      </w:r>
      <w:r w:rsidR="005114C6" w:rsidRPr="00612E84">
        <w:rPr>
          <w:lang w:val="fr-BE"/>
        </w:rPr>
        <w:t>afin d’</w:t>
      </w:r>
      <w:r w:rsidR="00460DD1" w:rsidRPr="00612E84">
        <w:rPr>
          <w:lang w:val="fr-BE"/>
        </w:rPr>
        <w:t xml:space="preserve">assurer un suivi adéquat de l'origine germinale possible d'un variant détecté. </w:t>
      </w:r>
      <w:r w:rsidR="005114C6" w:rsidRPr="00612E84">
        <w:rPr>
          <w:lang w:val="fr-BE"/>
        </w:rPr>
        <w:t>Ce</w:t>
      </w:r>
      <w:r w:rsidR="008A03E1" w:rsidRPr="00612E84">
        <w:rPr>
          <w:lang w:val="fr-BE"/>
        </w:rPr>
        <w:t>tte procédure</w:t>
      </w:r>
      <w:r w:rsidR="005114C6" w:rsidRPr="00612E84">
        <w:rPr>
          <w:lang w:val="fr-BE"/>
        </w:rPr>
        <w:t xml:space="preserve"> doit être défini</w:t>
      </w:r>
      <w:r w:rsidR="008A03E1" w:rsidRPr="00612E84">
        <w:rPr>
          <w:lang w:val="fr-BE"/>
        </w:rPr>
        <w:t>e</w:t>
      </w:r>
      <w:r w:rsidR="00460DD1" w:rsidRPr="00612E84">
        <w:rPr>
          <w:lang w:val="fr-BE"/>
        </w:rPr>
        <w:t xml:space="preserve"> sur la base de recommandations consensuelles internationales les plus récentes, telles que les </w:t>
      </w:r>
      <w:r w:rsidR="005114C6" w:rsidRPr="00612E84">
        <w:rPr>
          <w:lang w:val="fr-BE"/>
        </w:rPr>
        <w:t>“</w:t>
      </w:r>
      <w:r w:rsidR="005114C6" w:rsidRPr="00612E84">
        <w:rPr>
          <w:i/>
          <w:iCs/>
          <w:lang w:val="fr-BE"/>
        </w:rPr>
        <w:t xml:space="preserve">ESMO </w:t>
      </w:r>
      <w:proofErr w:type="spellStart"/>
      <w:r w:rsidR="005114C6" w:rsidRPr="00612E84">
        <w:rPr>
          <w:i/>
          <w:iCs/>
          <w:lang w:val="fr-BE"/>
        </w:rPr>
        <w:t>recommendations</w:t>
      </w:r>
      <w:proofErr w:type="spellEnd"/>
      <w:r w:rsidR="005114C6" w:rsidRPr="00612E84">
        <w:rPr>
          <w:i/>
          <w:iCs/>
          <w:lang w:val="fr-BE"/>
        </w:rPr>
        <w:t xml:space="preserve"> for </w:t>
      </w:r>
      <w:proofErr w:type="spellStart"/>
      <w:r w:rsidR="005114C6" w:rsidRPr="00612E84">
        <w:rPr>
          <w:i/>
          <w:iCs/>
          <w:lang w:val="fr-BE"/>
        </w:rPr>
        <w:t>germline-focused</w:t>
      </w:r>
      <w:proofErr w:type="spellEnd"/>
      <w:r w:rsidR="005114C6" w:rsidRPr="00612E84">
        <w:rPr>
          <w:i/>
          <w:iCs/>
          <w:lang w:val="fr-BE"/>
        </w:rPr>
        <w:t xml:space="preserve"> </w:t>
      </w:r>
      <w:proofErr w:type="spellStart"/>
      <w:r w:rsidR="005114C6" w:rsidRPr="00612E84">
        <w:rPr>
          <w:i/>
          <w:iCs/>
          <w:lang w:val="fr-BE"/>
        </w:rPr>
        <w:t>analysis</w:t>
      </w:r>
      <w:proofErr w:type="spellEnd"/>
      <w:r w:rsidR="005114C6" w:rsidRPr="00612E84">
        <w:rPr>
          <w:i/>
          <w:iCs/>
          <w:lang w:val="fr-BE"/>
        </w:rPr>
        <w:t xml:space="preserve"> of </w:t>
      </w:r>
      <w:proofErr w:type="spellStart"/>
      <w:r w:rsidR="005114C6" w:rsidRPr="00612E84">
        <w:rPr>
          <w:i/>
          <w:iCs/>
          <w:lang w:val="fr-BE"/>
        </w:rPr>
        <w:t>tumour-only</w:t>
      </w:r>
      <w:proofErr w:type="spellEnd"/>
      <w:r w:rsidR="005114C6" w:rsidRPr="00612E84">
        <w:rPr>
          <w:i/>
          <w:iCs/>
          <w:lang w:val="fr-BE"/>
        </w:rPr>
        <w:t xml:space="preserve"> </w:t>
      </w:r>
      <w:proofErr w:type="spellStart"/>
      <w:r w:rsidR="005114C6" w:rsidRPr="00612E84">
        <w:rPr>
          <w:i/>
          <w:iCs/>
          <w:lang w:val="fr-BE"/>
        </w:rPr>
        <w:t>sequencing</w:t>
      </w:r>
      <w:proofErr w:type="spellEnd"/>
      <w:r w:rsidR="005114C6" w:rsidRPr="00612E84">
        <w:rPr>
          <w:lang w:val="fr-BE"/>
        </w:rPr>
        <w:t xml:space="preserve">” </w:t>
      </w:r>
    </w:p>
    <w:p w14:paraId="7066A964" w14:textId="33538B7F" w:rsidR="00C24D53" w:rsidRPr="00A96C42" w:rsidRDefault="00F310DD" w:rsidP="00E370A1">
      <w:pPr>
        <w:pStyle w:val="ListParagraph"/>
        <w:numPr>
          <w:ilvl w:val="0"/>
          <w:numId w:val="4"/>
        </w:numPr>
        <w:spacing w:after="200" w:line="276" w:lineRule="auto"/>
        <w:ind w:left="426" w:hanging="280"/>
        <w:jc w:val="both"/>
        <w:rPr>
          <w:lang w:val="fr-BE"/>
        </w:rPr>
      </w:pPr>
      <w:r w:rsidRPr="00612E84">
        <w:rPr>
          <w:lang w:val="fr-BE"/>
        </w:rPr>
        <w:t>Confirmation de la participation du généticien</w:t>
      </w:r>
      <w:r w:rsidR="005114C6" w:rsidRPr="00612E84">
        <w:rPr>
          <w:lang w:val="fr-BE"/>
        </w:rPr>
        <w:t xml:space="preserve"> clinicien</w:t>
      </w:r>
      <w:r w:rsidRPr="00612E84">
        <w:rPr>
          <w:lang w:val="fr-BE"/>
        </w:rPr>
        <w:t>-coordonnateur ou d</w:t>
      </w:r>
      <w:r w:rsidR="004A2B66" w:rsidRPr="00612E84">
        <w:rPr>
          <w:lang w:val="fr-BE"/>
        </w:rPr>
        <w:t>u</w:t>
      </w:r>
      <w:r w:rsidR="008A03E1" w:rsidRPr="00612E84">
        <w:rPr>
          <w:lang w:val="fr-BE"/>
        </w:rPr>
        <w:t xml:space="preserve"> délégué</w:t>
      </w:r>
      <w:r w:rsidRPr="00612E84">
        <w:rPr>
          <w:lang w:val="fr-BE"/>
        </w:rPr>
        <w:t xml:space="preserve"> à</w:t>
      </w:r>
      <w:r w:rsidRPr="00A96C42">
        <w:rPr>
          <w:lang w:val="fr-BE"/>
        </w:rPr>
        <w:t xml:space="preserve"> la </w:t>
      </w:r>
      <w:r w:rsidR="005114C6">
        <w:rPr>
          <w:lang w:val="fr-BE"/>
        </w:rPr>
        <w:t>Concertation Technique</w:t>
      </w:r>
      <w:r w:rsidRPr="00A96C42">
        <w:rPr>
          <w:lang w:val="fr-BE"/>
        </w:rPr>
        <w:t xml:space="preserve">, qui a lieu au moins une fois par mois. </w:t>
      </w:r>
    </w:p>
    <w:p w14:paraId="61D7DCD2" w14:textId="77777777" w:rsidR="006E20C6" w:rsidRPr="00A96C42" w:rsidRDefault="006E20C6" w:rsidP="00E370A1">
      <w:pPr>
        <w:jc w:val="both"/>
        <w:rPr>
          <w:lang w:val="fr-BE"/>
        </w:rPr>
      </w:pPr>
    </w:p>
    <w:p w14:paraId="5560A694" w14:textId="5C72AE85" w:rsidR="00BB093D" w:rsidRPr="00A96C42" w:rsidRDefault="00126FD2" w:rsidP="00E370A1">
      <w:pPr>
        <w:pStyle w:val="Heading2"/>
        <w:jc w:val="both"/>
        <w:rPr>
          <w:lang w:val="fr-BE"/>
        </w:rPr>
      </w:pPr>
      <w:r w:rsidRPr="00A96C42">
        <w:rPr>
          <w:lang w:val="fr-BE"/>
        </w:rPr>
        <w:t>Conditions relatives à l'élaboration et à la communication du SLA</w:t>
      </w:r>
    </w:p>
    <w:p w14:paraId="77E34CD6" w14:textId="77777777" w:rsidR="00BB093D" w:rsidRPr="00A96C42" w:rsidRDefault="00BB093D" w:rsidP="00E370A1">
      <w:pPr>
        <w:jc w:val="both"/>
        <w:rPr>
          <w:lang w:val="fr-BE"/>
        </w:rPr>
      </w:pPr>
      <w:r w:rsidRPr="00A96C42">
        <w:rPr>
          <w:lang w:val="fr-BE"/>
        </w:rPr>
        <w:t>Les institutions sont libres d'élaborer des dispositions complémentaires relatives aux pouvoirs délégués et à leur contrôle.</w:t>
      </w:r>
    </w:p>
    <w:p w14:paraId="66079C1C" w14:textId="13E7CD4F" w:rsidR="00BB093D" w:rsidRPr="00A96C42" w:rsidRDefault="00BB093D" w:rsidP="00E370A1">
      <w:pPr>
        <w:jc w:val="both"/>
        <w:rPr>
          <w:lang w:val="fr-BE"/>
        </w:rPr>
      </w:pPr>
      <w:r w:rsidRPr="00A96C42">
        <w:rPr>
          <w:lang w:val="fr-BE"/>
        </w:rPr>
        <w:lastRenderedPageBreak/>
        <w:t>Les différents types de SLA peuvent être regroupés dans un seul document, à condition que les exigences de chaque SLA soient clairement indiquées.</w:t>
      </w:r>
    </w:p>
    <w:p w14:paraId="5564E84B" w14:textId="5695CCF1" w:rsidR="00BB093D" w:rsidRPr="00A96C42" w:rsidRDefault="00BB093D" w:rsidP="00E370A1">
      <w:pPr>
        <w:jc w:val="both"/>
        <w:rPr>
          <w:lang w:val="fr-BE"/>
        </w:rPr>
      </w:pPr>
      <w:r w:rsidRPr="00A96C42">
        <w:rPr>
          <w:lang w:val="fr-BE"/>
        </w:rPr>
        <w:t>Les modifications d</w:t>
      </w:r>
      <w:r w:rsidR="005114C6">
        <w:rPr>
          <w:lang w:val="fr-BE"/>
        </w:rPr>
        <w:t>u SLA</w:t>
      </w:r>
      <w:r w:rsidRPr="00A96C42">
        <w:rPr>
          <w:lang w:val="fr-BE"/>
        </w:rPr>
        <w:t>, datées et signées par les différentes parties concernées, sont transmises à l'INAMI avant le 1er juillet de chaque année.</w:t>
      </w:r>
    </w:p>
    <w:sectPr w:rsidR="00BB093D" w:rsidRPr="00A96C42" w:rsidSect="00D41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232F"/>
    <w:multiLevelType w:val="hybridMultilevel"/>
    <w:tmpl w:val="ECE82F4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241D7"/>
    <w:multiLevelType w:val="hybridMultilevel"/>
    <w:tmpl w:val="ECE82F4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8374A"/>
    <w:multiLevelType w:val="hybridMultilevel"/>
    <w:tmpl w:val="1AB4D2B0"/>
    <w:lvl w:ilvl="0" w:tplc="AEFC70C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4719"/>
    <w:multiLevelType w:val="hybridMultilevel"/>
    <w:tmpl w:val="9BE66A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B5C85"/>
    <w:multiLevelType w:val="hybridMultilevel"/>
    <w:tmpl w:val="BFCEB3BE"/>
    <w:lvl w:ilvl="0" w:tplc="8634DF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A2054"/>
    <w:multiLevelType w:val="hybridMultilevel"/>
    <w:tmpl w:val="0308B9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B37B8"/>
    <w:multiLevelType w:val="hybridMultilevel"/>
    <w:tmpl w:val="ECE82F42"/>
    <w:lvl w:ilvl="0" w:tplc="0D1A1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A4AA1"/>
    <w:multiLevelType w:val="hybridMultilevel"/>
    <w:tmpl w:val="F1501792"/>
    <w:lvl w:ilvl="0" w:tplc="250EFF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F5475"/>
    <w:multiLevelType w:val="hybridMultilevel"/>
    <w:tmpl w:val="241A5610"/>
    <w:lvl w:ilvl="0" w:tplc="5C84C0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173418">
    <w:abstractNumId w:val="5"/>
  </w:num>
  <w:num w:numId="2" w16cid:durableId="638414641">
    <w:abstractNumId w:val="6"/>
  </w:num>
  <w:num w:numId="3" w16cid:durableId="301007262">
    <w:abstractNumId w:val="1"/>
  </w:num>
  <w:num w:numId="4" w16cid:durableId="123811189">
    <w:abstractNumId w:val="0"/>
  </w:num>
  <w:num w:numId="5" w16cid:durableId="876236290">
    <w:abstractNumId w:val="7"/>
  </w:num>
  <w:num w:numId="6" w16cid:durableId="1329476919">
    <w:abstractNumId w:val="8"/>
  </w:num>
  <w:num w:numId="7" w16cid:durableId="113134603">
    <w:abstractNumId w:val="2"/>
  </w:num>
  <w:num w:numId="8" w16cid:durableId="1526333981">
    <w:abstractNumId w:val="2"/>
  </w:num>
  <w:num w:numId="9" w16cid:durableId="2099207360">
    <w:abstractNumId w:val="4"/>
  </w:num>
  <w:num w:numId="10" w16cid:durableId="1788044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W5PKOPm1kvPOK+DulZSzLIcDLh1LxWTdq70rrXkUQ3L7LiC0FPOhhelY0hLMrYdz98dVTHSFtOLzEC6eCmp/8g==" w:salt="MIw/iB4oS+2k0kSfcaGJJ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3D"/>
    <w:rsid w:val="0001118D"/>
    <w:rsid w:val="00013613"/>
    <w:rsid w:val="00014980"/>
    <w:rsid w:val="00024D7F"/>
    <w:rsid w:val="000507D5"/>
    <w:rsid w:val="000A5E0E"/>
    <w:rsid w:val="000D13C9"/>
    <w:rsid w:val="00126FD2"/>
    <w:rsid w:val="00140CB4"/>
    <w:rsid w:val="00142BC5"/>
    <w:rsid w:val="00171F05"/>
    <w:rsid w:val="001B48D6"/>
    <w:rsid w:val="001F6D04"/>
    <w:rsid w:val="002020CA"/>
    <w:rsid w:val="002263D0"/>
    <w:rsid w:val="00234DC8"/>
    <w:rsid w:val="00246572"/>
    <w:rsid w:val="002569F7"/>
    <w:rsid w:val="00261DAE"/>
    <w:rsid w:val="002A25B7"/>
    <w:rsid w:val="002D2E24"/>
    <w:rsid w:val="00347DC6"/>
    <w:rsid w:val="003541A4"/>
    <w:rsid w:val="00371922"/>
    <w:rsid w:val="003A6492"/>
    <w:rsid w:val="003D5424"/>
    <w:rsid w:val="003D6CF7"/>
    <w:rsid w:val="00424E6F"/>
    <w:rsid w:val="00434443"/>
    <w:rsid w:val="00457982"/>
    <w:rsid w:val="00460DD1"/>
    <w:rsid w:val="004816BC"/>
    <w:rsid w:val="004A2B66"/>
    <w:rsid w:val="004B6411"/>
    <w:rsid w:val="004B6A29"/>
    <w:rsid w:val="004D3F83"/>
    <w:rsid w:val="004F45E5"/>
    <w:rsid w:val="005114C6"/>
    <w:rsid w:val="005232C6"/>
    <w:rsid w:val="00533C39"/>
    <w:rsid w:val="005A4780"/>
    <w:rsid w:val="005A56F5"/>
    <w:rsid w:val="005C7550"/>
    <w:rsid w:val="005D3598"/>
    <w:rsid w:val="005F7572"/>
    <w:rsid w:val="00600D3B"/>
    <w:rsid w:val="00612E84"/>
    <w:rsid w:val="00614065"/>
    <w:rsid w:val="006263C7"/>
    <w:rsid w:val="0063501D"/>
    <w:rsid w:val="00635C2E"/>
    <w:rsid w:val="006366C8"/>
    <w:rsid w:val="00660A61"/>
    <w:rsid w:val="00671AD8"/>
    <w:rsid w:val="006E20C6"/>
    <w:rsid w:val="006F1FB5"/>
    <w:rsid w:val="006F5810"/>
    <w:rsid w:val="00727E96"/>
    <w:rsid w:val="007A3E41"/>
    <w:rsid w:val="007A5021"/>
    <w:rsid w:val="007A7069"/>
    <w:rsid w:val="007B1660"/>
    <w:rsid w:val="007C0FB1"/>
    <w:rsid w:val="007C23CA"/>
    <w:rsid w:val="008370E1"/>
    <w:rsid w:val="008602A3"/>
    <w:rsid w:val="008A03E1"/>
    <w:rsid w:val="008A0C30"/>
    <w:rsid w:val="008A660F"/>
    <w:rsid w:val="008D7DD5"/>
    <w:rsid w:val="009148EC"/>
    <w:rsid w:val="0092308A"/>
    <w:rsid w:val="00926FC2"/>
    <w:rsid w:val="0092759A"/>
    <w:rsid w:val="00954383"/>
    <w:rsid w:val="009774C0"/>
    <w:rsid w:val="0098602D"/>
    <w:rsid w:val="009B0ABB"/>
    <w:rsid w:val="009B70C9"/>
    <w:rsid w:val="00A125E0"/>
    <w:rsid w:val="00A16C68"/>
    <w:rsid w:val="00A2394E"/>
    <w:rsid w:val="00A60BCF"/>
    <w:rsid w:val="00A96C42"/>
    <w:rsid w:val="00AA2D0F"/>
    <w:rsid w:val="00AC67DE"/>
    <w:rsid w:val="00AD2BA6"/>
    <w:rsid w:val="00AE7C8D"/>
    <w:rsid w:val="00B329E2"/>
    <w:rsid w:val="00B4420B"/>
    <w:rsid w:val="00B745F6"/>
    <w:rsid w:val="00BA34B0"/>
    <w:rsid w:val="00BB093D"/>
    <w:rsid w:val="00BF45E0"/>
    <w:rsid w:val="00BF64A4"/>
    <w:rsid w:val="00C00771"/>
    <w:rsid w:val="00C150F4"/>
    <w:rsid w:val="00C24D53"/>
    <w:rsid w:val="00C64A99"/>
    <w:rsid w:val="00CC1971"/>
    <w:rsid w:val="00CE01CD"/>
    <w:rsid w:val="00CE0C3A"/>
    <w:rsid w:val="00D41DA9"/>
    <w:rsid w:val="00D61097"/>
    <w:rsid w:val="00D62851"/>
    <w:rsid w:val="00D63E5B"/>
    <w:rsid w:val="00D67C48"/>
    <w:rsid w:val="00D9474F"/>
    <w:rsid w:val="00DA4EC4"/>
    <w:rsid w:val="00DB10FE"/>
    <w:rsid w:val="00DB7E1D"/>
    <w:rsid w:val="00DE5EDB"/>
    <w:rsid w:val="00E075DC"/>
    <w:rsid w:val="00E26D6D"/>
    <w:rsid w:val="00E370A1"/>
    <w:rsid w:val="00E47429"/>
    <w:rsid w:val="00E7314C"/>
    <w:rsid w:val="00E764F8"/>
    <w:rsid w:val="00EA17D7"/>
    <w:rsid w:val="00EE5267"/>
    <w:rsid w:val="00EF05B0"/>
    <w:rsid w:val="00F310DD"/>
    <w:rsid w:val="00F629B4"/>
    <w:rsid w:val="00F639BA"/>
    <w:rsid w:val="00F73A74"/>
    <w:rsid w:val="00FA1CF6"/>
    <w:rsid w:val="00FB3969"/>
    <w:rsid w:val="00FC1706"/>
    <w:rsid w:val="00FE585C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0826"/>
  <w15:chartTrackingRefBased/>
  <w15:docId w15:val="{8400E785-8656-4D9E-9F2A-FC86A792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6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3613"/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1361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16C68"/>
  </w:style>
  <w:style w:type="paragraph" w:styleId="Revision">
    <w:name w:val="Revision"/>
    <w:hidden/>
    <w:uiPriority w:val="99"/>
    <w:semiHidden/>
    <w:rsid w:val="00F73A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1A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60DD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114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76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03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0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18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45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97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176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5100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De Smet (RIZIV-INAMI)</dc:creator>
  <cp:keywords/>
  <dc:description/>
  <cp:lastModifiedBy>Koen De Smet (RIZIV-INAMI)</cp:lastModifiedBy>
  <cp:revision>12</cp:revision>
  <dcterms:created xsi:type="dcterms:W3CDTF">2024-04-11T11:51:00Z</dcterms:created>
  <dcterms:modified xsi:type="dcterms:W3CDTF">2024-05-28T06:52:00Z</dcterms:modified>
</cp:coreProperties>
</file>