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11D3" w14:textId="07732C14" w:rsidR="00904EBB" w:rsidRPr="00454D16" w:rsidRDefault="00DD019F" w:rsidP="00DD019F">
      <w:pPr>
        <w:ind w:left="-142"/>
        <w:jc w:val="right"/>
        <w:rPr>
          <w:rFonts w:ascii="Arial" w:hAnsi="Arial" w:cs="Arial"/>
          <w:lang w:val="fr-FR"/>
        </w:rPr>
      </w:pPr>
      <w:r w:rsidRPr="00454D16">
        <w:rPr>
          <w:rFonts w:ascii="Arial" w:hAnsi="Arial" w:cs="Arial"/>
          <w:lang w:val="fr-FR"/>
        </w:rPr>
        <w:t xml:space="preserve">ANNEXE </w:t>
      </w:r>
      <w:r w:rsidRPr="00454D16">
        <w:rPr>
          <w:rFonts w:ascii="Arial" w:hAnsi="Arial" w:cs="Arial"/>
          <w:b/>
          <w:lang w:val="fr-FR"/>
        </w:rPr>
        <w:t>I.2.</w:t>
      </w:r>
    </w:p>
    <w:p w14:paraId="34878965" w14:textId="77777777" w:rsidR="00904EBB" w:rsidRDefault="00904EBB" w:rsidP="00904EBB">
      <w:pPr>
        <w:rPr>
          <w:rFonts w:ascii="Arial" w:hAnsi="Arial" w:cs="Arial"/>
          <w:lang w:val="fr-FR"/>
        </w:rPr>
      </w:pPr>
    </w:p>
    <w:p w14:paraId="4EAEB4F1" w14:textId="77777777" w:rsidR="00904EBB" w:rsidRPr="00960A1E" w:rsidRDefault="00904EBB" w:rsidP="00904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Annexe service ‘Accords Médecins Conseils – Médicaments Chapitre IV’</w:t>
      </w:r>
    </w:p>
    <w:p w14:paraId="1F6065CF" w14:textId="77777777" w:rsidR="00904EBB" w:rsidRDefault="00904EBB" w:rsidP="00904EBB">
      <w:pPr>
        <w:rPr>
          <w:rFonts w:ascii="Arial" w:hAnsi="Arial" w:cs="Arial"/>
          <w:lang w:val="fr-FR"/>
        </w:rPr>
      </w:pPr>
    </w:p>
    <w:p w14:paraId="502E6B06" w14:textId="77777777" w:rsidR="00904EBB" w:rsidRPr="00960A1E" w:rsidRDefault="00904EBB" w:rsidP="00904EBB">
      <w:pPr>
        <w:rPr>
          <w:rFonts w:ascii="Arial" w:hAnsi="Arial" w:cs="Arial"/>
          <w:lang w:val="fr-FR"/>
        </w:rPr>
      </w:pPr>
    </w:p>
    <w:p w14:paraId="1FCCA132" w14:textId="77777777" w:rsidR="00904EBB" w:rsidRPr="00960A1E" w:rsidRDefault="00904EBB" w:rsidP="00904EB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960A1E">
        <w:rPr>
          <w:lang w:val="fr-FR"/>
        </w:rPr>
        <w:t>Objectif</w:t>
      </w:r>
    </w:p>
    <w:p w14:paraId="0850B0BE" w14:textId="77777777" w:rsidR="00904EBB" w:rsidRPr="00960A1E" w:rsidRDefault="00904EBB" w:rsidP="00904EBB">
      <w:pPr>
        <w:rPr>
          <w:rFonts w:ascii="Arial" w:hAnsi="Arial" w:cs="Arial"/>
          <w:lang w:val="fr-FR"/>
        </w:rPr>
      </w:pPr>
    </w:p>
    <w:p w14:paraId="1A9917A2" w14:textId="77777777" w:rsidR="00904EBB" w:rsidRPr="00960A1E" w:rsidRDefault="00904EBB" w:rsidP="00904EBB">
      <w:p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 xml:space="preserve">L’objectif de cette annexe est de fixer les règles de travail pratiques et impératives pour l’échange des données électroniques </w:t>
      </w:r>
      <w:r>
        <w:rPr>
          <w:rFonts w:ascii="Arial" w:hAnsi="Arial" w:cs="Arial"/>
          <w:lang w:val="fr-FR"/>
        </w:rPr>
        <w:t>pour la consultation des accords médecins conseils médicaments chapitre IV</w:t>
      </w:r>
      <w:r w:rsidRPr="00960A1E">
        <w:rPr>
          <w:rFonts w:ascii="Arial" w:hAnsi="Arial" w:cs="Arial"/>
          <w:lang w:val="fr-FR"/>
        </w:rPr>
        <w:t>.</w:t>
      </w:r>
    </w:p>
    <w:p w14:paraId="7E2C5493" w14:textId="77777777" w:rsidR="00904EBB" w:rsidRPr="00960A1E" w:rsidRDefault="00904EBB" w:rsidP="00904EBB">
      <w:pPr>
        <w:jc w:val="both"/>
        <w:rPr>
          <w:rFonts w:ascii="Arial" w:hAnsi="Arial" w:cs="Arial"/>
          <w:lang w:val="fr-FR"/>
        </w:rPr>
      </w:pPr>
    </w:p>
    <w:p w14:paraId="05B58A7C" w14:textId="77777777" w:rsidR="00904EBB" w:rsidRPr="00960A1E" w:rsidRDefault="00904EBB" w:rsidP="00904EB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960A1E">
        <w:rPr>
          <w:lang w:val="fr-FR"/>
        </w:rPr>
        <w:t>Définitions</w:t>
      </w:r>
    </w:p>
    <w:p w14:paraId="208E6CEC" w14:textId="77777777" w:rsidR="00904EBB" w:rsidRPr="00960A1E" w:rsidRDefault="00904EBB" w:rsidP="00904EBB">
      <w:pPr>
        <w:rPr>
          <w:rFonts w:ascii="Arial" w:hAnsi="Arial" w:cs="Arial"/>
          <w:lang w:val="fr-FR"/>
        </w:rPr>
      </w:pPr>
    </w:p>
    <w:p w14:paraId="12F56437" w14:textId="77777777" w:rsidR="00904EBB" w:rsidRDefault="00904EBB" w:rsidP="00904EBB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Service consultation des a</w:t>
      </w:r>
      <w:r w:rsidRPr="00E32637">
        <w:rPr>
          <w:rFonts w:ascii="Arial" w:hAnsi="Arial" w:cs="Arial"/>
          <w:b/>
          <w:lang w:val="fr-FR"/>
        </w:rPr>
        <w:t>ccords médecins conseils - médicaments chapitre IV :</w:t>
      </w:r>
    </w:p>
    <w:p w14:paraId="6B125A95" w14:textId="77777777" w:rsidR="00904EBB" w:rsidRPr="00E32637" w:rsidRDefault="00904EBB" w:rsidP="00904EBB">
      <w:pPr>
        <w:jc w:val="both"/>
        <w:rPr>
          <w:rFonts w:ascii="Arial" w:hAnsi="Arial" w:cs="Arial"/>
          <w:b/>
          <w:lang w:val="fr-FR"/>
        </w:rPr>
      </w:pPr>
    </w:p>
    <w:p w14:paraId="3A2A06B5" w14:textId="1FCC0064" w:rsidR="00904EBB" w:rsidRPr="00960A1E" w:rsidRDefault="00904EBB" w:rsidP="00904EBB">
      <w:pPr>
        <w:ind w:left="720"/>
        <w:jc w:val="both"/>
        <w:rPr>
          <w:rFonts w:ascii="Arial" w:hAnsi="Arial" w:cs="Arial"/>
          <w:lang w:val="fr-FR"/>
        </w:rPr>
      </w:pPr>
      <w:r w:rsidRPr="00254C42">
        <w:rPr>
          <w:rFonts w:ascii="Arial" w:hAnsi="Arial" w:cs="Arial"/>
          <w:lang w:val="fr-FR"/>
        </w:rPr>
        <w:t xml:space="preserve">Il s’agit de l’envoi électronique des </w:t>
      </w:r>
      <w:r>
        <w:rPr>
          <w:rFonts w:ascii="Arial" w:hAnsi="Arial" w:cs="Arial"/>
          <w:lang w:val="fr-FR"/>
        </w:rPr>
        <w:t>consultations</w:t>
      </w:r>
      <w:r w:rsidRPr="00254C4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d’accord </w:t>
      </w:r>
      <w:r w:rsidRPr="00254C42">
        <w:rPr>
          <w:rFonts w:ascii="Arial" w:hAnsi="Arial" w:cs="Arial"/>
          <w:lang w:val="fr-FR"/>
        </w:rPr>
        <w:t xml:space="preserve">du </w:t>
      </w:r>
      <w:r>
        <w:rPr>
          <w:rFonts w:ascii="Arial" w:hAnsi="Arial" w:cs="Arial"/>
          <w:lang w:val="fr-FR"/>
        </w:rPr>
        <w:t>pharmacien</w:t>
      </w:r>
      <w:r w:rsidRPr="00254C42">
        <w:rPr>
          <w:rFonts w:ascii="Arial" w:hAnsi="Arial" w:cs="Arial"/>
          <w:lang w:val="fr-FR"/>
        </w:rPr>
        <w:t xml:space="preserve"> à l’organisme assureur pour les </w:t>
      </w:r>
      <w:r>
        <w:rPr>
          <w:rFonts w:ascii="Arial" w:hAnsi="Arial" w:cs="Arial"/>
          <w:lang w:val="fr-FR"/>
        </w:rPr>
        <w:t xml:space="preserve">médicaments du chapitre IV </w:t>
      </w:r>
      <w:r w:rsidRPr="00254C42">
        <w:rPr>
          <w:rFonts w:ascii="Arial" w:hAnsi="Arial" w:cs="Arial"/>
          <w:lang w:val="fr-FR"/>
        </w:rPr>
        <w:t xml:space="preserve">à </w:t>
      </w:r>
      <w:r>
        <w:rPr>
          <w:rFonts w:ascii="Arial" w:hAnsi="Arial" w:cs="Arial"/>
          <w:lang w:val="fr-FR"/>
        </w:rPr>
        <w:t>délivrer au</w:t>
      </w:r>
      <w:r w:rsidRPr="00254C42">
        <w:rPr>
          <w:rFonts w:ascii="Arial" w:hAnsi="Arial" w:cs="Arial"/>
          <w:lang w:val="fr-FR"/>
        </w:rPr>
        <w:t xml:space="preserve"> patient et les réponses électroniques de l’o</w:t>
      </w:r>
      <w:r>
        <w:rPr>
          <w:rFonts w:ascii="Arial" w:hAnsi="Arial" w:cs="Arial"/>
          <w:lang w:val="fr-FR"/>
        </w:rPr>
        <w:t>rganisme assureur au pharmacien</w:t>
      </w:r>
      <w:r w:rsidRPr="00254C42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 xml:space="preserve">Ce service permet au pharmacien de vérifier l’existence et le contenu d’un accord médecin conseil pour le patient. </w:t>
      </w:r>
      <w:r w:rsidRPr="00960A1E">
        <w:rPr>
          <w:rFonts w:ascii="Arial" w:hAnsi="Arial" w:cs="Arial"/>
          <w:lang w:val="fr-FR"/>
        </w:rPr>
        <w:t>Cette consultation sera faite ’</w:t>
      </w:r>
      <w:r w:rsidRPr="00D21E2A">
        <w:rPr>
          <w:rFonts w:ascii="Arial" w:hAnsi="Arial" w:cs="Arial"/>
          <w:lang w:val="fr-FR"/>
        </w:rPr>
        <w:t>online</w:t>
      </w:r>
      <w:r w:rsidRPr="00960A1E">
        <w:rPr>
          <w:rFonts w:ascii="Arial" w:hAnsi="Arial" w:cs="Arial"/>
          <w:lang w:val="fr-FR"/>
        </w:rPr>
        <w:t>’ pour un patient à la fois.</w:t>
      </w:r>
    </w:p>
    <w:p w14:paraId="79501BE7" w14:textId="77777777" w:rsidR="00904EBB" w:rsidRPr="00960A1E" w:rsidRDefault="00904EBB" w:rsidP="00904EBB">
      <w:pPr>
        <w:rPr>
          <w:rFonts w:ascii="Arial" w:hAnsi="Arial" w:cs="Arial"/>
          <w:lang w:val="fr-FR"/>
        </w:rPr>
      </w:pPr>
    </w:p>
    <w:p w14:paraId="114B5812" w14:textId="77777777" w:rsidR="00904EBB" w:rsidRPr="00960A1E" w:rsidRDefault="00904EBB" w:rsidP="00904EB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960A1E">
        <w:rPr>
          <w:lang w:val="fr-FR"/>
        </w:rPr>
        <w:t>Droits et obligations des parties</w:t>
      </w:r>
    </w:p>
    <w:p w14:paraId="127E546D" w14:textId="77777777" w:rsidR="00904EBB" w:rsidRPr="00960A1E" w:rsidRDefault="00904EBB" w:rsidP="00904EBB">
      <w:pPr>
        <w:pStyle w:val="Header"/>
        <w:rPr>
          <w:rFonts w:ascii="Arial" w:hAnsi="Arial" w:cs="Arial"/>
          <w:lang w:val="fr-FR"/>
        </w:rPr>
      </w:pPr>
    </w:p>
    <w:p w14:paraId="1379A1AF" w14:textId="77777777" w:rsidR="00904EBB" w:rsidRPr="00960A1E" w:rsidRDefault="00904EBB" w:rsidP="008318F2">
      <w:pPr>
        <w:widowControl/>
        <w:numPr>
          <w:ilvl w:val="0"/>
          <w:numId w:val="4"/>
        </w:numPr>
        <w:rPr>
          <w:rFonts w:ascii="Arial" w:hAnsi="Arial" w:cs="Arial"/>
          <w:b/>
          <w:bCs/>
          <w:lang w:val="fr-FR"/>
        </w:rPr>
      </w:pPr>
      <w:r w:rsidRPr="00960A1E">
        <w:rPr>
          <w:rFonts w:ascii="Arial" w:hAnsi="Arial" w:cs="Arial"/>
          <w:b/>
          <w:bCs/>
          <w:lang w:val="fr-FR"/>
        </w:rPr>
        <w:t>Droits et obligations des organismes assureurs</w:t>
      </w:r>
      <w:r>
        <w:rPr>
          <w:rFonts w:ascii="Arial" w:hAnsi="Arial" w:cs="Arial"/>
          <w:b/>
          <w:bCs/>
          <w:lang w:val="fr-FR"/>
        </w:rPr>
        <w:t> :</w:t>
      </w:r>
    </w:p>
    <w:p w14:paraId="3C3C6003" w14:textId="77777777" w:rsidR="00904EBB" w:rsidRPr="00960A1E" w:rsidRDefault="00904EBB" w:rsidP="008318F2">
      <w:pPr>
        <w:widowControl/>
        <w:numPr>
          <w:ilvl w:val="1"/>
          <w:numId w:val="4"/>
        </w:num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 xml:space="preserve">Les organismes assureurs s’engagent à toujours fournir les informations disponibles les plus actuelles. </w:t>
      </w:r>
    </w:p>
    <w:p w14:paraId="733C17B9" w14:textId="77777777" w:rsidR="00904EBB" w:rsidRPr="00960A1E" w:rsidRDefault="00904EBB" w:rsidP="008318F2">
      <w:pPr>
        <w:widowControl/>
        <w:numPr>
          <w:ilvl w:val="1"/>
          <w:numId w:val="4"/>
        </w:num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 xml:space="preserve">Les réponses au niveau du service </w:t>
      </w:r>
      <w:r>
        <w:rPr>
          <w:rFonts w:ascii="Arial" w:hAnsi="Arial" w:cs="Arial"/>
          <w:lang w:val="fr-FR"/>
        </w:rPr>
        <w:t>consultation accord chapitre IV</w:t>
      </w:r>
      <w:r w:rsidRPr="00960A1E">
        <w:rPr>
          <w:rFonts w:ascii="Arial" w:hAnsi="Arial" w:cs="Arial"/>
          <w:lang w:val="fr-FR"/>
        </w:rPr>
        <w:t xml:space="preserve"> sont données immédiatement dans les secondes qui suivent la demande.</w:t>
      </w:r>
    </w:p>
    <w:p w14:paraId="6366FCBB" w14:textId="77777777" w:rsidR="00904EBB" w:rsidRPr="0023709C" w:rsidRDefault="00904EBB" w:rsidP="008318F2">
      <w:pPr>
        <w:widowControl/>
        <w:numPr>
          <w:ilvl w:val="1"/>
          <w:numId w:val="4"/>
        </w:num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>Les organismes assureurs sont obligés de mettre à disposition les données dont les pharmaciens ont besoin afin d’être en mesure de pouvoir correctement facturer leurs prestations.</w:t>
      </w:r>
    </w:p>
    <w:p w14:paraId="00FA7AC3" w14:textId="77777777" w:rsidR="00904EBB" w:rsidRPr="00960A1E" w:rsidRDefault="00904EBB" w:rsidP="00904EBB">
      <w:pPr>
        <w:ind w:left="1080"/>
        <w:rPr>
          <w:rFonts w:ascii="Arial" w:hAnsi="Arial" w:cs="Arial"/>
          <w:lang w:val="fr-FR"/>
        </w:rPr>
      </w:pPr>
    </w:p>
    <w:p w14:paraId="244442BD" w14:textId="77777777" w:rsidR="00904EBB" w:rsidRPr="00960A1E" w:rsidRDefault="00904EBB" w:rsidP="008318F2">
      <w:pPr>
        <w:widowControl/>
        <w:numPr>
          <w:ilvl w:val="0"/>
          <w:numId w:val="4"/>
        </w:numPr>
        <w:rPr>
          <w:rFonts w:ascii="Arial" w:hAnsi="Arial" w:cs="Arial"/>
          <w:b/>
          <w:lang w:val="fr-FR"/>
        </w:rPr>
      </w:pPr>
      <w:r w:rsidRPr="00960A1E">
        <w:rPr>
          <w:rFonts w:ascii="Arial" w:hAnsi="Arial" w:cs="Arial"/>
          <w:b/>
          <w:bCs/>
          <w:lang w:val="fr-FR"/>
        </w:rPr>
        <w:t>Droit</w:t>
      </w:r>
      <w:r>
        <w:rPr>
          <w:rFonts w:ascii="Arial" w:hAnsi="Arial" w:cs="Arial"/>
          <w:b/>
          <w:bCs/>
          <w:lang w:val="fr-FR"/>
        </w:rPr>
        <w:t>s</w:t>
      </w:r>
      <w:r w:rsidRPr="00960A1E">
        <w:rPr>
          <w:rFonts w:ascii="Arial" w:hAnsi="Arial" w:cs="Arial"/>
          <w:b/>
          <w:bCs/>
          <w:lang w:val="fr-FR"/>
        </w:rPr>
        <w:t xml:space="preserve"> et obligations des </w:t>
      </w:r>
      <w:r>
        <w:rPr>
          <w:rFonts w:ascii="Arial" w:hAnsi="Arial" w:cs="Arial"/>
          <w:b/>
          <w:lang w:val="fr-FR"/>
        </w:rPr>
        <w:t>pharmaciens</w:t>
      </w:r>
      <w:r w:rsidRPr="00960A1E">
        <w:rPr>
          <w:rFonts w:ascii="Arial" w:hAnsi="Arial" w:cs="Arial"/>
          <w:b/>
          <w:lang w:val="fr-FR"/>
        </w:rPr>
        <w:t xml:space="preserve"> :</w:t>
      </w:r>
    </w:p>
    <w:p w14:paraId="69C11377" w14:textId="77777777" w:rsidR="00904EBB" w:rsidRPr="00960A1E" w:rsidRDefault="00904EBB" w:rsidP="008318F2">
      <w:pPr>
        <w:widowControl/>
        <w:numPr>
          <w:ilvl w:val="1"/>
          <w:numId w:val="4"/>
        </w:num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 xml:space="preserve">Le pharmacien s’engage à ne solliciter et </w:t>
      </w:r>
      <w:r>
        <w:rPr>
          <w:rFonts w:ascii="Arial" w:hAnsi="Arial" w:cs="Arial"/>
          <w:lang w:val="fr-FR"/>
        </w:rPr>
        <w:t>utiliser</w:t>
      </w:r>
      <w:r w:rsidRPr="00960A1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l</w:t>
      </w:r>
      <w:r w:rsidRPr="00960A1E">
        <w:rPr>
          <w:rFonts w:ascii="Arial" w:hAnsi="Arial" w:cs="Arial"/>
          <w:lang w:val="fr-FR"/>
        </w:rPr>
        <w:t xml:space="preserve">es données que pour des patients pour lesquels il </w:t>
      </w:r>
      <w:r>
        <w:rPr>
          <w:rFonts w:ascii="Arial" w:hAnsi="Arial" w:cs="Arial"/>
          <w:lang w:val="fr-FR"/>
        </w:rPr>
        <w:t xml:space="preserve">a une prescription pour un médicament du chapitre IV et pour lequel il </w:t>
      </w:r>
      <w:r w:rsidRPr="00960A1E">
        <w:rPr>
          <w:rFonts w:ascii="Arial" w:hAnsi="Arial" w:cs="Arial"/>
          <w:lang w:val="fr-FR"/>
        </w:rPr>
        <w:t xml:space="preserve">transmet effectivement des données via le circuit de facturation et ce dans le but exclusif de la communication des délivrances via le circuit </w:t>
      </w:r>
      <w:r>
        <w:rPr>
          <w:rFonts w:ascii="Arial" w:hAnsi="Arial" w:cs="Arial"/>
          <w:lang w:val="fr-FR"/>
        </w:rPr>
        <w:t>P</w:t>
      </w:r>
      <w:r w:rsidRPr="00960A1E">
        <w:rPr>
          <w:rFonts w:ascii="Arial" w:hAnsi="Arial" w:cs="Arial"/>
          <w:lang w:val="fr-FR"/>
        </w:rPr>
        <w:t>harmanet.</w:t>
      </w:r>
    </w:p>
    <w:p w14:paraId="2F14BA86" w14:textId="77777777" w:rsidR="00904EBB" w:rsidRPr="00960A1E" w:rsidRDefault="00904EBB" w:rsidP="008318F2">
      <w:pPr>
        <w:widowControl/>
        <w:numPr>
          <w:ilvl w:val="1"/>
          <w:numId w:val="4"/>
        </w:num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 xml:space="preserve">Le pharmacien s’engage à procéder effectivement à la transmission des données via </w:t>
      </w:r>
      <w:r w:rsidRPr="005C5DF8">
        <w:rPr>
          <w:rFonts w:ascii="Arial" w:hAnsi="Arial" w:cs="Arial"/>
          <w:lang w:val="fr-FR"/>
        </w:rPr>
        <w:t>le</w:t>
      </w:r>
      <w:r w:rsidRPr="00960A1E">
        <w:rPr>
          <w:rFonts w:ascii="Arial" w:hAnsi="Arial" w:cs="Arial"/>
          <w:lang w:val="fr-FR"/>
        </w:rPr>
        <w:t xml:space="preserve"> circuit </w:t>
      </w:r>
      <w:r>
        <w:rPr>
          <w:rFonts w:ascii="Arial" w:hAnsi="Arial" w:cs="Arial"/>
          <w:lang w:val="fr-FR"/>
        </w:rPr>
        <w:t>P</w:t>
      </w:r>
      <w:r w:rsidRPr="00960A1E">
        <w:rPr>
          <w:rFonts w:ascii="Arial" w:hAnsi="Arial" w:cs="Arial"/>
          <w:lang w:val="fr-FR"/>
        </w:rPr>
        <w:t>harmanet</w:t>
      </w:r>
      <w:r>
        <w:rPr>
          <w:rFonts w:ascii="Arial" w:hAnsi="Arial" w:cs="Arial"/>
          <w:lang w:val="fr-FR"/>
        </w:rPr>
        <w:t xml:space="preserve"> des patients pour qui il</w:t>
      </w:r>
      <w:r w:rsidRPr="00960A1E">
        <w:rPr>
          <w:rFonts w:ascii="Arial" w:hAnsi="Arial" w:cs="Arial"/>
          <w:lang w:val="fr-FR"/>
        </w:rPr>
        <w:t xml:space="preserve"> a sollicité les données relatives à </w:t>
      </w:r>
      <w:r>
        <w:rPr>
          <w:rFonts w:ascii="Arial" w:hAnsi="Arial" w:cs="Arial"/>
          <w:lang w:val="fr-FR"/>
        </w:rPr>
        <w:t>un accord valable chapitre IV.</w:t>
      </w:r>
    </w:p>
    <w:p w14:paraId="49447342" w14:textId="77777777" w:rsidR="00904EBB" w:rsidRPr="00F8474A" w:rsidRDefault="00904EBB" w:rsidP="008318F2">
      <w:pPr>
        <w:widowControl/>
        <w:numPr>
          <w:ilvl w:val="1"/>
          <w:numId w:val="4"/>
        </w:numPr>
        <w:jc w:val="both"/>
        <w:rPr>
          <w:rFonts w:ascii="Arial" w:hAnsi="Arial" w:cs="Arial"/>
          <w:lang w:val="fr-FR"/>
        </w:rPr>
      </w:pPr>
      <w:r w:rsidRPr="00960A1E">
        <w:rPr>
          <w:rFonts w:ascii="Arial" w:hAnsi="Arial" w:cs="Arial"/>
          <w:lang w:val="fr-FR"/>
        </w:rPr>
        <w:t>Le pharmacien traitera les données avec stricte confidentialité et ne les transmettra pas à d’autres prestataires de soins ni à des tiers.</w:t>
      </w:r>
    </w:p>
    <w:sectPr w:rsidR="00904EBB" w:rsidRPr="00F8474A" w:rsidSect="00231EF6">
      <w:headerReference w:type="default" r:id="rId8"/>
      <w:pgSz w:w="11906" w:h="16838" w:code="9"/>
      <w:pgMar w:top="567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BB9F" w14:textId="77777777" w:rsidR="00513DF0" w:rsidRDefault="00513DF0" w:rsidP="00822A61">
    <w:pPr>
      <w:tabs>
        <w:tab w:val="left" w:pos="0"/>
        <w:tab w:val="left" w:pos="1308"/>
        <w:tab w:val="left" w:pos="2058"/>
        <w:tab w:val="left" w:pos="2430"/>
        <w:tab w:val="left" w:pos="2808"/>
        <w:tab w:val="left" w:pos="2880"/>
      </w:tabs>
      <w:suppressAutoHyphens/>
      <w:jc w:val="both"/>
      <w:rPr>
        <w:sz w:val="10"/>
      </w:rPr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240F5D" wp14:editId="676E253F">
              <wp:simplePos x="0" y="0"/>
              <wp:positionH relativeFrom="margin">
                <wp:posOffset>10483850</wp:posOffset>
              </wp:positionH>
              <wp:positionV relativeFrom="paragraph">
                <wp:posOffset>0</wp:posOffset>
              </wp:positionV>
              <wp:extent cx="5025390" cy="15240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5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B1BA4" w14:textId="0F0A8710" w:rsidR="00513DF0" w:rsidRDefault="00513DF0">
                          <w:pPr>
                            <w:tabs>
                              <w:tab w:val="left" w:pos="0"/>
                              <w:tab w:val="center" w:pos="4524"/>
                              <w:tab w:val="left" w:pos="5040"/>
                            </w:tabs>
                            <w:suppressAutoHyphens/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</w:pP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tab/>
                          </w: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noBreakHyphen/>
                          </w: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fldChar w:fldCharType="separate"/>
                          </w:r>
                          <w:r w:rsidR="00FC5657">
                            <w:rPr>
                              <w:rFonts w:ascii="CG Times" w:hAnsi="CG Times"/>
                              <w:noProof/>
                              <w:sz w:val="24"/>
                              <w:lang w:val="nl-NL"/>
                            </w:rPr>
                            <w:t>11</w:t>
                          </w: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fldChar w:fldCharType="end"/>
                          </w:r>
                          <w:r>
                            <w:rPr>
                              <w:rFonts w:ascii="CG Times" w:hAnsi="CG Times"/>
                              <w:sz w:val="24"/>
                              <w:lang w:val="nl-NL"/>
                            </w:rPr>
                            <w:noBreakHyphen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40F5D" id="Rectangle 6" o:spid="_x0000_s1026" style="position:absolute;left:0;text-align:left;margin-left:825.5pt;margin-top:0;width:395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" o:allowincell="f" filled="f" stroked="f" strokeweight="0">
              <v:textbox inset="0,0,0,0">
                <w:txbxContent>
                  <w:p w14:paraId="716B1BA4" w14:textId="0F0A8710" w:rsidR="00513DF0" w:rsidRDefault="00513DF0">
                    <w:pPr>
                      <w:tabs>
                        <w:tab w:val="left" w:pos="0"/>
                        <w:tab w:val="center" w:pos="4524"/>
                        <w:tab w:val="left" w:pos="5040"/>
                      </w:tabs>
                      <w:suppressAutoHyphens/>
                      <w:rPr>
                        <w:rFonts w:ascii="CG Times" w:hAnsi="CG Times"/>
                        <w:sz w:val="24"/>
                        <w:lang w:val="nl-NL"/>
                      </w:rPr>
                    </w:pP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tab/>
                    </w: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noBreakHyphen/>
                    </w: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fldChar w:fldCharType="begin"/>
                    </w: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instrText>page \* arabic</w:instrText>
                    </w: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fldChar w:fldCharType="separate"/>
                    </w:r>
                    <w:r w:rsidR="00FC5657">
                      <w:rPr>
                        <w:rFonts w:ascii="CG Times" w:hAnsi="CG Times"/>
                        <w:noProof/>
                        <w:sz w:val="24"/>
                        <w:lang w:val="nl-NL"/>
                      </w:rPr>
                      <w:t>11</w:t>
                    </w: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fldChar w:fldCharType="end"/>
                    </w:r>
                    <w:r>
                      <w:rPr>
                        <w:rFonts w:ascii="CG Times" w:hAnsi="CG Times"/>
                        <w:sz w:val="24"/>
                        <w:lang w:val="nl-NL"/>
                      </w:rPr>
                      <w:noBreakHyphen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1EF6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0DB4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61DD8-47B4-4FA1-A3E6-DE0073A6036A}"/>
</file>

<file path=customXml/itemProps3.xml><?xml version="1.0" encoding="utf-8"?>
<ds:datastoreItem xmlns:ds="http://schemas.openxmlformats.org/officeDocument/2006/customXml" ds:itemID="{B0428DF6-136C-4471-88D9-50AD7F039362}"/>
</file>

<file path=customXml/itemProps4.xml><?xml version="1.0" encoding="utf-8"?>
<ds:datastoreItem xmlns:ds="http://schemas.openxmlformats.org/officeDocument/2006/customXml" ds:itemID="{E0625875-A2B3-4332-8971-6DA55292E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2001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I.2. : MyCareNet - Service Accords Médecins Conseils - Médicaments Chapitre IV</dc:title>
  <dc:creator>bd2341</dc:creator>
  <cp:lastModifiedBy>Blandine Divry (RIZIV-INAMI)</cp:lastModifiedBy>
  <cp:revision>4</cp:revision>
  <cp:lastPrinted>2021-08-30T13:50:00Z</cp:lastPrinted>
  <dcterms:created xsi:type="dcterms:W3CDTF">2022-06-09T09:23:00Z</dcterms:created>
  <dcterms:modified xsi:type="dcterms:W3CDTF">2022-07-01T07:15:00Z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