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04D3" w14:textId="19A61787" w:rsidR="0069300C" w:rsidRPr="00044B6E" w:rsidRDefault="00044B6E" w:rsidP="00044B6E">
      <w:pPr>
        <w:spacing w:after="200" w:line="276" w:lineRule="auto"/>
        <w:ind w:left="1985" w:hanging="2124"/>
        <w:rPr>
          <w:rFonts w:ascii="Arial" w:eastAsia="SimSun" w:hAnsi="Arial" w:cs="Arial"/>
          <w:strike/>
          <w:lang w:val="fr-BE" w:eastAsia="zh-CN"/>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sidR="0069300C" w:rsidRPr="00390278">
        <w:rPr>
          <w:rFonts w:ascii="Arial" w:eastAsia="SimSun" w:hAnsi="Arial" w:cs="Arial"/>
          <w:lang w:val="fr-BE" w:eastAsia="zh-CN"/>
        </w:rPr>
        <w:t>ANNEXE</w:t>
      </w:r>
      <w:r w:rsidR="00BB0322" w:rsidRPr="00390278">
        <w:rPr>
          <w:rFonts w:ascii="Arial" w:eastAsia="SimSun" w:hAnsi="Arial" w:cs="Arial"/>
          <w:lang w:val="fr-BE" w:eastAsia="zh-CN"/>
        </w:rPr>
        <w:t xml:space="preserve"> I</w:t>
      </w:r>
      <w:r w:rsidR="00C95F64" w:rsidRPr="00390278">
        <w:rPr>
          <w:rFonts w:ascii="Arial" w:eastAsia="SimSun" w:hAnsi="Arial" w:cs="Arial"/>
          <w:lang w:val="fr-BE" w:eastAsia="zh-CN"/>
        </w:rPr>
        <w:t>II</w:t>
      </w:r>
      <w:r w:rsidR="00BB0322" w:rsidRPr="00390278">
        <w:rPr>
          <w:rFonts w:ascii="Arial" w:eastAsia="SimSun" w:hAnsi="Arial" w:cs="Arial"/>
          <w:lang w:val="fr-BE" w:eastAsia="zh-CN"/>
        </w:rPr>
        <w:t>.</w:t>
      </w:r>
    </w:p>
    <w:p w14:paraId="405ED2CB" w14:textId="77777777" w:rsidR="0069300C" w:rsidRPr="007F02D7" w:rsidRDefault="0069300C"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7F02D7">
        <w:rPr>
          <w:rFonts w:asciiTheme="minorHAnsi" w:eastAsia="SimSun" w:hAnsiTheme="minorHAnsi" w:cstheme="minorHAnsi"/>
          <w:b/>
          <w:sz w:val="24"/>
          <w:szCs w:val="24"/>
          <w:lang w:val="fr-BE" w:eastAsia="zh-CN"/>
        </w:rPr>
        <w:t>Document 1:</w:t>
      </w:r>
      <w:r w:rsidR="00A90018" w:rsidRPr="007F02D7">
        <w:rPr>
          <w:rFonts w:asciiTheme="minorHAnsi" w:eastAsia="SimSun" w:hAnsiTheme="minorHAnsi" w:cstheme="minorHAnsi"/>
          <w:b/>
          <w:sz w:val="24"/>
          <w:szCs w:val="24"/>
          <w:lang w:val="fr-BE" w:eastAsia="zh-CN"/>
        </w:rPr>
        <w:tab/>
      </w:r>
      <w:r w:rsidRPr="007F02D7">
        <w:rPr>
          <w:rFonts w:asciiTheme="minorHAnsi" w:eastAsia="SimSun" w:hAnsiTheme="minorHAnsi" w:cstheme="minorHAnsi"/>
          <w:b/>
          <w:sz w:val="24"/>
          <w:szCs w:val="24"/>
          <w:lang w:val="fr-BE" w:eastAsia="zh-CN"/>
        </w:rPr>
        <w:t>Description projet  «  Entretien d’accompagnement Bon usage des médicaments »</w:t>
      </w:r>
    </w:p>
    <w:p w14:paraId="10C97BCF" w14:textId="77777777" w:rsidR="0069300C" w:rsidRPr="007F02D7" w:rsidRDefault="0069300C" w:rsidP="008318F2">
      <w:pPr>
        <w:numPr>
          <w:ilvl w:val="0"/>
          <w:numId w:val="30"/>
        </w:numPr>
        <w:tabs>
          <w:tab w:val="left" w:pos="7513"/>
        </w:tabs>
        <w:spacing w:after="200" w:line="276" w:lineRule="auto"/>
        <w:jc w:val="both"/>
        <w:rPr>
          <w:rFonts w:ascii="Arial" w:eastAsia="Verdana" w:hAnsi="Arial" w:cs="Arial"/>
          <w:b/>
          <w:lang w:val="fr-BE"/>
        </w:rPr>
      </w:pPr>
      <w:r w:rsidRPr="007F02D7">
        <w:rPr>
          <w:rFonts w:ascii="Arial" w:eastAsia="Verdana" w:hAnsi="Arial" w:cs="Arial"/>
          <w:b/>
          <w:lang w:val="fr-BE"/>
        </w:rPr>
        <w:t>Description générale de la prestation :</w:t>
      </w:r>
    </w:p>
    <w:p w14:paraId="1C9F614F" w14:textId="77777777" w:rsidR="0069300C" w:rsidRPr="007F02D7" w:rsidRDefault="0069300C" w:rsidP="0069300C">
      <w:pPr>
        <w:spacing w:after="120" w:line="276" w:lineRule="auto"/>
        <w:ind w:left="720"/>
        <w:jc w:val="both"/>
        <w:rPr>
          <w:rFonts w:ascii="Arial" w:eastAsia="Verdana" w:hAnsi="Arial" w:cs="Arial"/>
          <w:lang w:val="fr-BE"/>
        </w:rPr>
      </w:pPr>
      <w:r w:rsidRPr="007F02D7">
        <w:rPr>
          <w:rFonts w:ascii="Arial" w:eastAsia="Verdana" w:hAnsi="Arial" w:cs="Arial"/>
          <w:lang w:val="fr-BE"/>
        </w:rPr>
        <w:t>La prestation “</w:t>
      </w:r>
      <w:r w:rsidRPr="007F02D7">
        <w:rPr>
          <w:rFonts w:ascii="Arial" w:eastAsia="Verdana" w:hAnsi="Arial" w:cs="Arial"/>
          <w:i/>
          <w:lang w:val="fr-BE"/>
        </w:rPr>
        <w:t>entretien d’accompagnement de bon usage des médicaments</w:t>
      </w:r>
      <w:r w:rsidRPr="007F02D7" w:rsidDel="00F74915">
        <w:rPr>
          <w:rFonts w:ascii="Arial" w:eastAsia="Verdana" w:hAnsi="Arial" w:cs="Arial"/>
          <w:i/>
          <w:lang w:val="fr-BE"/>
        </w:rPr>
        <w:t xml:space="preserve"> </w:t>
      </w:r>
      <w:r w:rsidRPr="007F02D7">
        <w:rPr>
          <w:rFonts w:ascii="Arial" w:eastAsia="Verdana" w:hAnsi="Arial" w:cs="Arial"/>
          <w:lang w:val="fr-BE"/>
        </w:rPr>
        <w:t>” est une concrétisation du Suivi des Soins Pharmaceutiques, un concept essentiellement centré sur le patient.et défini dans l’Arrêté Royal du 21 janvier 2009 portant instructions pour les pharmaciens. Il s’inscrit dans le cadre de la collaboration médico-pharmaceutique au profit de l’observance des traitements médicamenteux prescrits ainsi que dans la concertation multidisciplinaire.</w:t>
      </w:r>
    </w:p>
    <w:p w14:paraId="2964D484"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w:t>
      </w:r>
      <w:r w:rsidRPr="007F02D7">
        <w:rPr>
          <w:rFonts w:ascii="Arial" w:eastAsia="Verdana" w:hAnsi="Arial" w:cs="Arial"/>
          <w:i/>
          <w:lang w:val="fr-BE"/>
        </w:rPr>
        <w:t>entretien d’accompagnement de nouvelle médication (ENM)</w:t>
      </w:r>
      <w:r w:rsidRPr="007F02D7">
        <w:rPr>
          <w:rFonts w:ascii="Arial" w:eastAsia="Verdana" w:hAnsi="Arial" w:cs="Arial"/>
          <w:lang w:val="fr-BE"/>
        </w:rPr>
        <w:t>” a été modifiée en « Entretien d’accompagnement de bon usage des médicaments » (BUM) sur base des conclusions de l'évaluation menée par l'Université d'Anvers, sous l'égide d'un Conseil consultatif interuniversitaire.  Former les pharmaciens, informer les patients et les médecins, encourager la concertation et la communication entre</w:t>
      </w:r>
      <w:r w:rsidRPr="007F02D7" w:rsidDel="00237000">
        <w:rPr>
          <w:rFonts w:ascii="Arial" w:eastAsia="Verdana" w:hAnsi="Arial" w:cs="Arial"/>
          <w:lang w:val="fr-BE"/>
        </w:rPr>
        <w:t xml:space="preserve"> </w:t>
      </w:r>
      <w:r w:rsidRPr="007F02D7">
        <w:rPr>
          <w:rFonts w:ascii="Arial" w:eastAsia="Verdana" w:hAnsi="Arial" w:cs="Arial"/>
          <w:lang w:val="fr-BE"/>
        </w:rPr>
        <w:t>les pharmaciens et les médecins, suivre de façon continue le projet, sont autant de mesures qui ont été prises pour répondre aux recommandations émanant du rapport d’évaluation (</w:t>
      </w:r>
      <w:proofErr w:type="spellStart"/>
      <w:r w:rsidRPr="007F02D7">
        <w:rPr>
          <w:rFonts w:ascii="Arial" w:eastAsia="Verdana" w:hAnsi="Arial" w:cs="Arial"/>
          <w:lang w:val="fr-BE"/>
        </w:rPr>
        <w:t>cf</w:t>
      </w:r>
      <w:proofErr w:type="spellEnd"/>
      <w:r w:rsidRPr="007F02D7">
        <w:rPr>
          <w:rFonts w:ascii="Arial" w:eastAsia="Verdana" w:hAnsi="Arial" w:cs="Arial"/>
          <w:lang w:val="fr-BE"/>
        </w:rPr>
        <w:t xml:space="preserve"> aussi plus loin les points 9 et 10).</w:t>
      </w:r>
    </w:p>
    <w:p w14:paraId="1C398401"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 Entretien d’accompagnement de bon usage des médicaments » comprend la dispensation structurée et documentée d’informations et l’analyse des attentes et expériences du patient</w:t>
      </w:r>
    </w:p>
    <w:p w14:paraId="6589C8BE" w14:textId="77777777" w:rsidR="0069300C" w:rsidRPr="007F02D7" w:rsidRDefault="0069300C" w:rsidP="008318F2">
      <w:pPr>
        <w:numPr>
          <w:ilvl w:val="0"/>
          <w:numId w:val="27"/>
        </w:numPr>
        <w:spacing w:after="200" w:line="276" w:lineRule="auto"/>
        <w:jc w:val="both"/>
        <w:rPr>
          <w:rFonts w:ascii="Arial" w:eastAsia="Verdana" w:hAnsi="Arial" w:cs="Arial"/>
          <w:lang w:val="fr-BE"/>
        </w:rPr>
      </w:pPr>
      <w:r w:rsidRPr="007F02D7">
        <w:rPr>
          <w:rFonts w:ascii="Arial" w:eastAsia="Verdana" w:hAnsi="Arial" w:cs="Arial"/>
          <w:lang w:val="fr-BE"/>
        </w:rPr>
        <w:t>lors de l’initiation d’une nouvelle thérapie médicamenteuse pour le traitement d’une affection chronique ou pour une modification de classe pharmacologique dans le cadre d’une affection chronique existante ou</w:t>
      </w:r>
    </w:p>
    <w:p w14:paraId="71E70B92" w14:textId="77777777" w:rsidR="0069300C" w:rsidRPr="007F02D7" w:rsidRDefault="0069300C" w:rsidP="008318F2">
      <w:pPr>
        <w:numPr>
          <w:ilvl w:val="0"/>
          <w:numId w:val="27"/>
        </w:numPr>
        <w:spacing w:after="200" w:line="276" w:lineRule="auto"/>
        <w:jc w:val="both"/>
        <w:rPr>
          <w:rFonts w:ascii="Arial" w:eastAsia="Verdana" w:hAnsi="Arial" w:cs="Arial"/>
          <w:lang w:val="fr-BE"/>
        </w:rPr>
      </w:pPr>
      <w:r w:rsidRPr="007F02D7">
        <w:rPr>
          <w:rFonts w:ascii="Arial" w:eastAsia="Verdana" w:hAnsi="Arial" w:cs="Arial"/>
          <w:lang w:val="fr-BE"/>
        </w:rPr>
        <w:t>lorsque le patient au cours du traitement de son affection chronique a besoin d’un accompagnement complémentaire personnalisé ou</w:t>
      </w:r>
    </w:p>
    <w:p w14:paraId="47B3C51E" w14:textId="77777777" w:rsidR="0069300C" w:rsidRPr="007F02D7" w:rsidRDefault="0069300C" w:rsidP="008318F2">
      <w:pPr>
        <w:numPr>
          <w:ilvl w:val="0"/>
          <w:numId w:val="27"/>
        </w:numPr>
        <w:spacing w:after="200" w:line="276" w:lineRule="auto"/>
        <w:jc w:val="both"/>
        <w:rPr>
          <w:rFonts w:ascii="Arial" w:eastAsia="Verdana" w:hAnsi="Arial" w:cs="Arial"/>
          <w:lang w:val="fr-BE"/>
        </w:rPr>
      </w:pPr>
      <w:r w:rsidRPr="007F02D7">
        <w:rPr>
          <w:rFonts w:ascii="Arial" w:eastAsia="Verdana" w:hAnsi="Arial" w:cs="Arial"/>
          <w:lang w:val="fr-BE"/>
        </w:rPr>
        <w:t xml:space="preserve">lors de la délivrance d’une médication aigue qui nécessite un suivi particulier. </w:t>
      </w:r>
    </w:p>
    <w:p w14:paraId="569DEB16"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Lors d’un premier entretien d’information, les points suivants sont abordés: effet du médicament et place dans la thérapie, importance de l’usage correct et d’une bonne adhérence au traitement, motivation du patient pour une thérapie de longue durée. Cet entretien peut être complété en fonction des groupes cibles  par un/des entretien(s) de suivi.</w:t>
      </w:r>
    </w:p>
    <w:p w14:paraId="03508702" w14:textId="77777777" w:rsidR="0069300C" w:rsidRPr="007F02D7" w:rsidRDefault="0069300C" w:rsidP="0069300C">
      <w:pPr>
        <w:spacing w:after="200" w:line="276" w:lineRule="auto"/>
        <w:ind w:left="720"/>
        <w:jc w:val="both"/>
        <w:rPr>
          <w:rFonts w:ascii="Arial" w:eastAsia="Verdana" w:hAnsi="Arial" w:cs="Arial"/>
          <w:lang w:val="fr-BE"/>
        </w:rPr>
      </w:pPr>
    </w:p>
    <w:p w14:paraId="43580D4D" w14:textId="77777777" w:rsidR="0069300C" w:rsidRPr="007F02D7" w:rsidRDefault="0069300C" w:rsidP="008318F2">
      <w:pPr>
        <w:numPr>
          <w:ilvl w:val="0"/>
          <w:numId w:val="30"/>
        </w:numPr>
        <w:spacing w:after="200" w:line="276" w:lineRule="auto"/>
        <w:rPr>
          <w:rFonts w:ascii="Arial" w:eastAsia="Verdana" w:hAnsi="Arial" w:cs="Arial"/>
          <w:b/>
          <w:lang w:val="fr-BE"/>
        </w:rPr>
      </w:pPr>
      <w:r w:rsidRPr="007F02D7">
        <w:rPr>
          <w:rFonts w:ascii="Arial" w:eastAsia="Verdana" w:hAnsi="Arial" w:cs="Arial"/>
          <w:b/>
          <w:lang w:val="fr-BE"/>
        </w:rPr>
        <w:t>Conditions générales de la prestation:</w:t>
      </w:r>
    </w:p>
    <w:p w14:paraId="240317F2"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Cette prestation est applicable à des patients avec une affection chronique</w:t>
      </w:r>
    </w:p>
    <w:p w14:paraId="25BA68A5" w14:textId="77777777" w:rsidR="0069300C" w:rsidRPr="007F02D7" w:rsidRDefault="0069300C" w:rsidP="008318F2">
      <w:pPr>
        <w:numPr>
          <w:ilvl w:val="0"/>
          <w:numId w:val="28"/>
        </w:numPr>
        <w:spacing w:after="200" w:line="276" w:lineRule="auto"/>
        <w:jc w:val="both"/>
        <w:rPr>
          <w:rFonts w:ascii="Arial" w:eastAsia="Verdana" w:hAnsi="Arial" w:cs="Arial"/>
          <w:lang w:val="fr-BE"/>
        </w:rPr>
      </w:pPr>
      <w:r w:rsidRPr="007F02D7">
        <w:rPr>
          <w:rFonts w:ascii="Arial" w:eastAsia="Verdana" w:hAnsi="Arial" w:cs="Arial"/>
          <w:lang w:val="fr-BE"/>
        </w:rPr>
        <w:t>lors de l’initiation du traitement ou lors d’une modification de classe pharmacologique dans le cadre d’une affection chronique existante ou</w:t>
      </w:r>
    </w:p>
    <w:p w14:paraId="7B4D5196" w14:textId="77777777" w:rsidR="0069300C" w:rsidRPr="007F02D7" w:rsidRDefault="0069300C" w:rsidP="008318F2">
      <w:pPr>
        <w:numPr>
          <w:ilvl w:val="0"/>
          <w:numId w:val="28"/>
        </w:numPr>
        <w:spacing w:after="200" w:line="276" w:lineRule="auto"/>
        <w:jc w:val="both"/>
        <w:rPr>
          <w:rFonts w:ascii="Arial" w:eastAsia="Verdana" w:hAnsi="Arial" w:cs="Arial"/>
          <w:lang w:val="fr-BE"/>
        </w:rPr>
      </w:pPr>
      <w:r w:rsidRPr="007F02D7">
        <w:rPr>
          <w:rFonts w:ascii="Arial" w:eastAsia="Verdana" w:hAnsi="Arial" w:cs="Arial"/>
          <w:lang w:val="fr-BE"/>
        </w:rPr>
        <w:t>lorsque le patient a besoin d’un accompagnement complémentaire personnalisé ou</w:t>
      </w:r>
    </w:p>
    <w:p w14:paraId="603FEAEA" w14:textId="77777777"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Cette prestation est applicable à des patients</w:t>
      </w:r>
    </w:p>
    <w:p w14:paraId="0F2403EE" w14:textId="77777777" w:rsidR="0069300C" w:rsidRPr="007F02D7" w:rsidRDefault="0069300C" w:rsidP="008318F2">
      <w:pPr>
        <w:numPr>
          <w:ilvl w:val="0"/>
          <w:numId w:val="28"/>
        </w:numPr>
        <w:spacing w:after="200" w:line="276" w:lineRule="auto"/>
        <w:jc w:val="both"/>
        <w:rPr>
          <w:rFonts w:ascii="Arial" w:eastAsia="Verdana" w:hAnsi="Arial" w:cs="Arial"/>
          <w:lang w:val="fr-BE"/>
        </w:rPr>
      </w:pPr>
      <w:r w:rsidRPr="007F02D7">
        <w:rPr>
          <w:rFonts w:ascii="Arial" w:eastAsia="Verdana" w:hAnsi="Arial" w:cs="Arial"/>
          <w:lang w:val="fr-BE"/>
        </w:rPr>
        <w:t xml:space="preserve">lors de la délivrance d’une médication aigue qui nécessite un suivi particulier. </w:t>
      </w:r>
    </w:p>
    <w:p w14:paraId="73B76AAB" w14:textId="77777777" w:rsidR="005E3D93" w:rsidRPr="007F02D7" w:rsidRDefault="005E3D93">
      <w:pPr>
        <w:widowControl/>
        <w:rPr>
          <w:rFonts w:ascii="Arial" w:eastAsia="Verdana" w:hAnsi="Arial" w:cs="Arial"/>
          <w:lang w:val="fr-BE"/>
        </w:rPr>
      </w:pPr>
      <w:r w:rsidRPr="007F02D7">
        <w:rPr>
          <w:rFonts w:ascii="Arial" w:eastAsia="Verdana" w:hAnsi="Arial" w:cs="Arial"/>
          <w:lang w:val="fr-BE"/>
        </w:rPr>
        <w:br w:type="page"/>
      </w:r>
    </w:p>
    <w:p w14:paraId="5E841E93" w14:textId="2CA28399"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0D95E25E"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A19F861" w14:textId="77777777" w:rsidR="00A90018"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 xml:space="preserve">Cette prestation est applicable à des </w:t>
      </w:r>
      <w:r w:rsidRPr="007F02D7">
        <w:rPr>
          <w:rFonts w:ascii="Arial" w:eastAsia="Verdana" w:hAnsi="Arial" w:cs="Arial"/>
          <w:b/>
          <w:lang w:val="fr-BE"/>
        </w:rPr>
        <w:t>groupes cibles</w:t>
      </w:r>
      <w:r w:rsidRPr="007F02D7">
        <w:rPr>
          <w:rFonts w:ascii="Arial" w:eastAsia="Verdana" w:hAnsi="Arial" w:cs="Arial"/>
          <w:lang w:val="fr-BE"/>
        </w:rPr>
        <w:t xml:space="preserve"> spécifiques, plus particulièrement à des patients atteints d’affection chronique et à des patients qui utilisent des médicaments appartenant à des classes pharmacologiques bien définies.</w:t>
      </w:r>
    </w:p>
    <w:p w14:paraId="615A7EF9"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 xml:space="preserve">Cette prestation est initiée </w:t>
      </w:r>
      <w:r w:rsidRPr="007F02D7">
        <w:rPr>
          <w:rFonts w:ascii="Arial" w:eastAsia="Verdana" w:hAnsi="Arial" w:cs="Arial"/>
          <w:b/>
          <w:lang w:val="fr-BE"/>
        </w:rPr>
        <w:t>soit par le pharmacien, soit sur prescription du médecin ou à la demande du patient</w:t>
      </w:r>
      <w:r w:rsidRPr="007F02D7">
        <w:rPr>
          <w:rFonts w:ascii="Arial" w:eastAsia="Verdana" w:hAnsi="Arial" w:cs="Arial"/>
          <w:lang w:val="fr-BE"/>
        </w:rPr>
        <w:t xml:space="preserve"> et est réservée aux patients de la pharmacie qui ont consenti de manière informée et écrite à la création d’un dossier de suivi des soins pharmaceutiques dans la pharmacie.</w:t>
      </w:r>
    </w:p>
    <w:p w14:paraId="67C5F936"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Cette prestation est exécutée par </w:t>
      </w:r>
      <w:r w:rsidRPr="007F02D7">
        <w:rPr>
          <w:rFonts w:ascii="Arial" w:eastAsia="Verdana" w:hAnsi="Arial" w:cs="Arial"/>
          <w:b/>
          <w:lang w:val="fr-BE"/>
        </w:rPr>
        <w:t>un(e) pharmacien(ne)</w:t>
      </w:r>
      <w:r w:rsidRPr="007F02D7">
        <w:rPr>
          <w:rFonts w:ascii="Arial" w:eastAsia="Verdana" w:hAnsi="Arial" w:cs="Arial"/>
          <w:lang w:val="fr-BE"/>
        </w:rPr>
        <w:t xml:space="preserve"> dans un endroit adapté de l’officine dans le respect de la confidentialité et de la discrétion de l’entretien.</w:t>
      </w:r>
    </w:p>
    <w:p w14:paraId="30F675E5"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Cette prestation est soutenue par un </w:t>
      </w:r>
      <w:r w:rsidRPr="007F02D7">
        <w:rPr>
          <w:rFonts w:ascii="Arial" w:eastAsia="Verdana" w:hAnsi="Arial" w:cs="Arial"/>
          <w:b/>
          <w:lang w:val="fr-BE"/>
        </w:rPr>
        <w:t>honoraire spécifique</w:t>
      </w:r>
      <w:r w:rsidRPr="007F02D7">
        <w:rPr>
          <w:rFonts w:ascii="Arial" w:eastAsia="Verdana" w:hAnsi="Arial" w:cs="Arial"/>
          <w:lang w:val="fr-BE"/>
        </w:rPr>
        <w:t xml:space="preserve"> à déterminer par classe pharmacologique.</w:t>
      </w:r>
    </w:p>
    <w:p w14:paraId="7A158D88" w14:textId="77777777" w:rsidR="0069300C" w:rsidRPr="007F02D7" w:rsidRDefault="0069300C" w:rsidP="0069300C">
      <w:pPr>
        <w:spacing w:after="200" w:line="276" w:lineRule="auto"/>
        <w:ind w:left="720"/>
        <w:rPr>
          <w:rFonts w:ascii="Arial" w:eastAsia="Verdana" w:hAnsi="Arial" w:cs="Arial"/>
          <w:lang w:val="fr-BE"/>
        </w:rPr>
      </w:pPr>
      <w:r w:rsidRPr="007F02D7">
        <w:rPr>
          <w:rFonts w:ascii="Arial" w:eastAsia="Verdana" w:hAnsi="Arial" w:cs="Arial"/>
          <w:lang w:val="fr-BE"/>
        </w:rPr>
        <w:t xml:space="preserve">La prestation est opposable, vérifiable et mesurable. Une </w:t>
      </w:r>
      <w:r w:rsidRPr="007F02D7">
        <w:rPr>
          <w:rFonts w:ascii="Arial" w:eastAsia="Verdana" w:hAnsi="Arial" w:cs="Arial"/>
          <w:b/>
          <w:lang w:val="fr-BE"/>
        </w:rPr>
        <w:t>évaluation</w:t>
      </w:r>
      <w:r w:rsidRPr="007F02D7">
        <w:rPr>
          <w:rFonts w:ascii="Arial" w:eastAsia="Verdana" w:hAnsi="Arial" w:cs="Arial"/>
          <w:lang w:val="fr-BE"/>
        </w:rPr>
        <w:t xml:space="preserve"> aura lieu sur base d’indicateurs de mesures et de qualité.</w:t>
      </w:r>
    </w:p>
    <w:p w14:paraId="27E39537"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Groupe cible Entretien d’accompagnement pour un Bon usage des médicaments : corticoïdes inhalés »</w:t>
      </w:r>
    </w:p>
    <w:p w14:paraId="60E02DBA" w14:textId="77777777" w:rsidR="0069300C" w:rsidRPr="007F02D7" w:rsidRDefault="0069300C" w:rsidP="008318F2">
      <w:pPr>
        <w:numPr>
          <w:ilvl w:val="1"/>
          <w:numId w:val="30"/>
        </w:numPr>
        <w:spacing w:after="200" w:line="276" w:lineRule="auto"/>
        <w:ind w:right="-35"/>
        <w:jc w:val="both"/>
        <w:rPr>
          <w:rFonts w:ascii="Arial" w:eastAsia="Verdana" w:hAnsi="Arial" w:cs="Arial"/>
          <w:lang w:val="fr-BE"/>
        </w:rPr>
      </w:pPr>
      <w:r w:rsidRPr="007F02D7">
        <w:rPr>
          <w:rFonts w:ascii="Arial" w:eastAsia="Verdana" w:hAnsi="Arial" w:cs="Arial"/>
          <w:lang w:val="fr-BE"/>
        </w:rPr>
        <w:t>Choix de la thérapie chronique: Asthme</w:t>
      </w:r>
    </w:p>
    <w:p w14:paraId="1347351B" w14:textId="77777777" w:rsidR="0069300C" w:rsidRPr="007F02D7" w:rsidRDefault="0069300C" w:rsidP="008318F2">
      <w:pPr>
        <w:numPr>
          <w:ilvl w:val="1"/>
          <w:numId w:val="30"/>
        </w:numPr>
        <w:spacing w:after="200" w:line="276" w:lineRule="auto"/>
        <w:ind w:right="-35"/>
        <w:jc w:val="both"/>
        <w:rPr>
          <w:rFonts w:ascii="Arial" w:eastAsia="Verdana" w:hAnsi="Arial" w:cs="Arial"/>
          <w:lang w:val="nl-NL"/>
        </w:rPr>
      </w:pPr>
      <w:proofErr w:type="spellStart"/>
      <w:r w:rsidRPr="007F02D7">
        <w:rPr>
          <w:rFonts w:ascii="Arial" w:eastAsia="Verdana" w:hAnsi="Arial" w:cs="Arial"/>
          <w:lang w:val="nl-NL"/>
        </w:rPr>
        <w:t>Choix</w:t>
      </w:r>
      <w:proofErr w:type="spellEnd"/>
      <w:r w:rsidRPr="007F02D7">
        <w:rPr>
          <w:rFonts w:ascii="Arial" w:eastAsia="Verdana" w:hAnsi="Arial" w:cs="Arial"/>
          <w:lang w:val="nl-NL"/>
        </w:rPr>
        <w:t xml:space="preserve"> des </w:t>
      </w:r>
      <w:proofErr w:type="spellStart"/>
      <w:r w:rsidRPr="007F02D7">
        <w:rPr>
          <w:rFonts w:ascii="Arial" w:eastAsia="Verdana" w:hAnsi="Arial" w:cs="Arial"/>
          <w:lang w:val="nl-NL"/>
        </w:rPr>
        <w:t>médicaments</w:t>
      </w:r>
      <w:proofErr w:type="spellEnd"/>
    </w:p>
    <w:p w14:paraId="2DCCFBF1" w14:textId="77777777" w:rsidR="0069300C" w:rsidRPr="007F02D7" w:rsidRDefault="0069300C" w:rsidP="008318F2">
      <w:pPr>
        <w:numPr>
          <w:ilvl w:val="2"/>
          <w:numId w:val="30"/>
        </w:numPr>
        <w:spacing w:after="200" w:line="276" w:lineRule="auto"/>
        <w:ind w:right="-35"/>
        <w:jc w:val="both"/>
        <w:rPr>
          <w:rFonts w:ascii="Arial" w:eastAsia="Verdana" w:hAnsi="Arial" w:cs="Arial"/>
          <w:lang w:val="nl-NL"/>
        </w:rPr>
      </w:pPr>
      <w:proofErr w:type="spellStart"/>
      <w:r w:rsidRPr="007F02D7">
        <w:rPr>
          <w:rFonts w:ascii="Arial" w:eastAsia="Verdana" w:hAnsi="Arial" w:cs="Arial"/>
          <w:lang w:val="nl-NL"/>
        </w:rPr>
        <w:t>Uniquement</w:t>
      </w:r>
      <w:proofErr w:type="spellEnd"/>
      <w:r w:rsidRPr="007F02D7">
        <w:rPr>
          <w:rFonts w:ascii="Arial" w:eastAsia="Verdana" w:hAnsi="Arial" w:cs="Arial"/>
          <w:lang w:val="nl-NL"/>
        </w:rPr>
        <w:t xml:space="preserve"> des </w:t>
      </w:r>
      <w:proofErr w:type="spellStart"/>
      <w:r w:rsidRPr="007F02D7">
        <w:rPr>
          <w:rFonts w:ascii="Arial" w:eastAsia="Verdana" w:hAnsi="Arial" w:cs="Arial"/>
          <w:lang w:val="nl-NL"/>
        </w:rPr>
        <w:t>médicaments</w:t>
      </w:r>
      <w:proofErr w:type="spellEnd"/>
      <w:r w:rsidRPr="007F02D7">
        <w:rPr>
          <w:rFonts w:ascii="Arial" w:eastAsia="Verdana" w:hAnsi="Arial" w:cs="Arial"/>
          <w:lang w:val="nl-NL"/>
        </w:rPr>
        <w:t xml:space="preserve"> </w:t>
      </w:r>
      <w:proofErr w:type="spellStart"/>
      <w:r w:rsidRPr="007F02D7">
        <w:rPr>
          <w:rFonts w:ascii="Arial" w:eastAsia="Verdana" w:hAnsi="Arial" w:cs="Arial"/>
          <w:lang w:val="nl-NL"/>
        </w:rPr>
        <w:t>remboursables</w:t>
      </w:r>
      <w:proofErr w:type="spellEnd"/>
    </w:p>
    <w:p w14:paraId="2BEA09B2" w14:textId="77777777" w:rsidR="0069300C" w:rsidRPr="007F02D7" w:rsidRDefault="0069300C" w:rsidP="008318F2">
      <w:pPr>
        <w:numPr>
          <w:ilvl w:val="2"/>
          <w:numId w:val="30"/>
        </w:numPr>
        <w:spacing w:after="200" w:line="276" w:lineRule="auto"/>
        <w:ind w:right="-35"/>
        <w:rPr>
          <w:rFonts w:ascii="Arial" w:eastAsia="Verdana" w:hAnsi="Arial" w:cs="Arial"/>
          <w:lang w:val="fr-BE"/>
        </w:rPr>
      </w:pPr>
      <w:proofErr w:type="spellStart"/>
      <w:r w:rsidRPr="007F02D7">
        <w:rPr>
          <w:rFonts w:ascii="Arial" w:eastAsia="Verdana" w:hAnsi="Arial" w:cs="Arial"/>
          <w:lang w:val="fr-BE"/>
        </w:rPr>
        <w:t>Monopréparations</w:t>
      </w:r>
      <w:proofErr w:type="spellEnd"/>
      <w:r w:rsidRPr="007F02D7">
        <w:rPr>
          <w:rFonts w:ascii="Arial" w:eastAsia="Verdana" w:hAnsi="Arial" w:cs="Arial"/>
          <w:lang w:val="fr-BE"/>
        </w:rPr>
        <w:t xml:space="preserve"> (corticoïdes inhalés, classe ATC : R03BA) et préparations combinées (corticoïdes/ sympathomimétiques en inhalation, classe ATC : R03AK limitée aux </w:t>
      </w:r>
      <w:proofErr w:type="spellStart"/>
      <w:r w:rsidRPr="007F02D7">
        <w:rPr>
          <w:rFonts w:ascii="Arial" w:eastAsia="Verdana" w:hAnsi="Arial" w:cs="Arial"/>
          <w:lang w:val="fr-BE"/>
        </w:rPr>
        <w:t>bêta-stimulants</w:t>
      </w:r>
      <w:proofErr w:type="spellEnd"/>
      <w:r w:rsidRPr="007F02D7">
        <w:rPr>
          <w:rFonts w:ascii="Arial" w:eastAsia="Verdana" w:hAnsi="Arial" w:cs="Arial"/>
          <w:lang w:val="fr-BE"/>
        </w:rPr>
        <w:t xml:space="preserve"> à action longue) : </w:t>
      </w:r>
      <w:proofErr w:type="spellStart"/>
      <w:r w:rsidRPr="007F02D7">
        <w:rPr>
          <w:rFonts w:ascii="Arial" w:eastAsia="Verdana" w:hAnsi="Arial" w:cs="Arial"/>
          <w:b/>
          <w:lang w:val="fr-BE"/>
        </w:rPr>
        <w:t>dipropionate</w:t>
      </w:r>
      <w:proofErr w:type="spellEnd"/>
      <w:r w:rsidRPr="007F02D7">
        <w:rPr>
          <w:rFonts w:ascii="Arial" w:eastAsia="Verdana" w:hAnsi="Arial" w:cs="Arial"/>
          <w:b/>
          <w:lang w:val="fr-BE"/>
        </w:rPr>
        <w:t xml:space="preserve"> de </w:t>
      </w:r>
      <w:proofErr w:type="spellStart"/>
      <w:r w:rsidRPr="007F02D7">
        <w:rPr>
          <w:rFonts w:ascii="Arial" w:eastAsia="Verdana" w:hAnsi="Arial" w:cs="Arial"/>
          <w:b/>
          <w:lang w:val="fr-BE"/>
        </w:rPr>
        <w:t>béclométasone</w:t>
      </w:r>
      <w:proofErr w:type="spellEnd"/>
      <w:r w:rsidRPr="007F02D7">
        <w:rPr>
          <w:rFonts w:ascii="Arial" w:eastAsia="Verdana" w:hAnsi="Arial" w:cs="Arial"/>
          <w:lang w:val="fr-BE"/>
        </w:rPr>
        <w:t xml:space="preserve">, </w:t>
      </w:r>
      <w:r w:rsidRPr="007F02D7">
        <w:rPr>
          <w:rFonts w:ascii="Arial" w:eastAsia="Verdana" w:hAnsi="Arial" w:cs="Arial"/>
          <w:b/>
          <w:lang w:val="fr-BE"/>
        </w:rPr>
        <w:t>budésonide, fluticasone</w:t>
      </w:r>
    </w:p>
    <w:p w14:paraId="4C82AD88" w14:textId="77777777" w:rsidR="0069300C" w:rsidRPr="007F02D7" w:rsidRDefault="0069300C" w:rsidP="008318F2">
      <w:pPr>
        <w:numPr>
          <w:ilvl w:val="2"/>
          <w:numId w:val="30"/>
        </w:numPr>
        <w:spacing w:after="200" w:line="276" w:lineRule="auto"/>
        <w:ind w:right="-35"/>
        <w:rPr>
          <w:rFonts w:ascii="Arial" w:eastAsia="Verdana" w:hAnsi="Arial" w:cs="Arial"/>
          <w:lang w:val="fr-BE"/>
        </w:rPr>
      </w:pPr>
      <w:r w:rsidRPr="007F02D7">
        <w:rPr>
          <w:rFonts w:ascii="Arial" w:eastAsia="Verdana" w:hAnsi="Arial" w:cs="Arial"/>
          <w:lang w:val="fr-BE"/>
        </w:rPr>
        <w:t>Aérosols doseurs, inhalateurs à poudre sèche</w:t>
      </w:r>
    </w:p>
    <w:p w14:paraId="4C481944"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Structure Entretien d’accompagnement de Bon usage des médicaments : corticoïdes inhalés »(</w:t>
      </w:r>
      <w:proofErr w:type="spellStart"/>
      <w:r w:rsidRPr="007F02D7">
        <w:rPr>
          <w:rFonts w:ascii="Arial" w:eastAsia="Verdana" w:hAnsi="Arial" w:cs="Arial"/>
          <w:b/>
          <w:lang w:val="fr-BE"/>
        </w:rPr>
        <w:t>cfr</w:t>
      </w:r>
      <w:proofErr w:type="spellEnd"/>
      <w:r w:rsidRPr="007F02D7">
        <w:rPr>
          <w:rFonts w:ascii="Arial" w:eastAsia="Verdana" w:hAnsi="Arial" w:cs="Arial"/>
          <w:b/>
          <w:lang w:val="fr-BE"/>
        </w:rPr>
        <w:t xml:space="preserve"> annexe 1 &amp; annexe 2)</w:t>
      </w:r>
    </w:p>
    <w:p w14:paraId="04FE1DE6"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L’accompagnement de bon usage des médicaments « corticoïdes inhalés » consiste pour les nouveaux patients en deux prestations distinctes, respectivement un entretien d’information et un entretien de suivi dans la même pharmacie.  Pour les patients asthmatiques existants qui prennent de façon chronique des corticoïdes inhalés et chez qui l’asthme n’est pas suffisamment sous contrôle, le pharmacien décidera en concertation avec le patient après le premier entretien si un entretien de suivi est nécessaire ( sur base du principe plan-do-</w:t>
      </w:r>
      <w:proofErr w:type="spellStart"/>
      <w:r w:rsidRPr="007F02D7">
        <w:rPr>
          <w:rFonts w:ascii="Arial" w:eastAsia="Verdana" w:hAnsi="Arial" w:cs="Arial"/>
          <w:lang w:val="fr-BE"/>
        </w:rPr>
        <w:t>act</w:t>
      </w:r>
      <w:proofErr w:type="spellEnd"/>
      <w:r w:rsidRPr="007F02D7">
        <w:rPr>
          <w:rFonts w:ascii="Arial" w:eastAsia="Verdana" w:hAnsi="Arial" w:cs="Arial"/>
          <w:lang w:val="fr-BE"/>
        </w:rPr>
        <w:t>-check).</w:t>
      </w:r>
    </w:p>
    <w:p w14:paraId="23CDAC04" w14:textId="77777777" w:rsidR="0069300C" w:rsidRPr="007F02D7" w:rsidRDefault="0069300C" w:rsidP="008318F2">
      <w:pPr>
        <w:numPr>
          <w:ilvl w:val="1"/>
          <w:numId w:val="29"/>
        </w:numPr>
        <w:spacing w:after="200" w:line="276" w:lineRule="auto"/>
        <w:rPr>
          <w:rFonts w:ascii="Arial" w:eastAsia="Verdana" w:hAnsi="Arial" w:cs="Arial"/>
          <w:lang w:val="fr-BE"/>
        </w:rPr>
      </w:pPr>
      <w:r w:rsidRPr="007F02D7">
        <w:rPr>
          <w:rFonts w:ascii="Arial" w:eastAsia="Verdana" w:hAnsi="Arial" w:cs="Arial"/>
          <w:u w:val="single"/>
          <w:lang w:val="fr-BE"/>
        </w:rPr>
        <w:t>Entretien d’information</w:t>
      </w:r>
      <w:r w:rsidRPr="007F02D7">
        <w:rPr>
          <w:rFonts w:ascii="Arial" w:eastAsia="Verdana" w:hAnsi="Arial" w:cs="Arial"/>
          <w:lang w:val="fr-BE"/>
        </w:rPr>
        <w:t xml:space="preserve"> </w:t>
      </w:r>
    </w:p>
    <w:p w14:paraId="244CD66B" w14:textId="77777777" w:rsidR="0069300C" w:rsidRPr="007F02D7" w:rsidRDefault="0069300C" w:rsidP="008318F2">
      <w:pPr>
        <w:numPr>
          <w:ilvl w:val="2"/>
          <w:numId w:val="30"/>
        </w:numPr>
        <w:spacing w:after="200" w:line="276" w:lineRule="auto"/>
        <w:jc w:val="both"/>
        <w:rPr>
          <w:rFonts w:ascii="Arial" w:eastAsia="Verdana" w:hAnsi="Arial" w:cs="Arial"/>
          <w:lang w:val="fr-BE"/>
        </w:rPr>
      </w:pPr>
      <w:r w:rsidRPr="007F02D7">
        <w:rPr>
          <w:rFonts w:ascii="Arial" w:eastAsia="Verdana" w:hAnsi="Arial" w:cs="Arial"/>
          <w:lang w:val="fr-BE"/>
        </w:rPr>
        <w:t>à l’initiation du traitement au cours d’un rendez-vous convenu avec le patient de préférence dans un délai aussi court que possible après la date de la délivrance du nouveau médicament.</w:t>
      </w:r>
    </w:p>
    <w:p w14:paraId="32CA8CDB" w14:textId="77777777" w:rsidR="0069300C" w:rsidRPr="007F02D7" w:rsidRDefault="0069300C" w:rsidP="008318F2">
      <w:pPr>
        <w:numPr>
          <w:ilvl w:val="2"/>
          <w:numId w:val="30"/>
        </w:numPr>
        <w:spacing w:after="200" w:line="276" w:lineRule="auto"/>
        <w:jc w:val="both"/>
        <w:rPr>
          <w:rFonts w:ascii="Arial" w:eastAsia="Verdana" w:hAnsi="Arial" w:cs="Arial"/>
          <w:lang w:val="fr-BE"/>
        </w:rPr>
      </w:pPr>
      <w:r w:rsidRPr="007F02D7">
        <w:rPr>
          <w:rFonts w:ascii="Arial" w:eastAsia="Verdana" w:hAnsi="Arial" w:cs="Arial"/>
          <w:lang w:val="fr-BE"/>
        </w:rPr>
        <w:t>lorsque le patient au cours du traitement de son affection chronique a besoin d’un accompagnement complémentaire personnalisé</w:t>
      </w:r>
    </w:p>
    <w:p w14:paraId="1F8A7A10" w14:textId="77777777" w:rsidR="005E3D93" w:rsidRPr="007F02D7" w:rsidRDefault="005E3D93">
      <w:pPr>
        <w:widowControl/>
        <w:rPr>
          <w:rFonts w:ascii="Arial" w:eastAsia="Verdana" w:hAnsi="Arial" w:cs="Arial"/>
          <w:lang w:val="fr-BE"/>
        </w:rPr>
      </w:pPr>
      <w:r w:rsidRPr="007F02D7">
        <w:rPr>
          <w:rFonts w:ascii="Arial" w:eastAsia="Verdana" w:hAnsi="Arial" w:cs="Arial"/>
          <w:lang w:val="fr-BE"/>
        </w:rPr>
        <w:br w:type="page"/>
      </w:r>
    </w:p>
    <w:p w14:paraId="1E797CC0" w14:textId="09058585"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35B3896C"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3ABCC80" w14:textId="77777777" w:rsidR="0069300C" w:rsidRPr="007F02D7" w:rsidRDefault="0069300C" w:rsidP="0069300C">
      <w:pPr>
        <w:spacing w:after="200" w:line="276" w:lineRule="auto"/>
        <w:ind w:left="720" w:firstLine="696"/>
        <w:jc w:val="both"/>
        <w:rPr>
          <w:rFonts w:ascii="Arial" w:eastAsia="Verdana" w:hAnsi="Arial" w:cs="Arial"/>
          <w:lang w:val="fr-BE"/>
        </w:rPr>
      </w:pPr>
      <w:r w:rsidRPr="007F02D7">
        <w:rPr>
          <w:rFonts w:ascii="Arial" w:eastAsia="Verdana" w:hAnsi="Arial" w:cs="Arial"/>
          <w:lang w:val="fr-BE"/>
        </w:rPr>
        <w:t>4.1.1 Détermine les besoins en information du patient</w:t>
      </w:r>
    </w:p>
    <w:p w14:paraId="30D1234B" w14:textId="77777777" w:rsidR="00A90018" w:rsidRPr="007F02D7" w:rsidRDefault="0069300C" w:rsidP="0069300C">
      <w:pPr>
        <w:spacing w:after="200" w:line="276" w:lineRule="auto"/>
        <w:ind w:left="1985" w:hanging="569"/>
        <w:jc w:val="both"/>
        <w:rPr>
          <w:rFonts w:ascii="Arial" w:eastAsia="Verdana" w:hAnsi="Arial" w:cs="Arial"/>
          <w:lang w:val="fr-BE"/>
        </w:rPr>
      </w:pPr>
      <w:r w:rsidRPr="007F02D7">
        <w:rPr>
          <w:rFonts w:ascii="Arial" w:eastAsia="Verdana" w:hAnsi="Arial" w:cs="Arial"/>
          <w:lang w:val="fr-BE"/>
        </w:rPr>
        <w:t>4.1.2 Transmet de l’information sur mesure au patient concernant l’activité du médicament, sa place dans la thérapie et son usage correct.</w:t>
      </w:r>
    </w:p>
    <w:p w14:paraId="6243B116" w14:textId="77777777" w:rsidR="0069300C" w:rsidRPr="007F02D7" w:rsidRDefault="0069300C" w:rsidP="0069300C">
      <w:pPr>
        <w:spacing w:after="200" w:line="276" w:lineRule="auto"/>
        <w:ind w:left="1985" w:hanging="569"/>
        <w:jc w:val="both"/>
        <w:rPr>
          <w:rFonts w:ascii="Arial" w:eastAsia="Verdana" w:hAnsi="Arial" w:cs="Arial"/>
          <w:lang w:val="fr-BE"/>
        </w:rPr>
      </w:pPr>
      <w:r w:rsidRPr="007F02D7">
        <w:rPr>
          <w:rFonts w:ascii="Arial" w:eastAsia="Verdana" w:hAnsi="Arial" w:cs="Arial"/>
          <w:lang w:val="fr-BE"/>
        </w:rPr>
        <w:t>4.1.3 Motive le patient pour un traitement de longue durée et insiste sur l’importance de l’adhérence thérapeutique.</w:t>
      </w:r>
    </w:p>
    <w:p w14:paraId="59ED85B6" w14:textId="77777777" w:rsidR="0069300C" w:rsidRPr="007F02D7" w:rsidRDefault="0069300C" w:rsidP="0069300C">
      <w:pPr>
        <w:spacing w:after="200" w:line="276" w:lineRule="auto"/>
        <w:ind w:left="720" w:firstLine="696"/>
        <w:jc w:val="both"/>
        <w:rPr>
          <w:rFonts w:ascii="Arial" w:eastAsia="Verdana" w:hAnsi="Arial" w:cs="Arial"/>
          <w:lang w:val="fr-BE"/>
        </w:rPr>
      </w:pPr>
      <w:r w:rsidRPr="007F02D7">
        <w:rPr>
          <w:rFonts w:ascii="Arial" w:eastAsia="Verdana" w:hAnsi="Arial" w:cs="Arial"/>
          <w:lang w:val="fr-BE"/>
        </w:rPr>
        <w:t xml:space="preserve">4.1.4. Prend rendez-vous pour l’entretien de suivi </w:t>
      </w:r>
    </w:p>
    <w:p w14:paraId="082F8677" w14:textId="77777777" w:rsidR="0069300C" w:rsidRPr="007F02D7" w:rsidRDefault="0069300C" w:rsidP="0069300C">
      <w:pPr>
        <w:spacing w:after="200" w:line="276" w:lineRule="auto"/>
        <w:ind w:left="1418" w:hanging="2"/>
        <w:jc w:val="both"/>
        <w:rPr>
          <w:rFonts w:ascii="Arial" w:eastAsia="Arial" w:hAnsi="Arial"/>
          <w:sz w:val="22"/>
          <w:szCs w:val="22"/>
          <w:lang w:val="fr-BE"/>
        </w:rPr>
      </w:pPr>
      <w:r w:rsidRPr="007F02D7">
        <w:rPr>
          <w:rFonts w:ascii="Arial" w:eastAsia="Verdana" w:hAnsi="Arial" w:cs="Arial"/>
          <w:lang w:val="fr-BE"/>
        </w:rPr>
        <w:t>4.1.5. Enregistre les résultats, la prestation et le rendez-vous dans le dossier pharmaceutique.</w:t>
      </w:r>
    </w:p>
    <w:p w14:paraId="22463390" w14:textId="77777777" w:rsidR="0069300C" w:rsidRPr="007F02D7" w:rsidRDefault="0069300C" w:rsidP="008318F2">
      <w:pPr>
        <w:numPr>
          <w:ilvl w:val="1"/>
          <w:numId w:val="29"/>
        </w:numPr>
        <w:spacing w:after="200" w:line="276" w:lineRule="auto"/>
        <w:jc w:val="both"/>
        <w:rPr>
          <w:rFonts w:ascii="Arial" w:eastAsia="Verdana" w:hAnsi="Arial" w:cs="Arial"/>
          <w:lang w:val="fr-BE"/>
        </w:rPr>
      </w:pPr>
      <w:r w:rsidRPr="007F02D7">
        <w:rPr>
          <w:rFonts w:ascii="Arial" w:eastAsia="Verdana" w:hAnsi="Arial" w:cs="Arial"/>
          <w:u w:val="single"/>
          <w:lang w:val="fr-BE"/>
        </w:rPr>
        <w:t>Entretien de suivi</w:t>
      </w:r>
      <w:r w:rsidRPr="007F02D7">
        <w:rPr>
          <w:rFonts w:ascii="Arial" w:eastAsia="Verdana" w:hAnsi="Arial" w:cs="Arial"/>
          <w:lang w:val="fr-BE"/>
        </w:rPr>
        <w:t xml:space="preserve"> lors du renouvellement de la médication ou après rendez-vous convenu avec le patient, de préférence dans une période de 3 à 6 semaines après l’ entretien d’information. Evaluer la nécessité d’un entretien de suivi sur base d’un entretien téléphonique avec le patient, ou lors de la délivrance d’un médicament.</w:t>
      </w:r>
    </w:p>
    <w:p w14:paraId="7A34D4DB" w14:textId="77777777"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Si un entretien de suivi est organisé, les étapes suivantes doivent être effectuées :</w:t>
      </w:r>
    </w:p>
    <w:p w14:paraId="57D6C294"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4.2.1 Analyser l’expérience du patient et discute</w:t>
      </w:r>
      <w:r w:rsidR="00A07A2A" w:rsidRPr="007F02D7">
        <w:rPr>
          <w:rFonts w:ascii="Arial" w:eastAsia="Verdana" w:hAnsi="Arial" w:cs="Arial"/>
          <w:lang w:val="fr-BE"/>
        </w:rPr>
        <w:t>r</w:t>
      </w:r>
      <w:r w:rsidRPr="007F02D7">
        <w:rPr>
          <w:rFonts w:ascii="Arial" w:eastAsia="Verdana" w:hAnsi="Arial" w:cs="Arial"/>
          <w:lang w:val="fr-BE"/>
        </w:rPr>
        <w:t xml:space="preserve"> des éventuels problèmes</w:t>
      </w:r>
    </w:p>
    <w:p w14:paraId="64F38CB1"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 xml:space="preserve">4.2.2 Informer de préférence le médecin traitant sur les résultats </w:t>
      </w:r>
    </w:p>
    <w:p w14:paraId="6E6955D6"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4.2.3. Enregistrer les points d’attention discutés dans le dossier pharmaceutique.</w:t>
      </w:r>
    </w:p>
    <w:p w14:paraId="5A0EF664" w14:textId="77777777" w:rsidR="0069300C" w:rsidRPr="007F02D7" w:rsidRDefault="0069300C" w:rsidP="0069300C">
      <w:pPr>
        <w:spacing w:after="200" w:line="276" w:lineRule="auto"/>
        <w:ind w:left="709" w:firstLine="709"/>
        <w:jc w:val="both"/>
        <w:rPr>
          <w:rFonts w:ascii="Arial" w:eastAsia="Verdana" w:hAnsi="Arial" w:cs="Arial"/>
          <w:lang w:val="fr-BE"/>
        </w:rPr>
      </w:pPr>
      <w:r w:rsidRPr="007F02D7">
        <w:rPr>
          <w:rFonts w:ascii="Arial" w:eastAsia="Verdana" w:hAnsi="Arial" w:cs="Arial"/>
          <w:lang w:val="fr-BE"/>
        </w:rPr>
        <w:t>4.2.4 Enregistrer les résultats, la prestation dans le dossier pharmaceutique</w:t>
      </w:r>
    </w:p>
    <w:p w14:paraId="0B0F39B7"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Communication avec le médecin</w:t>
      </w:r>
    </w:p>
    <w:p w14:paraId="6225DDB9" w14:textId="77777777" w:rsidR="0069300C" w:rsidRPr="007F02D7" w:rsidRDefault="0069300C" w:rsidP="0069300C">
      <w:pPr>
        <w:spacing w:after="200" w:line="276" w:lineRule="auto"/>
        <w:ind w:left="709"/>
        <w:jc w:val="both"/>
        <w:rPr>
          <w:rFonts w:ascii="Arial" w:eastAsia="Verdana" w:hAnsi="Arial" w:cs="Arial"/>
          <w:lang w:val="fr-BE"/>
        </w:rPr>
      </w:pPr>
      <w:r w:rsidRPr="007F02D7">
        <w:rPr>
          <w:rFonts w:ascii="Arial" w:eastAsia="Verdana" w:hAnsi="Arial" w:cs="Arial"/>
          <w:lang w:val="fr-BE"/>
        </w:rPr>
        <w:t>La collaboration et la communication des pharmaciens avec les médecins traitants sont essentielles pour offrir des soins de santé de qualité.  Les pharmaciens doivent informer les médecins des services qu’ils offrent à leurs patients.  Pour autant que le patient ait marqué son accord, ils veillent à donner un feed-back aux médecins concernés quant aux résultats de l’entretien.  La communication a lieu de préférence par voie électronique via le dossier du patient ou le dossier médico-pharmaceutique, mais peut aussi se faire par téléphone ou par mail.  En outre, une fiche thématique pour la CMP est disponible, fiche que les médecins et les pharmaciens peuvent utiliser pour organiser une concertation locale. Cette concertation doit faciliter la prise de contact en cas de « BUM ».</w:t>
      </w:r>
    </w:p>
    <w:p w14:paraId="61B7DD8B"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Enregistrement (</w:t>
      </w:r>
      <w:proofErr w:type="spellStart"/>
      <w:r w:rsidRPr="007F02D7">
        <w:rPr>
          <w:rFonts w:ascii="Arial" w:eastAsia="Verdana" w:hAnsi="Arial" w:cs="Arial"/>
          <w:b/>
          <w:lang w:val="fr-BE"/>
        </w:rPr>
        <w:t>cfr</w:t>
      </w:r>
      <w:proofErr w:type="spellEnd"/>
      <w:r w:rsidRPr="007F02D7">
        <w:rPr>
          <w:rFonts w:ascii="Arial" w:eastAsia="Verdana" w:hAnsi="Arial" w:cs="Arial"/>
          <w:b/>
          <w:lang w:val="fr-BE"/>
        </w:rPr>
        <w:t>. Annexe 3</w:t>
      </w:r>
      <w:r w:rsidR="009255F2" w:rsidRPr="007F02D7">
        <w:rPr>
          <w:rFonts w:ascii="Arial" w:eastAsia="Verdana" w:hAnsi="Arial" w:cs="Arial"/>
          <w:b/>
          <w:lang w:val="fr-BE"/>
        </w:rPr>
        <w:t xml:space="preserve"> </w:t>
      </w:r>
      <w:r w:rsidRPr="007F02D7">
        <w:rPr>
          <w:rFonts w:ascii="Arial" w:eastAsia="Verdana" w:hAnsi="Arial" w:cs="Arial"/>
          <w:b/>
          <w:lang w:val="fr-BE"/>
        </w:rPr>
        <w:t>&amp;</w:t>
      </w:r>
      <w:r w:rsidR="009255F2" w:rsidRPr="007F02D7">
        <w:rPr>
          <w:rFonts w:ascii="Arial" w:eastAsia="Verdana" w:hAnsi="Arial" w:cs="Arial"/>
          <w:b/>
          <w:lang w:val="fr-BE"/>
        </w:rPr>
        <w:t xml:space="preserve"> </w:t>
      </w:r>
      <w:r w:rsidRPr="007F02D7">
        <w:rPr>
          <w:rFonts w:ascii="Arial" w:eastAsia="Verdana" w:hAnsi="Arial" w:cs="Arial"/>
          <w:b/>
          <w:lang w:val="fr-BE"/>
        </w:rPr>
        <w:t>5)</w:t>
      </w:r>
    </w:p>
    <w:p w14:paraId="65BB0771"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Les prestations, les dates des entretiens, les rapports d’entretiens, les contacts éventuels avec le médecin traitant et les solutions proposées sont enregistrées dans le dossier pharmaceutique.</w:t>
      </w:r>
    </w:p>
    <w:p w14:paraId="5319741C"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La prestation et le montant de l’intervention de l’INAMI sont mentionnés sur le ticket de caisse.</w:t>
      </w:r>
    </w:p>
    <w:p w14:paraId="12882BE5"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Evaluation du projet</w:t>
      </w:r>
    </w:p>
    <w:p w14:paraId="0D089BE1" w14:textId="77777777" w:rsidR="0069300C" w:rsidRPr="007F02D7" w:rsidRDefault="0069300C" w:rsidP="008318F2">
      <w:pPr>
        <w:widowControl/>
        <w:numPr>
          <w:ilvl w:val="1"/>
          <w:numId w:val="31"/>
        </w:numPr>
        <w:spacing w:line="259" w:lineRule="auto"/>
        <w:contextualSpacing/>
        <w:jc w:val="both"/>
        <w:rPr>
          <w:rFonts w:ascii="Arial" w:hAnsi="Arial" w:cs="Arial"/>
          <w:b/>
          <w:u w:val="single"/>
          <w:lang w:val="fr-FR"/>
        </w:rPr>
      </w:pPr>
      <w:r w:rsidRPr="007F02D7">
        <w:rPr>
          <w:rFonts w:ascii="Arial" w:hAnsi="Arial" w:cs="Arial"/>
          <w:b/>
          <w:u w:val="single"/>
          <w:lang w:val="fr-FR"/>
        </w:rPr>
        <w:t>Introduction</w:t>
      </w:r>
    </w:p>
    <w:p w14:paraId="1E50B63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Le groupe de travail Entretien d’accompagnement Nouvelle Médication s’engage à suivre et à évaluer le projet Bon Usage des Médicaments (entretien d’accompagnement asthme). </w:t>
      </w:r>
    </w:p>
    <w:p w14:paraId="196C4882" w14:textId="77777777" w:rsidR="005E3D93" w:rsidRPr="007F02D7" w:rsidRDefault="005E3D93">
      <w:pPr>
        <w:widowControl/>
        <w:rPr>
          <w:rFonts w:ascii="Arial" w:eastAsia="Arial" w:hAnsi="Arial" w:cs="Arial"/>
          <w:lang w:val="fr-FR"/>
        </w:rPr>
      </w:pPr>
      <w:r w:rsidRPr="007F02D7">
        <w:rPr>
          <w:rFonts w:ascii="Arial" w:eastAsia="Arial" w:hAnsi="Arial" w:cs="Arial"/>
          <w:lang w:val="fr-FR"/>
        </w:rPr>
        <w:br w:type="page"/>
      </w:r>
    </w:p>
    <w:p w14:paraId="6A2670DA" w14:textId="1ADC6EB5"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5FC43BED"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063BE00C" w14:textId="77777777" w:rsidR="00A90018" w:rsidRPr="007F02D7" w:rsidRDefault="00A90018" w:rsidP="0069300C">
      <w:pPr>
        <w:spacing w:line="276" w:lineRule="auto"/>
        <w:ind w:left="720"/>
        <w:jc w:val="both"/>
        <w:rPr>
          <w:rFonts w:ascii="Arial" w:eastAsia="Arial" w:hAnsi="Arial" w:cs="Arial"/>
          <w:lang w:val="fr-BE"/>
        </w:rPr>
      </w:pPr>
    </w:p>
    <w:p w14:paraId="420EE3E2" w14:textId="77777777" w:rsidR="00A90018"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La prestation de soins pharmaceutiques pour des patients chroniques et la récompense des prestations intellectuelles constituent une évolution logique et positive de la profession de pharmacien. </w:t>
      </w:r>
    </w:p>
    <w:p w14:paraId="50491F6E" w14:textId="77777777" w:rsidR="0069300C" w:rsidRPr="007F02D7" w:rsidRDefault="0069300C" w:rsidP="0069300C">
      <w:pPr>
        <w:spacing w:line="276" w:lineRule="auto"/>
        <w:ind w:left="720"/>
        <w:jc w:val="both"/>
        <w:rPr>
          <w:rFonts w:ascii="Arial" w:eastAsia="Arial" w:hAnsi="Arial" w:cs="Arial"/>
          <w:lang w:val="fr-FR"/>
        </w:rPr>
      </w:pPr>
    </w:p>
    <w:p w14:paraId="20479FF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Outre la collecte des informations sur la qualité des soins dispensés et l’analyse du résultat engendré par les entretiens dans le cadre de l’usage de la médication, l’objectif de l’évaluation du projet consiste surtout à créer un processus stimulant d’amélioration.</w:t>
      </w:r>
    </w:p>
    <w:p w14:paraId="76D1B5B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L’évaluation se fera en première instance sur la base d’indicateurs (structurels, de processus et de résultats). Les indicateurs sont nécessaires pour comparer, améliorer et justifier les soins pharmaceutiques. </w:t>
      </w:r>
    </w:p>
    <w:p w14:paraId="66359455"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Elle se fera en plusieurs étapes :</w:t>
      </w:r>
    </w:p>
    <w:p w14:paraId="30887325" w14:textId="77777777" w:rsidR="0069300C" w:rsidRPr="007F02D7" w:rsidRDefault="0069300C" w:rsidP="0069300C">
      <w:pPr>
        <w:spacing w:line="276" w:lineRule="auto"/>
        <w:ind w:left="720"/>
        <w:jc w:val="both"/>
        <w:rPr>
          <w:rFonts w:ascii="Arial" w:eastAsia="Arial" w:hAnsi="Arial" w:cs="Arial"/>
          <w:lang w:val="fr-FR"/>
        </w:rPr>
      </w:pPr>
    </w:p>
    <w:p w14:paraId="7DB62C5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Dans la première phase, les indicateurs et les objectifs réalistes sont développés en concertation commune. </w:t>
      </w:r>
    </w:p>
    <w:p w14:paraId="50D077B3" w14:textId="77777777" w:rsidR="0069300C" w:rsidRPr="007F02D7" w:rsidRDefault="0069300C" w:rsidP="0069300C">
      <w:pPr>
        <w:spacing w:line="276" w:lineRule="auto"/>
        <w:ind w:left="720"/>
        <w:jc w:val="both"/>
        <w:rPr>
          <w:rFonts w:ascii="Arial" w:eastAsia="Arial" w:hAnsi="Arial" w:cs="Arial"/>
          <w:lang w:val="fr-FR"/>
        </w:rPr>
      </w:pPr>
    </w:p>
    <w:p w14:paraId="688CE35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Ensuite, une mesure de référence est déterminée. Les indicateurs sont suivis régulièrement. Après une période d’un an, les résultats sont analysés. Si les indicateurs ne sont pas réalisés, des projets d’amélioration sont établis en concertation. </w:t>
      </w:r>
    </w:p>
    <w:p w14:paraId="7FFB8914" w14:textId="77777777" w:rsidR="0069300C" w:rsidRPr="007F02D7" w:rsidRDefault="0069300C" w:rsidP="0069300C">
      <w:pPr>
        <w:spacing w:line="276" w:lineRule="auto"/>
        <w:ind w:left="720"/>
        <w:rPr>
          <w:rFonts w:ascii="Arial" w:eastAsia="Arial" w:hAnsi="Arial" w:cs="Arial"/>
          <w:lang w:val="fr-FR"/>
        </w:rPr>
      </w:pPr>
    </w:p>
    <w:p w14:paraId="6FC6AEBC"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L’objectif consiste à adapter les indicateurs en fonction de l ‘évolution des BUM. Ils peuvent faire l’objet d’une évaluation annuelle et d’une modification éventuelle. La modification peut concerner un nouvel objectif ou un nouvel indicateur. </w:t>
      </w:r>
    </w:p>
    <w:p w14:paraId="342A66D9" w14:textId="77777777" w:rsidR="0069300C" w:rsidRPr="007F02D7" w:rsidRDefault="0069300C" w:rsidP="0069300C">
      <w:pPr>
        <w:spacing w:line="276" w:lineRule="auto"/>
        <w:ind w:left="720"/>
        <w:jc w:val="both"/>
        <w:rPr>
          <w:rFonts w:ascii="Arial" w:eastAsia="Arial" w:hAnsi="Arial" w:cs="Arial"/>
          <w:lang w:val="fr-FR"/>
        </w:rPr>
      </w:pPr>
    </w:p>
    <w:p w14:paraId="59B852B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Une première série de données peut être générée par le biais des données de facturation disponibles (avec comme sources de données possibles : Pharmanet, </w:t>
      </w:r>
      <w:proofErr w:type="spellStart"/>
      <w:r w:rsidRPr="007F02D7">
        <w:rPr>
          <w:rFonts w:ascii="Arial" w:eastAsia="Arial" w:hAnsi="Arial" w:cs="Arial"/>
          <w:lang w:val="fr-FR"/>
        </w:rPr>
        <w:t>Ipheb</w:t>
      </w:r>
      <w:proofErr w:type="spellEnd"/>
      <w:r w:rsidRPr="007F02D7">
        <w:rPr>
          <w:rFonts w:ascii="Arial" w:eastAsia="Arial" w:hAnsi="Arial" w:cs="Arial"/>
          <w:lang w:val="fr-FR"/>
        </w:rPr>
        <w:t xml:space="preserve">, IMA). </w:t>
      </w:r>
    </w:p>
    <w:p w14:paraId="0F4B40E8" w14:textId="77777777" w:rsidR="0069300C" w:rsidRPr="007F02D7" w:rsidRDefault="0069300C" w:rsidP="0069300C">
      <w:pPr>
        <w:spacing w:line="276" w:lineRule="auto"/>
        <w:ind w:left="720"/>
        <w:jc w:val="both"/>
        <w:rPr>
          <w:rFonts w:ascii="Arial" w:eastAsia="Arial" w:hAnsi="Arial" w:cs="Arial"/>
          <w:lang w:val="fr-FR"/>
        </w:rPr>
      </w:pPr>
    </w:p>
    <w:p w14:paraId="5505BDC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Ces indicateurs constituent le début d’un processus d’évolution. A terme, nous devons viser des indicateurs qui se focalisent davantage sur la qualité de l’entretien mené (exemple : interviews, </w:t>
      </w:r>
      <w:proofErr w:type="spellStart"/>
      <w:r w:rsidRPr="007F02D7">
        <w:rPr>
          <w:rFonts w:ascii="Arial" w:eastAsia="Arial" w:hAnsi="Arial" w:cs="Arial"/>
          <w:lang w:val="fr-FR"/>
        </w:rPr>
        <w:t>mystery</w:t>
      </w:r>
      <w:proofErr w:type="spellEnd"/>
      <w:r w:rsidRPr="007F02D7">
        <w:rPr>
          <w:rFonts w:ascii="Arial" w:eastAsia="Arial" w:hAnsi="Arial" w:cs="Arial"/>
          <w:lang w:val="fr-FR"/>
        </w:rPr>
        <w:t xml:space="preserve"> </w:t>
      </w:r>
      <w:proofErr w:type="spellStart"/>
      <w:r w:rsidRPr="007F02D7">
        <w:rPr>
          <w:rFonts w:ascii="Arial" w:eastAsia="Arial" w:hAnsi="Arial" w:cs="Arial"/>
          <w:lang w:val="fr-FR"/>
        </w:rPr>
        <w:t>guests</w:t>
      </w:r>
      <w:proofErr w:type="spellEnd"/>
      <w:r w:rsidRPr="007F02D7">
        <w:rPr>
          <w:rFonts w:ascii="Arial" w:eastAsia="Arial" w:hAnsi="Arial" w:cs="Arial"/>
          <w:lang w:val="fr-FR"/>
        </w:rPr>
        <w:t>,…). Une première étape consiste à développer un enregistrement structuré et codé des données. Cet enregistrement nous donne des informations pertinentes supplémentaires concernant les entretiens réalisés. Un dossier pharmaceutique local structuré doit être réalisé à cet effet et doit être utilisé par tous les pharmaciens. La mise en œuvre dans les différents logiciels est cruciale à cet effet. La date butoir est début 2018.</w:t>
      </w:r>
    </w:p>
    <w:p w14:paraId="584D54CD" w14:textId="77777777" w:rsidR="0069300C" w:rsidRPr="007F02D7" w:rsidRDefault="0069300C" w:rsidP="0069300C">
      <w:pPr>
        <w:spacing w:line="276" w:lineRule="auto"/>
        <w:ind w:left="720"/>
        <w:jc w:val="both"/>
        <w:rPr>
          <w:rFonts w:ascii="Arial" w:eastAsia="Arial" w:hAnsi="Arial" w:cs="Arial"/>
          <w:lang w:val="fr-FR"/>
        </w:rPr>
      </w:pPr>
    </w:p>
    <w:p w14:paraId="29BB2573" w14:textId="77777777" w:rsidR="0069300C" w:rsidRPr="007F02D7" w:rsidRDefault="0069300C" w:rsidP="008318F2">
      <w:pPr>
        <w:widowControl/>
        <w:numPr>
          <w:ilvl w:val="1"/>
          <w:numId w:val="31"/>
        </w:numPr>
        <w:spacing w:line="259" w:lineRule="auto"/>
        <w:contextualSpacing/>
        <w:jc w:val="both"/>
        <w:rPr>
          <w:rFonts w:ascii="Arial" w:hAnsi="Arial" w:cs="Arial"/>
          <w:b/>
          <w:u w:val="single"/>
          <w:lang w:val="fr-FR"/>
        </w:rPr>
      </w:pPr>
      <w:r w:rsidRPr="007F02D7">
        <w:rPr>
          <w:rFonts w:ascii="Arial" w:hAnsi="Arial" w:cs="Arial"/>
          <w:b/>
          <w:u w:val="single"/>
          <w:lang w:val="fr-FR"/>
        </w:rPr>
        <w:t>Proposition indicateurs 2017</w:t>
      </w:r>
    </w:p>
    <w:p w14:paraId="0B98729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Trois types d’indicateurs sont proposés : indicateurs structurels, indicateurs de processus et indicateurs de résultat.</w:t>
      </w:r>
    </w:p>
    <w:p w14:paraId="7271AF99" w14:textId="77777777" w:rsidR="0069300C" w:rsidRPr="007F02D7" w:rsidRDefault="0069300C" w:rsidP="0069300C">
      <w:pPr>
        <w:spacing w:line="276" w:lineRule="auto"/>
        <w:ind w:left="720"/>
        <w:jc w:val="both"/>
        <w:rPr>
          <w:rFonts w:ascii="Arial" w:eastAsia="Arial" w:hAnsi="Arial" w:cs="Arial"/>
          <w:lang w:val="fr-FR"/>
        </w:rPr>
      </w:pPr>
    </w:p>
    <w:p w14:paraId="0E6A7420" w14:textId="77777777" w:rsidR="0069300C" w:rsidRPr="007F02D7" w:rsidRDefault="0069300C" w:rsidP="008318F2">
      <w:pPr>
        <w:widowControl/>
        <w:numPr>
          <w:ilvl w:val="2"/>
          <w:numId w:val="31"/>
        </w:numPr>
        <w:spacing w:after="160" w:line="259" w:lineRule="auto"/>
        <w:ind w:hanging="11"/>
        <w:contextualSpacing/>
        <w:jc w:val="both"/>
        <w:rPr>
          <w:rFonts w:ascii="Arial" w:hAnsi="Arial" w:cs="Arial"/>
          <w:b/>
          <w:smallCaps/>
          <w:u w:val="single"/>
          <w:lang w:val="fr-FR"/>
        </w:rPr>
      </w:pPr>
      <w:r w:rsidRPr="007F02D7">
        <w:rPr>
          <w:rFonts w:ascii="Arial" w:hAnsi="Arial" w:cs="Arial"/>
          <w:b/>
          <w:smallCaps/>
          <w:u w:val="single"/>
          <w:lang w:val="fr-FR"/>
        </w:rPr>
        <w:t>Indicateurs structurels</w:t>
      </w:r>
    </w:p>
    <w:p w14:paraId="24F5A6B3"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7.2.1.1. Nombre de pharmaciens ayant suivi la formation</w:t>
      </w:r>
    </w:p>
    <w:p w14:paraId="7F08E7E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 mettre en œuvre le BUM de façon qualitative, une formation est cruciale. D’une part, il s’agit de formations scientifiques liées au thème du BUM et organisées tant par les unions professionnelles que par les organisations scientifiques (telles que IPSA et SSPF), et d’autre part, il existe également des formations sur la tenue de l’entretien (aptitudes communicatives, coaching, …).</w:t>
      </w:r>
    </w:p>
    <w:p w14:paraId="13B5A90B" w14:textId="77777777" w:rsidR="0069300C" w:rsidRPr="007F02D7" w:rsidRDefault="0069300C" w:rsidP="0069300C">
      <w:pPr>
        <w:spacing w:line="276" w:lineRule="auto"/>
        <w:ind w:left="720"/>
        <w:jc w:val="both"/>
        <w:rPr>
          <w:rFonts w:ascii="Arial" w:eastAsia="Arial" w:hAnsi="Arial" w:cs="Arial"/>
          <w:lang w:val="fr-FR"/>
        </w:rPr>
      </w:pPr>
    </w:p>
    <w:p w14:paraId="3B22C4EB"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A long terme (2017 ?), l’objectif consiste à incorporer cette formation dans la formation permanente obligatoire pour les pharmaciens d’officine. </w:t>
      </w:r>
    </w:p>
    <w:p w14:paraId="3FE92E82" w14:textId="77777777" w:rsidR="005E3D93" w:rsidRPr="007F02D7" w:rsidRDefault="005E3D93">
      <w:pPr>
        <w:widowControl/>
        <w:rPr>
          <w:rFonts w:ascii="Arial" w:eastAsia="Arial" w:hAnsi="Arial" w:cs="Arial"/>
          <w:lang w:val="fr-FR"/>
        </w:rPr>
      </w:pPr>
      <w:r w:rsidRPr="007F02D7">
        <w:rPr>
          <w:rFonts w:ascii="Arial" w:eastAsia="Arial" w:hAnsi="Arial" w:cs="Arial"/>
          <w:lang w:val="fr-FR"/>
        </w:rPr>
        <w:br w:type="page"/>
      </w:r>
    </w:p>
    <w:p w14:paraId="6FAA0179" w14:textId="3F1586BB" w:rsidR="005E3D93" w:rsidRPr="00D62567" w:rsidRDefault="00C95F64" w:rsidP="005E3D93">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68076D66" w14:textId="77777777" w:rsidR="005E3D93" w:rsidRPr="00BB0322" w:rsidRDefault="005E3D93" w:rsidP="005E3D93">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7FFCD85D" w14:textId="77777777" w:rsidR="00A90018" w:rsidRPr="007F02D7" w:rsidRDefault="00A90018" w:rsidP="0069300C">
      <w:pPr>
        <w:spacing w:line="276" w:lineRule="auto"/>
        <w:ind w:left="720"/>
        <w:jc w:val="both"/>
        <w:rPr>
          <w:rFonts w:ascii="Arial" w:eastAsia="Arial" w:hAnsi="Arial" w:cs="Arial"/>
          <w:lang w:val="fr-BE"/>
        </w:rPr>
      </w:pPr>
    </w:p>
    <w:p w14:paraId="220560B9"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attendant la mise en œuvre, nous pouvons déjà mesurer le pourcentage de pharmaciens ayant suivi une formation et prévoir une certaine croissance de ce pourcentage pour l’avenir.</w:t>
      </w:r>
    </w:p>
    <w:p w14:paraId="435C5347" w14:textId="77777777" w:rsidR="0069300C" w:rsidRPr="007F02D7" w:rsidRDefault="0069300C" w:rsidP="0069300C">
      <w:pPr>
        <w:spacing w:line="276" w:lineRule="auto"/>
        <w:ind w:left="720"/>
        <w:jc w:val="both"/>
        <w:rPr>
          <w:rFonts w:ascii="Arial" w:eastAsia="Arial" w:hAnsi="Arial" w:cs="Arial"/>
          <w:lang w:val="fr-BE"/>
        </w:rPr>
      </w:pPr>
    </w:p>
    <w:p w14:paraId="47F39BD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14:paraId="67AF5BA7"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pharmaciens ayant suivi une formation BUM entre 2014 et 2016 et en 2017.</w:t>
      </w:r>
    </w:p>
    <w:p w14:paraId="4D5C04DC" w14:textId="77777777" w:rsidR="0069300C" w:rsidRPr="007F02D7" w:rsidRDefault="0069300C" w:rsidP="0069300C">
      <w:pPr>
        <w:spacing w:line="276" w:lineRule="auto"/>
        <w:ind w:left="720"/>
        <w:jc w:val="both"/>
        <w:rPr>
          <w:rFonts w:ascii="Arial" w:eastAsia="Arial" w:hAnsi="Arial" w:cs="Arial"/>
          <w:lang w:val="fr-FR"/>
        </w:rPr>
      </w:pPr>
    </w:p>
    <w:p w14:paraId="5E335B0A"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 pour la première année (2017)</w:t>
      </w:r>
      <w:r w:rsidRPr="007F02D7">
        <w:rPr>
          <w:rFonts w:ascii="Arial" w:eastAsia="Arial" w:hAnsi="Arial" w:cs="Arial"/>
          <w:i/>
          <w:lang w:val="fr-FR"/>
        </w:rPr>
        <w:t xml:space="preserve"> :</w:t>
      </w:r>
      <w:r w:rsidRPr="007F02D7">
        <w:rPr>
          <w:rFonts w:ascii="Arial" w:eastAsia="Arial" w:hAnsi="Arial" w:cs="Arial"/>
          <w:i/>
          <w:u w:val="single"/>
          <w:lang w:val="fr-FR"/>
        </w:rPr>
        <w:t xml:space="preserve"> </w:t>
      </w:r>
    </w:p>
    <w:p w14:paraId="733876C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Hausse de 10% du pourcentage de pharmaciens ayant suivi une formation BUM par rapport à la mesure de référence.</w:t>
      </w:r>
    </w:p>
    <w:p w14:paraId="5831C2ED" w14:textId="77777777" w:rsidR="0069300C" w:rsidRPr="007F02D7" w:rsidRDefault="0069300C" w:rsidP="0069300C">
      <w:pPr>
        <w:spacing w:line="276" w:lineRule="auto"/>
        <w:ind w:left="720"/>
        <w:jc w:val="both"/>
        <w:rPr>
          <w:rFonts w:ascii="Arial" w:eastAsia="Arial" w:hAnsi="Arial" w:cs="Arial"/>
          <w:lang w:val="fr-FR"/>
        </w:rPr>
      </w:pPr>
    </w:p>
    <w:p w14:paraId="080FEA13"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Remarque :</w:t>
      </w:r>
    </w:p>
    <w:p w14:paraId="6593848F"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On comprend par « formation » : toutes les formations scientifiques autour de l’asthme, formation BUM et toutes les formations de communication (coaching, aptitudes communicatives,…). </w:t>
      </w:r>
      <w:r w:rsidRPr="007F02D7">
        <w:rPr>
          <w:rFonts w:ascii="Arial" w:eastAsia="Arial" w:hAnsi="Arial" w:cs="Arial"/>
          <w:lang w:val="fr-FR"/>
        </w:rPr>
        <w:br/>
        <w:t>N.B. : les formations scientifiques autour de l’asthme ne seront plus organisées par l’IPSA et le SSPF en 2017, mais on pourrait développer un cours de « e-learning ».</w:t>
      </w:r>
    </w:p>
    <w:p w14:paraId="675161DA" w14:textId="77777777" w:rsidR="0069300C" w:rsidRPr="007F02D7" w:rsidRDefault="0069300C" w:rsidP="0069300C">
      <w:pPr>
        <w:spacing w:line="276" w:lineRule="auto"/>
        <w:ind w:left="720"/>
        <w:jc w:val="both"/>
        <w:rPr>
          <w:rFonts w:ascii="Arial" w:eastAsia="Arial" w:hAnsi="Arial" w:cs="Arial"/>
          <w:lang w:val="fr-FR"/>
        </w:rPr>
      </w:pPr>
    </w:p>
    <w:p w14:paraId="3823C45C" w14:textId="77777777" w:rsidR="0069300C" w:rsidRPr="007F02D7" w:rsidRDefault="0069300C" w:rsidP="008318F2">
      <w:pPr>
        <w:widowControl/>
        <w:numPr>
          <w:ilvl w:val="2"/>
          <w:numId w:val="31"/>
        </w:numPr>
        <w:spacing w:after="160" w:line="259" w:lineRule="auto"/>
        <w:ind w:left="709" w:hanging="11"/>
        <w:contextualSpacing/>
        <w:jc w:val="both"/>
        <w:rPr>
          <w:rFonts w:ascii="Arial" w:hAnsi="Arial" w:cs="Arial"/>
          <w:b/>
          <w:smallCaps/>
          <w:u w:val="single"/>
          <w:lang w:val="fr-FR"/>
        </w:rPr>
      </w:pPr>
      <w:r w:rsidRPr="007F02D7">
        <w:rPr>
          <w:rFonts w:ascii="Arial" w:hAnsi="Arial" w:cs="Arial"/>
          <w:b/>
          <w:smallCaps/>
          <w:u w:val="single"/>
          <w:lang w:val="fr-FR"/>
        </w:rPr>
        <w:t>Indicateurs de processus</w:t>
      </w:r>
    </w:p>
    <w:p w14:paraId="4F30C0EF"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7.2.2.1. Nombre de pharmaciens utilisant des outils pour structurer et accompagner l’entretien d’accompagnement</w:t>
      </w:r>
    </w:p>
    <w:p w14:paraId="1C665D8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La mise en œuvre d’un entretien au moyen d’un outil permet de travailler de façon structurée et protocolée.</w:t>
      </w:r>
    </w:p>
    <w:p w14:paraId="1E1FC41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L’objectif consiste à incorporer ses outils dans les logiciels de la pharmacie ; de cette manière, une série de paramètres peuvent être codés et utilisés de façon structurée.</w:t>
      </w:r>
    </w:p>
    <w:p w14:paraId="43B16B7C" w14:textId="77777777" w:rsidR="0069300C" w:rsidRPr="007F02D7" w:rsidRDefault="0069300C" w:rsidP="0069300C">
      <w:pPr>
        <w:spacing w:line="276" w:lineRule="auto"/>
        <w:ind w:left="720"/>
        <w:jc w:val="both"/>
        <w:rPr>
          <w:rFonts w:ascii="Arial" w:eastAsia="Arial" w:hAnsi="Arial" w:cs="Arial"/>
          <w:lang w:val="fr-FR"/>
        </w:rPr>
      </w:pPr>
    </w:p>
    <w:p w14:paraId="08754D71"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attendant une telle intégration, on peut viser une augmentation du nombre de pharmacies faisant usage d’un outil pour la mise en œuvre du BUM.</w:t>
      </w:r>
    </w:p>
    <w:p w14:paraId="17288FEA" w14:textId="77777777" w:rsidR="0069300C" w:rsidRPr="007F02D7" w:rsidRDefault="0069300C" w:rsidP="0069300C">
      <w:pPr>
        <w:spacing w:line="276" w:lineRule="auto"/>
        <w:ind w:left="720"/>
        <w:jc w:val="both"/>
        <w:rPr>
          <w:rFonts w:ascii="Arial" w:eastAsia="Arial" w:hAnsi="Arial" w:cs="Arial"/>
          <w:lang w:val="fr-FR"/>
        </w:rPr>
      </w:pPr>
    </w:p>
    <w:p w14:paraId="0A25CFC4"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14:paraId="67A037D1"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Nombre de pharmacies (uniques) ayant réalisé un BUM (depuis 2013)</w:t>
      </w:r>
    </w:p>
    <w:p w14:paraId="088A2DD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Nombre de pharmacies (uniques) ayant utilisé un outil (depuis 2013)</w:t>
      </w:r>
    </w:p>
    <w:p w14:paraId="380C32B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pharmacies utilisant un outil par rapport au nombre de pharmacies ayant effectué au moins 1 BUM.</w:t>
      </w:r>
    </w:p>
    <w:p w14:paraId="4702927D" w14:textId="77777777" w:rsidR="0069300C" w:rsidRPr="007F02D7" w:rsidRDefault="0069300C" w:rsidP="0069300C">
      <w:pPr>
        <w:spacing w:line="276" w:lineRule="auto"/>
        <w:ind w:left="720"/>
        <w:jc w:val="both"/>
        <w:rPr>
          <w:rFonts w:ascii="Arial" w:eastAsia="Arial" w:hAnsi="Arial" w:cs="Arial"/>
          <w:lang w:val="fr-FR"/>
        </w:rPr>
      </w:pPr>
    </w:p>
    <w:p w14:paraId="48BA907D"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w:t>
      </w:r>
      <w:r w:rsidRPr="007F02D7">
        <w:rPr>
          <w:rFonts w:ascii="Arial" w:eastAsia="Arial" w:hAnsi="Arial" w:cs="Arial"/>
          <w:i/>
          <w:lang w:val="fr-FR"/>
        </w:rPr>
        <w:t xml:space="preserve"> :</w:t>
      </w:r>
    </w:p>
    <w:p w14:paraId="3845E566"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Croissance de 10% des pharmacies faisant usage d’un outil pour la mise en </w:t>
      </w:r>
      <w:proofErr w:type="spellStart"/>
      <w:r w:rsidRPr="007F02D7">
        <w:rPr>
          <w:rFonts w:ascii="Arial" w:eastAsia="Arial" w:hAnsi="Arial" w:cs="Arial"/>
          <w:lang w:val="fr-FR"/>
        </w:rPr>
        <w:t>oeuvre</w:t>
      </w:r>
      <w:proofErr w:type="spellEnd"/>
      <w:r w:rsidRPr="007F02D7">
        <w:rPr>
          <w:rFonts w:ascii="Arial" w:eastAsia="Arial" w:hAnsi="Arial" w:cs="Arial"/>
          <w:lang w:val="fr-FR"/>
        </w:rPr>
        <w:t xml:space="preserve"> d’un entretien par rapport à la mesure de référence.</w:t>
      </w:r>
    </w:p>
    <w:p w14:paraId="6C7E59A9" w14:textId="77777777" w:rsidR="0069300C" w:rsidRPr="007F02D7" w:rsidRDefault="0069300C" w:rsidP="0069300C">
      <w:pPr>
        <w:spacing w:line="276" w:lineRule="auto"/>
        <w:ind w:left="720"/>
        <w:jc w:val="both"/>
        <w:rPr>
          <w:rFonts w:ascii="Arial" w:eastAsia="Arial" w:hAnsi="Arial" w:cs="Arial"/>
          <w:lang w:val="fr-FR"/>
        </w:rPr>
      </w:pPr>
    </w:p>
    <w:p w14:paraId="46429FE8"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Remarque</w:t>
      </w:r>
      <w:r w:rsidRPr="007F02D7">
        <w:rPr>
          <w:rFonts w:ascii="Arial" w:eastAsia="Arial" w:hAnsi="Arial" w:cs="Arial"/>
          <w:i/>
          <w:lang w:val="fr-FR"/>
        </w:rPr>
        <w:t xml:space="preserve"> :</w:t>
      </w:r>
    </w:p>
    <w:p w14:paraId="04FD5656"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Il faut dresser un inventaire de tous les outils disponibles (APB, organisations professionnelles,…).  </w:t>
      </w:r>
    </w:p>
    <w:p w14:paraId="05E5C68F" w14:textId="77777777" w:rsidR="0069300C" w:rsidRPr="007F02D7" w:rsidRDefault="0069300C" w:rsidP="0069300C">
      <w:pPr>
        <w:spacing w:line="276" w:lineRule="auto"/>
        <w:ind w:left="720"/>
        <w:jc w:val="both"/>
        <w:rPr>
          <w:rFonts w:ascii="Arial" w:eastAsia="Arial" w:hAnsi="Arial" w:cs="Arial"/>
          <w:lang w:val="fr-FR"/>
        </w:rPr>
      </w:pPr>
    </w:p>
    <w:p w14:paraId="5AFF20F5" w14:textId="5E4C9B00"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 xml:space="preserve">7.2.2.2. Nombre d’entretiens chez les utilisateurs de corticostéroïdes d’inhalation (CSI)   </w:t>
      </w:r>
    </w:p>
    <w:p w14:paraId="08A03C03"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Deux mesures sont prévues ici. D’une part, nous souhaitons vérifier dans quelle mesure les patients qui entrent en ligne de compte pour un BUM, en ont réellement eu un. D’autre part, il est également important de miser sur le 2</w:t>
      </w:r>
      <w:r w:rsidRPr="007F02D7">
        <w:rPr>
          <w:rFonts w:ascii="Arial" w:eastAsia="Arial" w:hAnsi="Arial" w:cs="Arial"/>
          <w:vertAlign w:val="superscript"/>
          <w:lang w:val="fr-FR"/>
        </w:rPr>
        <w:t xml:space="preserve">ème </w:t>
      </w:r>
      <w:r w:rsidRPr="007F02D7">
        <w:rPr>
          <w:rFonts w:ascii="Arial" w:eastAsia="Arial" w:hAnsi="Arial" w:cs="Arial"/>
          <w:lang w:val="fr-FR"/>
        </w:rPr>
        <w:t xml:space="preserve">entretien. En effet, dans la </w:t>
      </w:r>
      <w:hyperlink r:id="rId8" w:history="1">
        <w:r w:rsidRPr="007F02D7">
          <w:rPr>
            <w:rFonts w:ascii="Arial" w:eastAsia="Arial" w:hAnsi="Arial" w:cs="Arial"/>
            <w:u w:val="single"/>
            <w:lang w:val="fr-FR"/>
          </w:rPr>
          <w:t>description de projet</w:t>
        </w:r>
      </w:hyperlink>
      <w:r w:rsidRPr="007F02D7">
        <w:rPr>
          <w:rFonts w:ascii="Arial" w:eastAsia="Arial" w:hAnsi="Arial" w:cs="Arial"/>
          <w:lang w:val="fr-FR"/>
        </w:rPr>
        <w:t>, deux entretiens sont prévus. Ce deuxième entretien permet de recevoir un feedback des patients, permet de connaître leurs expériences et de rectifier le tir le cas échéant.</w:t>
      </w:r>
    </w:p>
    <w:p w14:paraId="062AECE0" w14:textId="77777777" w:rsidR="0069300C" w:rsidRPr="007F02D7" w:rsidRDefault="0069300C" w:rsidP="0069300C">
      <w:pPr>
        <w:spacing w:after="200" w:line="276" w:lineRule="auto"/>
        <w:rPr>
          <w:rFonts w:ascii="Arial" w:eastAsia="Arial" w:hAnsi="Arial" w:cs="Arial"/>
          <w:lang w:val="fr-FR"/>
        </w:rPr>
      </w:pPr>
      <w:r w:rsidRPr="007F02D7">
        <w:rPr>
          <w:rFonts w:ascii="Arial" w:eastAsia="Arial" w:hAnsi="Arial" w:cs="Arial"/>
          <w:lang w:val="fr-FR"/>
        </w:rPr>
        <w:br w:type="page"/>
      </w:r>
    </w:p>
    <w:p w14:paraId="37CE002D" w14:textId="061ACAE2" w:rsidR="00A90018" w:rsidRPr="00D62567" w:rsidRDefault="00C95F64"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74E99E07"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1607106"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Mesure</w:t>
      </w:r>
      <w:r w:rsidRPr="007F02D7">
        <w:rPr>
          <w:rFonts w:ascii="Arial" w:eastAsia="Arial" w:hAnsi="Arial" w:cs="Arial"/>
          <w:i/>
          <w:lang w:val="fr-FR"/>
        </w:rPr>
        <w:t xml:space="preserve"> :</w:t>
      </w:r>
    </w:p>
    <w:p w14:paraId="2BDCBE09" w14:textId="77777777" w:rsidR="0069300C" w:rsidRPr="007F02D7" w:rsidRDefault="0069300C" w:rsidP="008318F2">
      <w:pPr>
        <w:widowControl/>
        <w:numPr>
          <w:ilvl w:val="0"/>
          <w:numId w:val="32"/>
        </w:numPr>
        <w:spacing w:line="259" w:lineRule="auto"/>
        <w:ind w:left="1069"/>
        <w:contextualSpacing/>
        <w:jc w:val="both"/>
        <w:rPr>
          <w:rFonts w:ascii="Arial" w:hAnsi="Arial" w:cs="Arial"/>
          <w:lang w:val="fr-FR"/>
        </w:rPr>
      </w:pPr>
      <w:r w:rsidRPr="007F02D7">
        <w:rPr>
          <w:rFonts w:ascii="Arial" w:hAnsi="Arial" w:cs="Arial"/>
          <w:lang w:val="fr-FR"/>
        </w:rPr>
        <w:t xml:space="preserve">Pourcentage de patients avec un </w:t>
      </w:r>
      <w:r w:rsidRPr="007F02D7">
        <w:rPr>
          <w:rFonts w:ascii="Arial" w:hAnsi="Arial" w:cs="Arial"/>
          <w:u w:val="single"/>
          <w:lang w:val="fr-FR"/>
        </w:rPr>
        <w:t>premier entretien</w:t>
      </w:r>
      <w:r w:rsidRPr="007F02D7">
        <w:rPr>
          <w:rFonts w:ascii="Arial" w:hAnsi="Arial" w:cs="Arial"/>
          <w:lang w:val="fr-FR"/>
        </w:rPr>
        <w:t xml:space="preserve"> lors de l’usage de CSI (nouveau et mal contrôlé) par rapport au nombre total de patients qui entrent en ligne de compte.</w:t>
      </w:r>
    </w:p>
    <w:p w14:paraId="4E73245A" w14:textId="77777777" w:rsidR="0069300C" w:rsidRPr="007F02D7" w:rsidRDefault="0069300C" w:rsidP="00D60654">
      <w:pPr>
        <w:spacing w:line="276" w:lineRule="auto"/>
        <w:ind w:left="340" w:firstLine="720"/>
        <w:rPr>
          <w:rFonts w:ascii="Arial" w:eastAsia="Arial" w:hAnsi="Arial" w:cs="Arial"/>
          <w:lang w:val="fr-FR"/>
        </w:rPr>
      </w:pPr>
      <w:r w:rsidRPr="007F02D7">
        <w:rPr>
          <w:rFonts w:ascii="Arial" w:eastAsia="Arial" w:hAnsi="Arial" w:cs="Arial"/>
          <w:u w:val="single"/>
          <w:lang w:val="fr-FR"/>
        </w:rPr>
        <w:t xml:space="preserve">NB </w:t>
      </w:r>
      <w:r w:rsidRPr="007F02D7">
        <w:rPr>
          <w:rFonts w:ascii="Arial" w:eastAsia="Arial" w:hAnsi="Arial" w:cs="Arial"/>
          <w:lang w:val="fr-FR"/>
        </w:rPr>
        <w:t xml:space="preserve">: </w:t>
      </w:r>
    </w:p>
    <w:p w14:paraId="32467CAB" w14:textId="77777777" w:rsidR="0069300C" w:rsidRPr="007F02D7" w:rsidRDefault="0069300C" w:rsidP="0069300C">
      <w:pPr>
        <w:spacing w:line="276" w:lineRule="auto"/>
        <w:ind w:left="1058"/>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Pour les </w:t>
      </w:r>
      <w:r w:rsidRPr="007F02D7">
        <w:rPr>
          <w:rFonts w:ascii="Arial" w:eastAsia="Arial" w:hAnsi="Arial" w:cs="Arial"/>
          <w:i/>
          <w:lang w:val="fr-FR"/>
        </w:rPr>
        <w:t>nouveaux patients</w:t>
      </w:r>
      <w:r w:rsidRPr="007F02D7">
        <w:rPr>
          <w:rFonts w:ascii="Arial" w:eastAsia="Arial" w:hAnsi="Arial" w:cs="Arial"/>
          <w:lang w:val="fr-FR"/>
        </w:rPr>
        <w:t xml:space="preserve"> qui démarrent un traitement avec un corticostéroïde d’inhalation (CSI), le groupe cible est fixé comme suit : patients entre 5-50 ans à qui on a pas délivré de CSI 12 mois avant cette délivrance.</w:t>
      </w:r>
    </w:p>
    <w:p w14:paraId="55297C25" w14:textId="77777777" w:rsidR="0069300C" w:rsidRPr="007F02D7" w:rsidRDefault="0069300C" w:rsidP="0069300C">
      <w:pPr>
        <w:spacing w:line="276" w:lineRule="auto"/>
        <w:ind w:left="1058"/>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Pour les patients </w:t>
      </w:r>
      <w:r w:rsidRPr="007F02D7">
        <w:rPr>
          <w:rFonts w:ascii="Arial" w:eastAsia="Arial" w:hAnsi="Arial" w:cs="Arial"/>
          <w:i/>
          <w:lang w:val="fr-FR"/>
        </w:rPr>
        <w:t>mal contrôlés</w:t>
      </w:r>
      <w:r w:rsidRPr="007F02D7">
        <w:rPr>
          <w:rFonts w:ascii="Arial" w:eastAsia="Arial" w:hAnsi="Arial" w:cs="Arial"/>
          <w:lang w:val="fr-FR"/>
        </w:rPr>
        <w:t xml:space="preserve"> le groupe cible est fixé comme suit : patients entre 5-50 ans qui prennent régulièrement des CSI (au moins 90 DDD par an). Pour avoir une idée du nombre de patients mal contrôlés, on peut faire usage du chiffre européen, à savoir 30 à 35%. </w:t>
      </w:r>
    </w:p>
    <w:p w14:paraId="338C70FB" w14:textId="77777777" w:rsidR="0069300C" w:rsidRPr="007F02D7" w:rsidRDefault="0069300C" w:rsidP="008318F2">
      <w:pPr>
        <w:widowControl/>
        <w:numPr>
          <w:ilvl w:val="0"/>
          <w:numId w:val="32"/>
        </w:numPr>
        <w:spacing w:line="259" w:lineRule="auto"/>
        <w:ind w:left="1069"/>
        <w:contextualSpacing/>
        <w:jc w:val="both"/>
        <w:rPr>
          <w:rFonts w:ascii="Arial" w:hAnsi="Arial" w:cs="Arial"/>
          <w:lang w:val="fr-FR"/>
        </w:rPr>
      </w:pPr>
      <w:r w:rsidRPr="007F02D7">
        <w:rPr>
          <w:rFonts w:ascii="Arial" w:hAnsi="Arial" w:cs="Arial"/>
          <w:lang w:val="fr-FR"/>
        </w:rPr>
        <w:t xml:space="preserve">Pourcentage de patients avec un </w:t>
      </w:r>
      <w:r w:rsidRPr="007F02D7">
        <w:rPr>
          <w:rFonts w:ascii="Arial" w:hAnsi="Arial" w:cs="Arial"/>
          <w:u w:val="single"/>
          <w:lang w:val="fr-FR"/>
        </w:rPr>
        <w:t>deuxième entretien</w:t>
      </w:r>
      <w:r w:rsidRPr="007F02D7">
        <w:rPr>
          <w:rFonts w:ascii="Arial" w:hAnsi="Arial" w:cs="Arial"/>
          <w:lang w:val="fr-FR"/>
        </w:rPr>
        <w:t xml:space="preserve"> lors de l’usage de CSI (nouveau et mal contrôlé) par rapport au nombre total de patients qui entrent en ligne de compte.</w:t>
      </w:r>
    </w:p>
    <w:p w14:paraId="2DD72959" w14:textId="77777777" w:rsidR="0069300C" w:rsidRPr="007F02D7" w:rsidRDefault="0069300C" w:rsidP="0069300C">
      <w:pPr>
        <w:spacing w:line="276" w:lineRule="auto"/>
        <w:ind w:left="720"/>
        <w:jc w:val="both"/>
        <w:rPr>
          <w:rFonts w:ascii="Arial" w:eastAsia="Arial" w:hAnsi="Arial" w:cs="Arial"/>
          <w:lang w:val="fr-FR"/>
        </w:rPr>
      </w:pPr>
    </w:p>
    <w:p w14:paraId="3259FED8"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Objectif</w:t>
      </w:r>
      <w:r w:rsidRPr="007F02D7">
        <w:rPr>
          <w:rFonts w:ascii="Arial" w:eastAsia="Arial" w:hAnsi="Arial" w:cs="Arial"/>
          <w:i/>
          <w:lang w:val="fr-FR"/>
        </w:rPr>
        <w:t xml:space="preserve"> :</w:t>
      </w:r>
    </w:p>
    <w:p w14:paraId="41927132" w14:textId="77777777" w:rsidR="0069300C" w:rsidRPr="007F02D7" w:rsidRDefault="0069300C" w:rsidP="008318F2">
      <w:pPr>
        <w:widowControl/>
        <w:numPr>
          <w:ilvl w:val="0"/>
          <w:numId w:val="33"/>
        </w:numPr>
        <w:spacing w:line="259" w:lineRule="auto"/>
        <w:contextualSpacing/>
        <w:jc w:val="both"/>
        <w:rPr>
          <w:rFonts w:ascii="Arial" w:hAnsi="Arial" w:cs="Arial"/>
          <w:lang w:val="fr-FR"/>
        </w:rPr>
      </w:pPr>
      <w:r w:rsidRPr="007F02D7">
        <w:rPr>
          <w:rFonts w:ascii="Arial" w:hAnsi="Arial" w:cs="Arial"/>
          <w:lang w:val="fr-FR"/>
        </w:rPr>
        <w:t xml:space="preserve">Augmentation de 10% du pourcentage de patients ayant réellement un entretien, par rapport à la mesure de référence. </w:t>
      </w:r>
    </w:p>
    <w:p w14:paraId="2A0D6501" w14:textId="77777777" w:rsidR="0069300C" w:rsidRPr="007F02D7" w:rsidRDefault="0069300C" w:rsidP="008318F2">
      <w:pPr>
        <w:widowControl/>
        <w:numPr>
          <w:ilvl w:val="0"/>
          <w:numId w:val="33"/>
        </w:numPr>
        <w:spacing w:line="259" w:lineRule="auto"/>
        <w:contextualSpacing/>
        <w:jc w:val="both"/>
        <w:rPr>
          <w:rFonts w:ascii="Arial" w:hAnsi="Arial" w:cs="Arial"/>
          <w:lang w:val="fr-FR"/>
        </w:rPr>
      </w:pPr>
      <w:r w:rsidRPr="007F02D7">
        <w:rPr>
          <w:rFonts w:ascii="Arial" w:hAnsi="Arial" w:cs="Arial"/>
          <w:lang w:val="fr-FR"/>
        </w:rPr>
        <w:t xml:space="preserve">Au moins 10% des patients ayant eu un premier entretien, ont également un deuxième entretien. </w:t>
      </w:r>
    </w:p>
    <w:p w14:paraId="5EE8A909" w14:textId="77777777" w:rsidR="0069300C" w:rsidRPr="007F02D7" w:rsidRDefault="0069300C" w:rsidP="0069300C">
      <w:pPr>
        <w:spacing w:line="276" w:lineRule="auto"/>
        <w:ind w:left="720"/>
        <w:rPr>
          <w:rFonts w:ascii="Arial" w:eastAsia="Arial" w:hAnsi="Arial" w:cs="Arial"/>
          <w:lang w:val="fr-FR"/>
        </w:rPr>
      </w:pPr>
    </w:p>
    <w:p w14:paraId="1EA997A9"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7.2.2.3. Mise en œuvre et enregistrement de l’entretien</w:t>
      </w:r>
    </w:p>
    <w:p w14:paraId="6B2BFC9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A long terme, on pourrait analyser s’il est possible de fixer des indicateurs, par exemple en faisant appel à des « </w:t>
      </w:r>
      <w:proofErr w:type="spellStart"/>
      <w:r w:rsidRPr="007F02D7">
        <w:rPr>
          <w:rFonts w:ascii="Arial" w:eastAsia="Arial" w:hAnsi="Arial" w:cs="Arial"/>
          <w:lang w:val="fr-FR"/>
        </w:rPr>
        <w:t>mystery</w:t>
      </w:r>
      <w:proofErr w:type="spellEnd"/>
      <w:r w:rsidRPr="007F02D7">
        <w:rPr>
          <w:rFonts w:ascii="Arial" w:eastAsia="Arial" w:hAnsi="Arial" w:cs="Arial"/>
          <w:lang w:val="fr-FR"/>
        </w:rPr>
        <w:t xml:space="preserve"> </w:t>
      </w:r>
      <w:proofErr w:type="spellStart"/>
      <w:r w:rsidRPr="007F02D7">
        <w:rPr>
          <w:rFonts w:ascii="Arial" w:eastAsia="Arial" w:hAnsi="Arial" w:cs="Arial"/>
          <w:lang w:val="fr-FR"/>
        </w:rPr>
        <w:t>guests</w:t>
      </w:r>
      <w:proofErr w:type="spellEnd"/>
      <w:r w:rsidRPr="007F02D7">
        <w:rPr>
          <w:rFonts w:ascii="Arial" w:eastAsia="Arial" w:hAnsi="Arial" w:cs="Arial"/>
          <w:lang w:val="fr-FR"/>
        </w:rPr>
        <w:t> », en organisant des interviews avec des patients pour qui un entretien a été porté en compte,  en rassemblant des informations structurées données lors du BUM (score ACT,…).</w:t>
      </w:r>
    </w:p>
    <w:p w14:paraId="11872B84" w14:textId="77777777" w:rsidR="0069300C" w:rsidRPr="007F02D7" w:rsidRDefault="0069300C" w:rsidP="0069300C">
      <w:pPr>
        <w:spacing w:line="276" w:lineRule="auto"/>
        <w:ind w:left="720"/>
        <w:jc w:val="both"/>
        <w:rPr>
          <w:rFonts w:ascii="Arial" w:eastAsia="Arial" w:hAnsi="Arial" w:cs="Arial"/>
          <w:lang w:val="fr-FR"/>
        </w:rPr>
      </w:pPr>
    </w:p>
    <w:p w14:paraId="099D3302" w14:textId="77777777" w:rsidR="0069300C" w:rsidRPr="007F02D7" w:rsidRDefault="0069300C" w:rsidP="0069300C">
      <w:pPr>
        <w:spacing w:line="276" w:lineRule="auto"/>
        <w:ind w:left="709"/>
        <w:jc w:val="both"/>
        <w:rPr>
          <w:rFonts w:ascii="Arial" w:eastAsia="Arial" w:hAnsi="Arial" w:cs="Arial"/>
          <w:b/>
          <w:smallCaps/>
          <w:u w:val="single"/>
          <w:lang w:val="fr-FR"/>
        </w:rPr>
      </w:pPr>
      <w:r w:rsidRPr="007F02D7">
        <w:rPr>
          <w:rFonts w:ascii="Arial" w:eastAsia="Arial" w:hAnsi="Arial" w:cs="Arial"/>
          <w:b/>
          <w:smallCaps/>
          <w:u w:val="single"/>
          <w:lang w:val="fr-FR"/>
        </w:rPr>
        <w:t>7.2.3. Indicateurs de résultats</w:t>
      </w:r>
    </w:p>
    <w:p w14:paraId="6EBA9536" w14:textId="77777777" w:rsidR="0069300C" w:rsidRPr="007F02D7" w:rsidRDefault="0069300C" w:rsidP="0069300C">
      <w:pPr>
        <w:spacing w:line="276" w:lineRule="auto"/>
        <w:ind w:left="720"/>
        <w:jc w:val="both"/>
        <w:rPr>
          <w:rFonts w:ascii="Arial" w:eastAsia="Arial" w:hAnsi="Arial" w:cs="Arial"/>
          <w:b/>
          <w:smallCaps/>
          <w:u w:val="single"/>
          <w:lang w:val="fr-FR"/>
        </w:rPr>
      </w:pPr>
    </w:p>
    <w:p w14:paraId="06FB2F62"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7.2.3.1. Patients sans surconsommation de bronchodilatateurs à courte durée d’action</w:t>
      </w:r>
    </w:p>
    <w:p w14:paraId="6D557254"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Une consommation importante de bronchodilatateurs à courte durée d’action peut indiquer que l’asthme n’est pas suffisamment sous contrôle (par exemple à cause d’une prise non correcte du traitement d’entretien). En soulignant la nécessité d’un usage correct via le BUM, on pourrait supposer que la consommation de cette médication diminuerait.</w:t>
      </w:r>
    </w:p>
    <w:p w14:paraId="020FF56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Différentes définitions pour le terme « surconsommation » sont possibles. Etant donné que les patients ont souvent des </w:t>
      </w:r>
      <w:proofErr w:type="spellStart"/>
      <w:r w:rsidRPr="007F02D7">
        <w:rPr>
          <w:rFonts w:ascii="Arial" w:eastAsia="Arial" w:hAnsi="Arial" w:cs="Arial"/>
          <w:lang w:val="fr-FR"/>
        </w:rPr>
        <w:t>nébulisateurs</w:t>
      </w:r>
      <w:proofErr w:type="spellEnd"/>
      <w:r w:rsidRPr="007F02D7">
        <w:rPr>
          <w:rFonts w:ascii="Arial" w:eastAsia="Arial" w:hAnsi="Arial" w:cs="Arial"/>
          <w:lang w:val="fr-FR"/>
        </w:rPr>
        <w:t xml:space="preserve"> « en réserve », nous vous proposons un calcul suffisamment large. De cette manière, nous sommes capables de sélectionner au mieux les surconsommations. </w:t>
      </w:r>
    </w:p>
    <w:p w14:paraId="3946580B" w14:textId="77777777" w:rsidR="00A90018"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Dans ce contexte, nous souhaiterions définir la surconsommation comme </w:t>
      </w:r>
      <w:r w:rsidRPr="007F02D7">
        <w:rPr>
          <w:rFonts w:ascii="Arial" w:eastAsia="Arial" w:hAnsi="Arial" w:cs="Arial"/>
          <w:i/>
          <w:lang w:val="fr-FR"/>
        </w:rPr>
        <w:t>une consommation de minimum 4 conditionnements par an</w:t>
      </w:r>
      <w:r w:rsidRPr="007F02D7">
        <w:rPr>
          <w:rFonts w:ascii="Arial" w:eastAsia="Arial" w:hAnsi="Arial" w:cs="Arial"/>
          <w:lang w:val="fr-FR"/>
        </w:rPr>
        <w:t xml:space="preserve"> (source voir étude en France : </w:t>
      </w:r>
      <w:r w:rsidRPr="007F02D7">
        <w:rPr>
          <w:rFonts w:ascii="Arial" w:eastAsia="Arial" w:hAnsi="Arial" w:cs="Arial"/>
          <w:i/>
          <w:lang w:val="fr-FR"/>
        </w:rPr>
        <w:t>Remboursement de médicaments antiasthmatiques : une approche de la prévalence et du contrôle de l’asthme</w:t>
      </w:r>
      <w:r w:rsidRPr="007F02D7">
        <w:rPr>
          <w:rFonts w:ascii="Arial" w:eastAsia="Arial" w:hAnsi="Arial" w:cs="Arial"/>
          <w:vertAlign w:val="superscript"/>
          <w:lang w:val="fr-FR"/>
        </w:rPr>
        <w:footnoteReference w:id="1"/>
      </w:r>
      <w:r w:rsidRPr="007F02D7">
        <w:rPr>
          <w:rFonts w:ascii="Arial" w:eastAsia="Arial" w:hAnsi="Arial" w:cs="Arial"/>
          <w:lang w:val="fr-FR"/>
        </w:rPr>
        <w:t>)</w:t>
      </w:r>
      <w:r w:rsidR="00A90018" w:rsidRPr="007F02D7">
        <w:rPr>
          <w:rFonts w:ascii="Arial" w:eastAsia="Arial" w:hAnsi="Arial" w:cs="Arial"/>
          <w:lang w:val="fr-FR"/>
        </w:rPr>
        <w:t>.</w:t>
      </w:r>
    </w:p>
    <w:p w14:paraId="5AAC7FDA" w14:textId="77777777" w:rsidR="005E3D93" w:rsidRPr="007F02D7" w:rsidRDefault="005E3D93" w:rsidP="005E3D93">
      <w:pPr>
        <w:spacing w:line="276" w:lineRule="auto"/>
        <w:ind w:left="720"/>
        <w:jc w:val="both"/>
        <w:rPr>
          <w:rFonts w:ascii="Arial" w:eastAsia="Arial" w:hAnsi="Arial" w:cs="Arial"/>
          <w:lang w:val="fr-FR"/>
        </w:rPr>
      </w:pPr>
      <w:r w:rsidRPr="007F02D7">
        <w:rPr>
          <w:rFonts w:ascii="Arial" w:eastAsia="Arial" w:hAnsi="Arial" w:cs="Arial"/>
          <w:lang w:val="fr-FR"/>
        </w:rPr>
        <w:t xml:space="preserve">En vue de définir la population de patients, nous observons la population de patients ayant déjà utilisé  des bronchodilatateurs à courte durée d’action avant la mise en œuvre du BUM. </w:t>
      </w:r>
    </w:p>
    <w:p w14:paraId="26B1C795" w14:textId="77777777" w:rsidR="005E3D93" w:rsidRPr="007F02D7" w:rsidRDefault="005E3D93" w:rsidP="00A90018">
      <w:pPr>
        <w:rPr>
          <w:rFonts w:eastAsia="Arial"/>
          <w:lang w:val="fr-FR"/>
        </w:rPr>
      </w:pPr>
    </w:p>
    <w:p w14:paraId="0D425C80" w14:textId="77777777" w:rsidR="005E3D93" w:rsidRPr="007F02D7" w:rsidRDefault="005E3D93" w:rsidP="00A90018">
      <w:pPr>
        <w:rPr>
          <w:rFonts w:eastAsia="Arial"/>
          <w:lang w:val="fr-FR"/>
        </w:rPr>
      </w:pPr>
    </w:p>
    <w:p w14:paraId="45E344E9" w14:textId="77777777" w:rsidR="00A90018" w:rsidRPr="007F02D7" w:rsidRDefault="00A90018" w:rsidP="00A90018">
      <w:pPr>
        <w:rPr>
          <w:rFonts w:eastAsia="Arial"/>
          <w:lang w:val="fr-FR"/>
        </w:rPr>
      </w:pPr>
      <w:r w:rsidRPr="007F02D7">
        <w:rPr>
          <w:rFonts w:eastAsia="Arial"/>
          <w:lang w:val="fr-FR"/>
        </w:rPr>
        <w:br w:type="page"/>
      </w:r>
    </w:p>
    <w:p w14:paraId="3AD77124" w14:textId="39F92A4C"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761C4B64"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368528F3" w14:textId="77777777" w:rsidR="00D60654" w:rsidRPr="007F02D7" w:rsidRDefault="0069300C" w:rsidP="00D60654">
      <w:pPr>
        <w:ind w:left="709"/>
        <w:rPr>
          <w:rFonts w:ascii="Arial" w:eastAsia="Arial" w:hAnsi="Arial" w:cs="Arial"/>
          <w:i/>
          <w:u w:val="single"/>
          <w:lang w:val="fr-FR"/>
        </w:rPr>
      </w:pPr>
      <w:r w:rsidRPr="007F02D7">
        <w:rPr>
          <w:rFonts w:ascii="Arial" w:eastAsia="Arial" w:hAnsi="Arial" w:cs="Arial"/>
          <w:i/>
          <w:u w:val="single"/>
          <w:lang w:val="fr-FR"/>
        </w:rPr>
        <w:t>Mesure :</w:t>
      </w:r>
    </w:p>
    <w:p w14:paraId="2D80C23A" w14:textId="77777777" w:rsidR="0069300C" w:rsidRPr="007F02D7" w:rsidRDefault="0069300C" w:rsidP="00D60654">
      <w:pPr>
        <w:ind w:left="709"/>
        <w:rPr>
          <w:rFonts w:ascii="Arial" w:eastAsia="Arial" w:hAnsi="Arial" w:cs="Arial"/>
          <w:lang w:val="fr-FR"/>
        </w:rPr>
      </w:pPr>
      <w:r w:rsidRPr="007F02D7">
        <w:rPr>
          <w:rFonts w:ascii="Arial" w:eastAsia="Arial" w:hAnsi="Arial" w:cs="Arial"/>
          <w:lang w:val="fr-FR"/>
        </w:rPr>
        <w:t>Pourcentage de patients avec une surconsommation de bronchodilatateurs à courte durée d’action</w:t>
      </w:r>
    </w:p>
    <w:p w14:paraId="3FA7FDA4" w14:textId="77777777" w:rsidR="0069300C" w:rsidRPr="007F02D7" w:rsidRDefault="0069300C" w:rsidP="00A90018">
      <w:pPr>
        <w:ind w:left="720"/>
        <w:jc w:val="both"/>
        <w:rPr>
          <w:rFonts w:ascii="Arial" w:eastAsia="Arial" w:hAnsi="Arial" w:cs="Arial"/>
          <w:u w:val="single"/>
          <w:lang w:val="fr-FR"/>
        </w:rPr>
      </w:pPr>
      <w:r w:rsidRPr="007F02D7">
        <w:rPr>
          <w:rFonts w:ascii="Arial" w:eastAsia="Arial" w:hAnsi="Arial" w:cs="Arial"/>
          <w:u w:val="single"/>
          <w:lang w:val="fr-FR"/>
        </w:rPr>
        <w:t>N.B.:</w:t>
      </w:r>
    </w:p>
    <w:p w14:paraId="2ABA5CDD" w14:textId="77777777" w:rsidR="0069300C" w:rsidRPr="007F02D7" w:rsidRDefault="0069300C" w:rsidP="00A90018">
      <w:pPr>
        <w:ind w:left="720"/>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Le groupe cible est fixé comme suit : les patients entre 5-50 ans utilisant des bronchodilatateurs à courte durée d’action avant le BUM, qui ont bénéficié d’un BUM et pour qui 4 ou plus de conditionnements de bronchodilatateurs à courte durée d’action ont été délivrés endéans une période de 12 mois après le BUM.</w:t>
      </w:r>
    </w:p>
    <w:p w14:paraId="4A894D6C" w14:textId="77777777" w:rsidR="0069300C" w:rsidRPr="007F02D7" w:rsidRDefault="0069300C" w:rsidP="0069300C">
      <w:pPr>
        <w:spacing w:line="276" w:lineRule="auto"/>
        <w:ind w:left="720"/>
        <w:jc w:val="both"/>
        <w:rPr>
          <w:rFonts w:ascii="Arial" w:eastAsia="Arial" w:hAnsi="Arial" w:cs="Arial"/>
          <w:lang w:val="fr-FR"/>
        </w:rPr>
      </w:pPr>
    </w:p>
    <w:p w14:paraId="106BF87C"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 xml:space="preserve">Objectif : </w:t>
      </w:r>
    </w:p>
    <w:p w14:paraId="19287521"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Baisse de 10% des patients en surconsommation (exprimé en %).</w:t>
      </w:r>
    </w:p>
    <w:p w14:paraId="402242CA" w14:textId="77777777" w:rsidR="0069300C" w:rsidRPr="007F02D7" w:rsidRDefault="0069300C" w:rsidP="0069300C">
      <w:pPr>
        <w:spacing w:line="276" w:lineRule="auto"/>
        <w:ind w:left="720"/>
        <w:jc w:val="both"/>
        <w:rPr>
          <w:rFonts w:ascii="Arial" w:eastAsia="Arial" w:hAnsi="Arial" w:cs="Arial"/>
          <w:lang w:val="fr-FR"/>
        </w:rPr>
      </w:pPr>
    </w:p>
    <w:p w14:paraId="7D690404"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7.2.3.2. Patients avec un usage oral de cortisone</w:t>
      </w:r>
    </w:p>
    <w:p w14:paraId="40CBF5F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Aux Pays-Bas, le pourcentage de patients est fixé à moins de 2 cures de cortisone de prednisolone comme mesure (et comme maximum) avant la manifestation d’exacerbations graves.</w:t>
      </w:r>
    </w:p>
    <w:p w14:paraId="6BA860A5" w14:textId="77777777" w:rsidR="0069300C" w:rsidRPr="007F02D7" w:rsidRDefault="0069300C" w:rsidP="0069300C">
      <w:pPr>
        <w:spacing w:line="276" w:lineRule="auto"/>
        <w:ind w:left="720"/>
        <w:jc w:val="both"/>
        <w:rPr>
          <w:rFonts w:ascii="Arial" w:eastAsia="Arial" w:hAnsi="Arial" w:cs="Arial"/>
          <w:lang w:val="fr-FR"/>
        </w:rPr>
      </w:pPr>
    </w:p>
    <w:p w14:paraId="35907834" w14:textId="77777777" w:rsidR="0069300C" w:rsidRPr="007F02D7" w:rsidRDefault="0069300C" w:rsidP="0069300C">
      <w:pPr>
        <w:spacing w:line="276" w:lineRule="auto"/>
        <w:ind w:left="720"/>
        <w:jc w:val="both"/>
        <w:rPr>
          <w:rFonts w:ascii="Arial" w:eastAsia="Arial" w:hAnsi="Arial" w:cs="Arial"/>
          <w:i/>
          <w:lang w:val="fr-FR"/>
        </w:rPr>
      </w:pPr>
      <w:r w:rsidRPr="007F02D7">
        <w:rPr>
          <w:rFonts w:ascii="Arial" w:eastAsia="Arial" w:hAnsi="Arial" w:cs="Arial"/>
          <w:lang w:val="fr-FR"/>
        </w:rPr>
        <w:t xml:space="preserve">Le CBIP donne les informations suivantes concernant le traitement d’exacerbations graves : </w:t>
      </w:r>
      <w:r w:rsidRPr="007F02D7">
        <w:rPr>
          <w:rFonts w:ascii="Arial" w:eastAsia="Arial" w:hAnsi="Arial" w:cs="Arial"/>
          <w:i/>
          <w:lang w:val="fr-FR"/>
        </w:rPr>
        <w:t>les corticostéroïdes systémiques sont indiqués en cas d’exacerbations graves, et ce dans une dose suffisamment élevée : 30 à 40 mg (méthyl)prednisolone par jour durant 7 jours</w:t>
      </w:r>
      <w:r w:rsidRPr="007F02D7">
        <w:rPr>
          <w:rFonts w:ascii="Arial" w:eastAsia="Arial" w:hAnsi="Arial" w:cs="Arial"/>
          <w:i/>
          <w:vertAlign w:val="superscript"/>
          <w:lang w:val="fr-FR"/>
        </w:rPr>
        <w:footnoteReference w:id="2"/>
      </w:r>
      <w:r w:rsidRPr="007F02D7">
        <w:rPr>
          <w:rFonts w:ascii="Arial" w:eastAsia="Arial" w:hAnsi="Arial" w:cs="Arial"/>
          <w:i/>
          <w:lang w:val="fr-FR"/>
        </w:rPr>
        <w:t>.</w:t>
      </w:r>
    </w:p>
    <w:p w14:paraId="026029DA" w14:textId="77777777" w:rsidR="0069300C" w:rsidRPr="007F02D7" w:rsidRDefault="0069300C" w:rsidP="0069300C">
      <w:pPr>
        <w:spacing w:line="276" w:lineRule="auto"/>
        <w:ind w:left="720"/>
        <w:jc w:val="both"/>
        <w:rPr>
          <w:rFonts w:ascii="Arial" w:eastAsia="Arial" w:hAnsi="Arial"/>
          <w:sz w:val="22"/>
          <w:szCs w:val="22"/>
          <w:lang w:val="fr-FR"/>
        </w:rPr>
      </w:pPr>
    </w:p>
    <w:p w14:paraId="3E324432" w14:textId="77777777" w:rsidR="0069300C" w:rsidRPr="007F02D7" w:rsidRDefault="0069300C" w:rsidP="0069300C">
      <w:pPr>
        <w:spacing w:after="300"/>
        <w:ind w:left="709"/>
        <w:contextualSpacing/>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En Belgique, la méthylprednisolone est sur le marché sous la forme de la spécialité </w:t>
      </w:r>
      <w:proofErr w:type="spellStart"/>
      <w:r w:rsidRPr="007F02D7">
        <w:rPr>
          <w:rFonts w:ascii="Arial" w:eastAsia="Arial" w:hAnsi="Arial" w:cs="Arial"/>
          <w:lang w:val="fr-FR"/>
        </w:rPr>
        <w:t>Médrol</w:t>
      </w:r>
      <w:proofErr w:type="spellEnd"/>
      <w:r w:rsidRPr="007F02D7">
        <w:rPr>
          <w:rFonts w:ascii="Arial" w:eastAsia="Arial" w:hAnsi="Arial" w:cs="Arial"/>
          <w:lang w:val="fr-FR"/>
        </w:rPr>
        <w:t>. Le conditionnement de 32 mg est remboursé dans la cat. A. Nous partons du principe que ce sera surtout ce conditionnement qui sera utilisé pour le traitement d’exacerbations. Deux traitements de choc correspondraient dans ce cas à 2 conditionnements (supposition).</w:t>
      </w:r>
    </w:p>
    <w:p w14:paraId="296F0E41" w14:textId="77777777" w:rsidR="0069300C" w:rsidRPr="007F02D7" w:rsidRDefault="0069300C" w:rsidP="0069300C">
      <w:pPr>
        <w:spacing w:after="300"/>
        <w:ind w:left="709"/>
        <w:contextualSpacing/>
        <w:jc w:val="both"/>
        <w:rPr>
          <w:rFonts w:ascii="Arial" w:eastAsia="Arial" w:hAnsi="Arial" w:cs="Arial"/>
          <w:lang w:val="fr-FR"/>
        </w:rPr>
      </w:pPr>
    </w:p>
    <w:p w14:paraId="2482A729" w14:textId="77777777" w:rsidR="0069300C" w:rsidRPr="007F02D7" w:rsidRDefault="0069300C" w:rsidP="0069300C">
      <w:pPr>
        <w:spacing w:after="300"/>
        <w:ind w:left="709"/>
        <w:contextualSpacing/>
        <w:jc w:val="both"/>
        <w:rPr>
          <w:rFonts w:ascii="Arial" w:eastAsia="Arial" w:hAnsi="Arial" w:cs="Arial"/>
          <w:i/>
          <w:u w:val="single"/>
          <w:lang w:val="fr-FR"/>
        </w:rPr>
      </w:pPr>
      <w:r w:rsidRPr="007F02D7">
        <w:rPr>
          <w:rFonts w:ascii="Arial" w:eastAsia="Arial" w:hAnsi="Arial" w:cs="Arial"/>
          <w:i/>
          <w:u w:val="single"/>
          <w:lang w:val="fr-FR"/>
        </w:rPr>
        <w:t>Mesure :</w:t>
      </w:r>
    </w:p>
    <w:p w14:paraId="435397A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Pourcentage de patients avec plus de 2 cures de cortisone endéans les 12 mois suivant le BUM.</w:t>
      </w:r>
    </w:p>
    <w:p w14:paraId="78EEA222" w14:textId="77777777" w:rsidR="0069300C" w:rsidRPr="007F02D7" w:rsidRDefault="0069300C" w:rsidP="0069300C">
      <w:pPr>
        <w:spacing w:line="276" w:lineRule="auto"/>
        <w:ind w:left="720"/>
        <w:jc w:val="both"/>
        <w:rPr>
          <w:rFonts w:ascii="Arial" w:eastAsia="Arial" w:hAnsi="Arial" w:cs="Arial"/>
          <w:u w:val="single"/>
          <w:lang w:val="fr-FR"/>
        </w:rPr>
      </w:pPr>
      <w:r w:rsidRPr="007F02D7">
        <w:rPr>
          <w:rFonts w:ascii="Arial" w:eastAsia="Arial" w:hAnsi="Arial" w:cs="Arial"/>
          <w:u w:val="single"/>
          <w:lang w:val="fr-FR"/>
        </w:rPr>
        <w:t>N.B.:</w:t>
      </w:r>
    </w:p>
    <w:p w14:paraId="75CEEDD5"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sym w:font="Symbol" w:char="F0AE"/>
      </w:r>
      <w:r w:rsidRPr="007F02D7">
        <w:rPr>
          <w:rFonts w:ascii="Arial" w:eastAsia="Arial" w:hAnsi="Arial" w:cs="Arial"/>
          <w:lang w:val="fr-FR"/>
        </w:rPr>
        <w:t xml:space="preserve"> Le groupe cible est fixé comme suit : patients de 5-50 ans ayant eu un BUM et à qui on a délivré 2 ou plus de conditionnements de </w:t>
      </w:r>
      <w:proofErr w:type="spellStart"/>
      <w:r w:rsidRPr="007F02D7">
        <w:rPr>
          <w:rFonts w:ascii="Arial" w:eastAsia="Arial" w:hAnsi="Arial" w:cs="Arial"/>
          <w:lang w:val="fr-FR"/>
        </w:rPr>
        <w:t>Médrol</w:t>
      </w:r>
      <w:proofErr w:type="spellEnd"/>
      <w:r w:rsidRPr="007F02D7">
        <w:rPr>
          <w:rFonts w:ascii="Arial" w:eastAsia="Arial" w:hAnsi="Arial" w:cs="Arial"/>
          <w:lang w:val="fr-FR"/>
        </w:rPr>
        <w:t xml:space="preserve"> 32 mg endéans les 12 mois suivant le BUM. Les patients souffrant de rhumatisme sont exclus. </w:t>
      </w:r>
    </w:p>
    <w:p w14:paraId="1E86EB68" w14:textId="77777777" w:rsidR="0069300C" w:rsidRPr="007F02D7" w:rsidRDefault="0069300C" w:rsidP="0069300C">
      <w:pPr>
        <w:spacing w:line="276" w:lineRule="auto"/>
        <w:ind w:left="720"/>
        <w:jc w:val="both"/>
        <w:rPr>
          <w:rFonts w:ascii="Arial" w:eastAsia="Arial" w:hAnsi="Arial" w:cs="Arial"/>
          <w:lang w:val="fr-FR"/>
        </w:rPr>
      </w:pPr>
    </w:p>
    <w:p w14:paraId="3901C554" w14:textId="77777777" w:rsidR="0069300C" w:rsidRPr="007F02D7" w:rsidRDefault="0069300C" w:rsidP="0069300C">
      <w:pPr>
        <w:spacing w:line="276" w:lineRule="auto"/>
        <w:ind w:left="720"/>
        <w:jc w:val="both"/>
        <w:rPr>
          <w:rFonts w:ascii="Arial" w:eastAsia="Arial" w:hAnsi="Arial" w:cs="Arial"/>
          <w:i/>
          <w:u w:val="single"/>
          <w:lang w:val="fr-FR"/>
        </w:rPr>
      </w:pPr>
      <w:r w:rsidRPr="007F02D7">
        <w:rPr>
          <w:rFonts w:ascii="Arial" w:eastAsia="Arial" w:hAnsi="Arial" w:cs="Arial"/>
          <w:i/>
          <w:u w:val="single"/>
          <w:lang w:val="fr-FR"/>
        </w:rPr>
        <w:t xml:space="preserve">Objectif : </w:t>
      </w:r>
    </w:p>
    <w:p w14:paraId="13FC0B79"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Baisse de 10% du pourcentage de patients utilisant plus de 2 conditionnements (oraux) de cortisone par an.</w:t>
      </w:r>
    </w:p>
    <w:p w14:paraId="4750E045" w14:textId="77777777" w:rsidR="0069300C" w:rsidRPr="007F02D7" w:rsidRDefault="0069300C" w:rsidP="0069300C">
      <w:pPr>
        <w:spacing w:line="276" w:lineRule="auto"/>
        <w:ind w:left="720"/>
        <w:contextualSpacing/>
        <w:jc w:val="both"/>
        <w:rPr>
          <w:rFonts w:ascii="Arial" w:hAnsi="Arial" w:cs="Arial"/>
          <w:lang w:val="fr-FR"/>
        </w:rPr>
      </w:pPr>
    </w:p>
    <w:p w14:paraId="04B8A391" w14:textId="77777777" w:rsidR="0069300C" w:rsidRPr="007F02D7" w:rsidRDefault="0069300C" w:rsidP="0069300C">
      <w:pPr>
        <w:spacing w:line="276" w:lineRule="auto"/>
        <w:ind w:left="720"/>
        <w:contextualSpacing/>
        <w:jc w:val="both"/>
        <w:rPr>
          <w:rFonts w:ascii="Arial" w:hAnsi="Arial" w:cs="Arial"/>
          <w:lang w:val="fr-FR"/>
        </w:rPr>
      </w:pPr>
    </w:p>
    <w:p w14:paraId="3A67A5C0"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7.2.3.3. Usage d’antimycosiques oraux</w:t>
      </w:r>
    </w:p>
    <w:p w14:paraId="354E99CE"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 xml:space="preserve">Ce pourcentage s’élève déjà à presque 100% et est moins pertinent. </w:t>
      </w:r>
    </w:p>
    <w:p w14:paraId="236F529F" w14:textId="77777777" w:rsidR="00A90018" w:rsidRPr="007F02D7" w:rsidRDefault="00A90018">
      <w:pPr>
        <w:widowControl/>
        <w:rPr>
          <w:rFonts w:ascii="Arial" w:eastAsia="Arial" w:hAnsi="Arial" w:cs="Arial"/>
          <w:b/>
          <w:bCs/>
          <w:lang w:val="fr-FR" w:eastAsia="nl-BE"/>
        </w:rPr>
      </w:pPr>
      <w:r w:rsidRPr="007F02D7">
        <w:rPr>
          <w:rFonts w:ascii="Arial" w:eastAsia="Arial" w:hAnsi="Arial" w:cs="Arial"/>
          <w:b/>
          <w:bCs/>
          <w:lang w:val="fr-FR" w:eastAsia="nl-BE"/>
        </w:rPr>
        <w:br w:type="page"/>
      </w:r>
    </w:p>
    <w:p w14:paraId="00C16EFD" w14:textId="0B7033DE"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17CB8F7E"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774C955C" w14:textId="77777777" w:rsidR="0069300C" w:rsidRPr="007F02D7" w:rsidRDefault="0069300C" w:rsidP="008318F2">
      <w:pPr>
        <w:widowControl/>
        <w:numPr>
          <w:ilvl w:val="1"/>
          <w:numId w:val="31"/>
        </w:numPr>
        <w:spacing w:before="240" w:line="259" w:lineRule="auto"/>
        <w:contextualSpacing/>
        <w:jc w:val="both"/>
        <w:rPr>
          <w:rFonts w:ascii="Arial" w:hAnsi="Arial" w:cs="Arial"/>
          <w:b/>
          <w:bCs/>
          <w:lang w:val="fr-FR" w:eastAsia="nl-BE"/>
        </w:rPr>
      </w:pPr>
      <w:r w:rsidRPr="007F02D7">
        <w:rPr>
          <w:rFonts w:ascii="Arial" w:hAnsi="Arial" w:cs="Arial"/>
          <w:b/>
          <w:u w:val="single"/>
          <w:lang w:val="fr-FR"/>
        </w:rPr>
        <w:t>Mise en œuvre pratique</w:t>
      </w:r>
    </w:p>
    <w:p w14:paraId="500AE5CA"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1 : fixation des indicateurs</w:t>
      </w:r>
    </w:p>
    <w:p w14:paraId="4D1E6640"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Voir ci-dessus.</w:t>
      </w:r>
    </w:p>
    <w:p w14:paraId="2245865C"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2 : mesure des valeurs actuelles de ces indicateurs (mesure de référence) et fixation des objectifs</w:t>
      </w:r>
    </w:p>
    <w:p w14:paraId="60403A7B"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Pour chaque indicateur, la mesure est faite sur la base des données disponibles. Ces valeurs sont utilisées comme base pour la fixation des objectifs.</w:t>
      </w:r>
    </w:p>
    <w:p w14:paraId="1B107054" w14:textId="77777777" w:rsidR="0069300C" w:rsidRPr="007F02D7" w:rsidRDefault="0069300C" w:rsidP="0069300C">
      <w:pPr>
        <w:spacing w:line="276" w:lineRule="auto"/>
        <w:ind w:left="720"/>
        <w:jc w:val="both"/>
        <w:rPr>
          <w:rFonts w:ascii="Arial" w:eastAsia="Arial" w:hAnsi="Arial" w:cs="Arial"/>
          <w:lang w:val="fr-FR"/>
        </w:rPr>
      </w:pPr>
    </w:p>
    <w:p w14:paraId="60B212B7"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Les données sont collectées tant par les unions professionnelles, que par les OA. Il est fait usage des données de 2014/2015.</w:t>
      </w:r>
    </w:p>
    <w:p w14:paraId="2A84EC45"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Timing : décembre 2016.</w:t>
      </w:r>
    </w:p>
    <w:p w14:paraId="4868DB39"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3 : suivi des indicateurs</w:t>
      </w:r>
    </w:p>
    <w:p w14:paraId="79AEF079"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En 2017, les indicateurs peuvent être suivis à des intervalles réguliers éventuellement.</w:t>
      </w:r>
    </w:p>
    <w:p w14:paraId="474C38D5" w14:textId="77777777" w:rsidR="0069300C" w:rsidRPr="007F02D7" w:rsidRDefault="0069300C" w:rsidP="0069300C">
      <w:pPr>
        <w:spacing w:before="240" w:line="276" w:lineRule="auto"/>
        <w:ind w:left="720"/>
        <w:jc w:val="both"/>
        <w:rPr>
          <w:rFonts w:ascii="Arial" w:eastAsia="Arial" w:hAnsi="Arial" w:cs="Arial"/>
          <w:b/>
          <w:smallCaps/>
          <w:u w:val="single"/>
          <w:lang w:val="fr-FR"/>
        </w:rPr>
      </w:pPr>
      <w:r w:rsidRPr="007F02D7">
        <w:rPr>
          <w:rFonts w:ascii="Arial" w:eastAsia="Arial" w:hAnsi="Arial" w:cs="Arial"/>
          <w:b/>
          <w:smallCaps/>
          <w:u w:val="single"/>
          <w:lang w:val="fr-FR"/>
        </w:rPr>
        <w:t>Etape 4 : évaluation des indicateurs</w:t>
      </w:r>
    </w:p>
    <w:p w14:paraId="522D2C5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Une évaluation de l’année 2017 sera réalisée en avril 2018. Les résultats obtenus seront comparés aux objectifs poursuivis. Si ces objectifs ne sont pas réalisés, un plan d’amélioration peut être établi. Il peut s’agir d’une amélioration de la communication chez les pharmaciens, une adaptation des formations proposées, une diffusion des formations adaptées, une communication chez les patients ou les médecins,…</w:t>
      </w:r>
    </w:p>
    <w:p w14:paraId="2A0B64E5" w14:textId="77777777" w:rsidR="0069300C" w:rsidRPr="007F02D7" w:rsidRDefault="0069300C" w:rsidP="0069300C">
      <w:pPr>
        <w:spacing w:line="276" w:lineRule="auto"/>
        <w:ind w:left="720"/>
        <w:jc w:val="both"/>
        <w:rPr>
          <w:rFonts w:ascii="Arial" w:eastAsia="Arial" w:hAnsi="Arial" w:cs="Arial"/>
          <w:lang w:val="fr-FR"/>
        </w:rPr>
      </w:pPr>
    </w:p>
    <w:p w14:paraId="122A63C2" w14:textId="77777777" w:rsidR="0069300C" w:rsidRPr="007F02D7" w:rsidRDefault="0069300C" w:rsidP="0069300C">
      <w:pPr>
        <w:spacing w:line="276" w:lineRule="auto"/>
        <w:ind w:left="720"/>
        <w:rPr>
          <w:rFonts w:ascii="Arial" w:eastAsia="Arial" w:hAnsi="Arial" w:cs="Arial"/>
          <w:b/>
          <w:bCs/>
          <w:lang w:val="fr-FR" w:eastAsia="nl-BE"/>
        </w:rPr>
      </w:pPr>
      <w:r w:rsidRPr="007F02D7">
        <w:rPr>
          <w:rFonts w:ascii="Arial" w:eastAsia="Arial" w:hAnsi="Arial" w:cs="Arial"/>
          <w:b/>
          <w:bCs/>
          <w:lang w:val="fr-FR" w:eastAsia="nl-BE"/>
        </w:rPr>
        <w:br w:type="page"/>
      </w:r>
    </w:p>
    <w:p w14:paraId="7F41D6A6" w14:textId="5C1C316C"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1BD4A1F5"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4755ED06" w14:textId="77777777" w:rsidR="0069300C" w:rsidRPr="007F02D7" w:rsidRDefault="0069300C" w:rsidP="0069300C">
      <w:pPr>
        <w:spacing w:before="100" w:beforeAutospacing="1" w:after="100" w:afterAutospacing="1"/>
        <w:ind w:left="720"/>
        <w:jc w:val="both"/>
        <w:outlineLvl w:val="2"/>
        <w:rPr>
          <w:rFonts w:ascii="Arial" w:eastAsia="Arial" w:hAnsi="Arial" w:cs="Arial"/>
          <w:b/>
          <w:bCs/>
          <w:lang w:val="fr-FR" w:eastAsia="nl-BE"/>
        </w:rPr>
      </w:pPr>
      <w:r w:rsidRPr="007F02D7">
        <w:rPr>
          <w:rFonts w:ascii="Arial" w:eastAsia="Arial" w:hAnsi="Arial" w:cs="Arial"/>
          <w:b/>
          <w:bCs/>
          <w:lang w:val="fr-FR" w:eastAsia="nl-BE"/>
        </w:rPr>
        <w:t>Annexe 1 : à titre d’information, premiers chiffres préliminaires de l’analyse</w:t>
      </w:r>
    </w:p>
    <w:p w14:paraId="4672E1C9"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1. Nombre de pharmaciens ayant suivis les formations</w:t>
      </w:r>
    </w:p>
    <w:p w14:paraId="404CB75C"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300C" w:rsidRPr="007F02D7" w14:paraId="0CF7086D" w14:textId="77777777" w:rsidTr="0069300C">
        <w:tc>
          <w:tcPr>
            <w:tcW w:w="9576" w:type="dxa"/>
            <w:gridSpan w:val="2"/>
            <w:tcBorders>
              <w:top w:val="single" w:sz="4" w:space="0" w:color="auto"/>
              <w:left w:val="single" w:sz="4" w:space="0" w:color="auto"/>
              <w:bottom w:val="single" w:sz="4" w:space="0" w:color="auto"/>
              <w:right w:val="single" w:sz="4" w:space="0" w:color="auto"/>
            </w:tcBorders>
          </w:tcPr>
          <w:p w14:paraId="5A230802" w14:textId="77777777"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Soirées d’informations ENM 2014-2015</w:t>
            </w:r>
          </w:p>
        </w:tc>
      </w:tr>
      <w:tr w:rsidR="0069300C" w:rsidRPr="007F02D7" w14:paraId="59731BE1" w14:textId="77777777" w:rsidTr="0069300C">
        <w:tc>
          <w:tcPr>
            <w:tcW w:w="4788" w:type="dxa"/>
            <w:tcBorders>
              <w:top w:val="single" w:sz="4" w:space="0" w:color="auto"/>
              <w:left w:val="single" w:sz="4" w:space="0" w:color="auto"/>
              <w:bottom w:val="single" w:sz="4" w:space="0" w:color="auto"/>
              <w:right w:val="single" w:sz="4" w:space="0" w:color="auto"/>
            </w:tcBorders>
          </w:tcPr>
          <w:p w14:paraId="7C0AECF3" w14:textId="77777777" w:rsidR="0069300C" w:rsidRPr="007F02D7" w:rsidRDefault="0069300C" w:rsidP="0069300C">
            <w:pPr>
              <w:ind w:left="720"/>
              <w:jc w:val="both"/>
              <w:rPr>
                <w:rFonts w:ascii="Arial" w:eastAsia="Arial" w:hAnsi="Arial" w:cs="Arial"/>
                <w:i/>
                <w:lang w:val="fr-FR"/>
              </w:rPr>
            </w:pPr>
            <w:r w:rsidRPr="007F02D7">
              <w:rPr>
                <w:rFonts w:ascii="Arial" w:eastAsia="Arial" w:hAnsi="Arial" w:cs="Arial"/>
                <w:i/>
                <w:lang w:val="fr-FR"/>
              </w:rPr>
              <w:t>Formation</w:t>
            </w:r>
          </w:p>
        </w:tc>
        <w:tc>
          <w:tcPr>
            <w:tcW w:w="4788" w:type="dxa"/>
            <w:tcBorders>
              <w:top w:val="single" w:sz="4" w:space="0" w:color="auto"/>
              <w:left w:val="single" w:sz="4" w:space="0" w:color="auto"/>
              <w:bottom w:val="single" w:sz="4" w:space="0" w:color="auto"/>
              <w:right w:val="single" w:sz="4" w:space="0" w:color="auto"/>
            </w:tcBorders>
          </w:tcPr>
          <w:p w14:paraId="4A311EB0" w14:textId="77777777" w:rsidR="0069300C" w:rsidRPr="007F02D7" w:rsidRDefault="0069300C" w:rsidP="0069300C">
            <w:pPr>
              <w:ind w:left="720"/>
              <w:jc w:val="both"/>
              <w:rPr>
                <w:rFonts w:ascii="Arial" w:eastAsia="Arial" w:hAnsi="Arial" w:cs="Arial"/>
                <w:i/>
                <w:lang w:val="fr-FR"/>
              </w:rPr>
            </w:pPr>
            <w:r w:rsidRPr="007F02D7">
              <w:rPr>
                <w:rFonts w:ascii="Arial" w:eastAsia="Arial" w:hAnsi="Arial" w:cs="Arial"/>
                <w:i/>
                <w:lang w:val="fr-FR"/>
              </w:rPr>
              <w:t>Nombre de participants</w:t>
            </w:r>
          </w:p>
        </w:tc>
      </w:tr>
      <w:tr w:rsidR="0069300C" w:rsidRPr="007F02D7" w14:paraId="5FC507F1" w14:textId="77777777" w:rsidTr="0069300C">
        <w:tc>
          <w:tcPr>
            <w:tcW w:w="4788" w:type="dxa"/>
            <w:tcBorders>
              <w:top w:val="single" w:sz="4" w:space="0" w:color="auto"/>
              <w:left w:val="single" w:sz="4" w:space="0" w:color="auto"/>
              <w:bottom w:val="single" w:sz="4" w:space="0" w:color="auto"/>
              <w:right w:val="single" w:sz="4" w:space="0" w:color="auto"/>
            </w:tcBorders>
          </w:tcPr>
          <w:p w14:paraId="30016DB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Aptitudes communicatives</w:t>
            </w:r>
          </w:p>
        </w:tc>
        <w:tc>
          <w:tcPr>
            <w:tcW w:w="4788" w:type="dxa"/>
            <w:tcBorders>
              <w:top w:val="single" w:sz="4" w:space="0" w:color="auto"/>
              <w:left w:val="single" w:sz="4" w:space="0" w:color="auto"/>
              <w:bottom w:val="single" w:sz="4" w:space="0" w:color="auto"/>
              <w:right w:val="single" w:sz="4" w:space="0" w:color="auto"/>
            </w:tcBorders>
          </w:tcPr>
          <w:p w14:paraId="41D9E8CE"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835</w:t>
            </w:r>
          </w:p>
        </w:tc>
      </w:tr>
    </w:tbl>
    <w:p w14:paraId="24CE91FA" w14:textId="77777777" w:rsidR="0069300C" w:rsidRPr="007F02D7" w:rsidRDefault="0069300C" w:rsidP="0069300C">
      <w:pPr>
        <w:spacing w:line="276" w:lineRule="auto"/>
        <w:ind w:left="720"/>
        <w:jc w:val="both"/>
        <w:rPr>
          <w:rFonts w:ascii="Arial" w:eastAsia="Arial" w:hAnsi="Arial" w:cs="Arial"/>
          <w:lang w:val="fr-FR"/>
        </w:rPr>
      </w:pPr>
    </w:p>
    <w:p w14:paraId="23C2ED1A"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2. Nombre de pharmaciens utilisant des outils pour structurer et accompagner l’entretien d’accompagnement</w:t>
      </w:r>
    </w:p>
    <w:p w14:paraId="080ECAA7"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9300C" w:rsidRPr="007F02D7" w14:paraId="0491FB18" w14:textId="77777777" w:rsidTr="0069300C">
        <w:tc>
          <w:tcPr>
            <w:tcW w:w="9576" w:type="dxa"/>
            <w:gridSpan w:val="2"/>
            <w:tcBorders>
              <w:top w:val="single" w:sz="4" w:space="0" w:color="auto"/>
              <w:left w:val="single" w:sz="4" w:space="0" w:color="auto"/>
              <w:bottom w:val="single" w:sz="4" w:space="0" w:color="auto"/>
              <w:right w:val="single" w:sz="4" w:space="0" w:color="auto"/>
            </w:tcBorders>
          </w:tcPr>
          <w:p w14:paraId="3A8111BB" w14:textId="77777777"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Utilisateurs uniques de l’outil</w:t>
            </w:r>
          </w:p>
        </w:tc>
      </w:tr>
      <w:tr w:rsidR="0069300C" w:rsidRPr="007F02D7" w14:paraId="4BDA3BB0" w14:textId="77777777" w:rsidTr="0069300C">
        <w:tc>
          <w:tcPr>
            <w:tcW w:w="4788" w:type="dxa"/>
            <w:tcBorders>
              <w:top w:val="single" w:sz="4" w:space="0" w:color="auto"/>
              <w:left w:val="single" w:sz="4" w:space="0" w:color="auto"/>
              <w:bottom w:val="single" w:sz="4" w:space="0" w:color="auto"/>
              <w:right w:val="single" w:sz="4" w:space="0" w:color="auto"/>
            </w:tcBorders>
          </w:tcPr>
          <w:p w14:paraId="6F5A781F"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2013</w:t>
            </w:r>
          </w:p>
        </w:tc>
        <w:tc>
          <w:tcPr>
            <w:tcW w:w="4788" w:type="dxa"/>
            <w:tcBorders>
              <w:top w:val="single" w:sz="4" w:space="0" w:color="auto"/>
              <w:left w:val="single" w:sz="4" w:space="0" w:color="auto"/>
              <w:bottom w:val="single" w:sz="4" w:space="0" w:color="auto"/>
              <w:right w:val="single" w:sz="4" w:space="0" w:color="auto"/>
            </w:tcBorders>
          </w:tcPr>
          <w:p w14:paraId="7CBF2423"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1718</w:t>
            </w:r>
          </w:p>
        </w:tc>
      </w:tr>
      <w:tr w:rsidR="0069300C" w:rsidRPr="007F02D7" w14:paraId="2DC6BD39" w14:textId="77777777" w:rsidTr="0069300C">
        <w:tc>
          <w:tcPr>
            <w:tcW w:w="4788" w:type="dxa"/>
            <w:tcBorders>
              <w:top w:val="single" w:sz="4" w:space="0" w:color="auto"/>
              <w:left w:val="single" w:sz="4" w:space="0" w:color="auto"/>
              <w:bottom w:val="single" w:sz="4" w:space="0" w:color="auto"/>
              <w:right w:val="single" w:sz="4" w:space="0" w:color="auto"/>
            </w:tcBorders>
          </w:tcPr>
          <w:p w14:paraId="0E30BB3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2014</w:t>
            </w:r>
          </w:p>
        </w:tc>
        <w:tc>
          <w:tcPr>
            <w:tcW w:w="4788" w:type="dxa"/>
            <w:tcBorders>
              <w:top w:val="single" w:sz="4" w:space="0" w:color="auto"/>
              <w:left w:val="single" w:sz="4" w:space="0" w:color="auto"/>
              <w:bottom w:val="single" w:sz="4" w:space="0" w:color="auto"/>
              <w:right w:val="single" w:sz="4" w:space="0" w:color="auto"/>
            </w:tcBorders>
          </w:tcPr>
          <w:p w14:paraId="7E8ACC2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1226</w:t>
            </w:r>
          </w:p>
        </w:tc>
      </w:tr>
      <w:tr w:rsidR="0069300C" w:rsidRPr="007F02D7" w14:paraId="7B270E1B" w14:textId="77777777" w:rsidTr="0069300C">
        <w:tc>
          <w:tcPr>
            <w:tcW w:w="4788" w:type="dxa"/>
            <w:tcBorders>
              <w:top w:val="single" w:sz="4" w:space="0" w:color="auto"/>
              <w:left w:val="single" w:sz="4" w:space="0" w:color="auto"/>
              <w:bottom w:val="single" w:sz="4" w:space="0" w:color="auto"/>
              <w:right w:val="single" w:sz="4" w:space="0" w:color="auto"/>
            </w:tcBorders>
          </w:tcPr>
          <w:p w14:paraId="3C56117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2015</w:t>
            </w:r>
          </w:p>
        </w:tc>
        <w:tc>
          <w:tcPr>
            <w:tcW w:w="4788" w:type="dxa"/>
            <w:tcBorders>
              <w:top w:val="single" w:sz="4" w:space="0" w:color="auto"/>
              <w:left w:val="single" w:sz="4" w:space="0" w:color="auto"/>
              <w:bottom w:val="single" w:sz="4" w:space="0" w:color="auto"/>
              <w:right w:val="single" w:sz="4" w:space="0" w:color="auto"/>
            </w:tcBorders>
          </w:tcPr>
          <w:p w14:paraId="4CE7FECE"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701</w:t>
            </w:r>
          </w:p>
        </w:tc>
      </w:tr>
      <w:tr w:rsidR="0069300C" w:rsidRPr="007F02D7" w14:paraId="60E6E6BF" w14:textId="77777777" w:rsidTr="0069300C">
        <w:tc>
          <w:tcPr>
            <w:tcW w:w="4788" w:type="dxa"/>
            <w:tcBorders>
              <w:top w:val="single" w:sz="4" w:space="0" w:color="auto"/>
              <w:left w:val="single" w:sz="4" w:space="0" w:color="auto"/>
              <w:bottom w:val="single" w:sz="4" w:space="0" w:color="auto"/>
              <w:right w:val="single" w:sz="4" w:space="0" w:color="auto"/>
            </w:tcBorders>
          </w:tcPr>
          <w:p w14:paraId="245529E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2016 (jusqu’au 26/07)</w:t>
            </w:r>
          </w:p>
        </w:tc>
        <w:tc>
          <w:tcPr>
            <w:tcW w:w="4788" w:type="dxa"/>
            <w:tcBorders>
              <w:top w:val="single" w:sz="4" w:space="0" w:color="auto"/>
              <w:left w:val="single" w:sz="4" w:space="0" w:color="auto"/>
              <w:bottom w:val="single" w:sz="4" w:space="0" w:color="auto"/>
              <w:right w:val="single" w:sz="4" w:space="0" w:color="auto"/>
            </w:tcBorders>
          </w:tcPr>
          <w:p w14:paraId="7234712E"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336</w:t>
            </w:r>
          </w:p>
        </w:tc>
      </w:tr>
      <w:tr w:rsidR="0069300C" w:rsidRPr="007F02D7" w14:paraId="74AEEABD" w14:textId="77777777" w:rsidTr="0069300C">
        <w:tc>
          <w:tcPr>
            <w:tcW w:w="4788" w:type="dxa"/>
            <w:tcBorders>
              <w:top w:val="single" w:sz="4" w:space="0" w:color="auto"/>
              <w:left w:val="single" w:sz="4" w:space="0" w:color="auto"/>
              <w:bottom w:val="single" w:sz="4" w:space="0" w:color="auto"/>
              <w:right w:val="single" w:sz="4" w:space="0" w:color="auto"/>
            </w:tcBorders>
          </w:tcPr>
          <w:p w14:paraId="152F231A" w14:textId="77777777" w:rsidR="0069300C" w:rsidRPr="007F02D7" w:rsidRDefault="0069300C" w:rsidP="0069300C">
            <w:pPr>
              <w:ind w:left="720"/>
              <w:jc w:val="both"/>
              <w:rPr>
                <w:rFonts w:ascii="Arial" w:eastAsia="Arial" w:hAnsi="Arial" w:cs="Arial"/>
                <w:b/>
                <w:lang w:val="fr-FR"/>
              </w:rPr>
            </w:pPr>
            <w:r w:rsidRPr="007F02D7">
              <w:rPr>
                <w:rFonts w:ascii="Arial" w:eastAsia="Arial" w:hAnsi="Arial" w:cs="Arial"/>
                <w:b/>
                <w:lang w:val="fr-FR"/>
              </w:rPr>
              <w:t>Total</w:t>
            </w:r>
          </w:p>
        </w:tc>
        <w:tc>
          <w:tcPr>
            <w:tcW w:w="4788" w:type="dxa"/>
            <w:tcBorders>
              <w:top w:val="single" w:sz="4" w:space="0" w:color="auto"/>
              <w:left w:val="single" w:sz="4" w:space="0" w:color="auto"/>
              <w:bottom w:val="single" w:sz="4" w:space="0" w:color="auto"/>
              <w:right w:val="single" w:sz="4" w:space="0" w:color="auto"/>
            </w:tcBorders>
          </w:tcPr>
          <w:p w14:paraId="4C625DA2"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2463</w:t>
            </w:r>
          </w:p>
        </w:tc>
      </w:tr>
    </w:tbl>
    <w:p w14:paraId="75703B29" w14:textId="77777777" w:rsidR="0069300C" w:rsidRPr="007F02D7" w:rsidRDefault="0069300C" w:rsidP="0069300C">
      <w:pPr>
        <w:spacing w:line="276" w:lineRule="auto"/>
        <w:ind w:left="720"/>
        <w:jc w:val="both"/>
        <w:rPr>
          <w:rFonts w:ascii="Arial" w:eastAsia="Arial" w:hAnsi="Arial" w:cs="Arial"/>
          <w:b/>
          <w:i/>
          <w:u w:val="single"/>
          <w:lang w:val="fr-FR"/>
        </w:rPr>
      </w:pPr>
    </w:p>
    <w:p w14:paraId="6D9A8050"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3. Nombre d’entretiens chez les utilisateurs de CSI</w:t>
      </w:r>
    </w:p>
    <w:p w14:paraId="5B3976F8"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1381"/>
        <w:gridCol w:w="1381"/>
      </w:tblGrid>
      <w:tr w:rsidR="0069300C" w:rsidRPr="007F02D7" w14:paraId="3CAF946C" w14:textId="77777777" w:rsidTr="0069300C">
        <w:tc>
          <w:tcPr>
            <w:tcW w:w="2394" w:type="dxa"/>
            <w:tcBorders>
              <w:top w:val="single" w:sz="4" w:space="0" w:color="auto"/>
              <w:left w:val="single" w:sz="4" w:space="0" w:color="auto"/>
              <w:bottom w:val="single" w:sz="4" w:space="0" w:color="auto"/>
              <w:right w:val="single" w:sz="4" w:space="0" w:color="auto"/>
            </w:tcBorders>
          </w:tcPr>
          <w:p w14:paraId="4695F650" w14:textId="77777777" w:rsidR="0069300C" w:rsidRPr="007F02D7" w:rsidRDefault="0069300C" w:rsidP="0069300C">
            <w:pPr>
              <w:ind w:left="720"/>
              <w:jc w:val="both"/>
              <w:rPr>
                <w:rFonts w:ascii="Arial" w:eastAsia="Arial" w:hAnsi="Arial" w:cs="Arial"/>
                <w:lang w:val="fr-FR"/>
              </w:rPr>
            </w:pPr>
          </w:p>
        </w:tc>
        <w:tc>
          <w:tcPr>
            <w:tcW w:w="1258" w:type="dxa"/>
            <w:tcBorders>
              <w:top w:val="single" w:sz="4" w:space="0" w:color="auto"/>
              <w:left w:val="single" w:sz="4" w:space="0" w:color="auto"/>
              <w:bottom w:val="single" w:sz="4" w:space="0" w:color="auto"/>
              <w:right w:val="single" w:sz="4" w:space="0" w:color="auto"/>
            </w:tcBorders>
          </w:tcPr>
          <w:p w14:paraId="02173C53"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2014</w:t>
            </w:r>
          </w:p>
        </w:tc>
        <w:tc>
          <w:tcPr>
            <w:tcW w:w="851" w:type="dxa"/>
            <w:tcBorders>
              <w:top w:val="single" w:sz="4" w:space="0" w:color="auto"/>
              <w:left w:val="single" w:sz="4" w:space="0" w:color="auto"/>
              <w:bottom w:val="single" w:sz="4" w:space="0" w:color="auto"/>
              <w:right w:val="single" w:sz="4" w:space="0" w:color="auto"/>
            </w:tcBorders>
          </w:tcPr>
          <w:p w14:paraId="5071E6C9"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2015</w:t>
            </w:r>
          </w:p>
        </w:tc>
      </w:tr>
      <w:tr w:rsidR="0069300C" w:rsidRPr="007F02D7" w14:paraId="58A06058" w14:textId="77777777" w:rsidTr="0069300C">
        <w:tc>
          <w:tcPr>
            <w:tcW w:w="2394" w:type="dxa"/>
            <w:tcBorders>
              <w:top w:val="single" w:sz="4" w:space="0" w:color="auto"/>
              <w:left w:val="single" w:sz="4" w:space="0" w:color="auto"/>
              <w:bottom w:val="single" w:sz="4" w:space="0" w:color="auto"/>
              <w:right w:val="single" w:sz="4" w:space="0" w:color="auto"/>
            </w:tcBorders>
          </w:tcPr>
          <w:p w14:paraId="36DDD73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1</w:t>
            </w:r>
            <w:r w:rsidRPr="007F02D7">
              <w:rPr>
                <w:rFonts w:ascii="Arial" w:eastAsia="Arial" w:hAnsi="Arial" w:cs="Arial"/>
                <w:vertAlign w:val="superscript"/>
                <w:lang w:val="fr-FR"/>
              </w:rPr>
              <w:t>er</w:t>
            </w:r>
            <w:r w:rsidRPr="007F02D7">
              <w:rPr>
                <w:rFonts w:ascii="Arial" w:eastAsia="Arial" w:hAnsi="Arial" w:cs="Arial"/>
                <w:lang w:val="fr-FR"/>
              </w:rPr>
              <w:t xml:space="preserve"> entretien</w:t>
            </w:r>
          </w:p>
        </w:tc>
        <w:tc>
          <w:tcPr>
            <w:tcW w:w="1258" w:type="dxa"/>
            <w:tcBorders>
              <w:top w:val="single" w:sz="4" w:space="0" w:color="auto"/>
              <w:left w:val="single" w:sz="4" w:space="0" w:color="auto"/>
              <w:bottom w:val="single" w:sz="4" w:space="0" w:color="auto"/>
              <w:right w:val="single" w:sz="4" w:space="0" w:color="auto"/>
            </w:tcBorders>
          </w:tcPr>
          <w:p w14:paraId="7795321D"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7232</w:t>
            </w:r>
          </w:p>
        </w:tc>
        <w:tc>
          <w:tcPr>
            <w:tcW w:w="851" w:type="dxa"/>
            <w:tcBorders>
              <w:top w:val="single" w:sz="4" w:space="0" w:color="auto"/>
              <w:left w:val="single" w:sz="4" w:space="0" w:color="auto"/>
              <w:bottom w:val="single" w:sz="4" w:space="0" w:color="auto"/>
              <w:right w:val="single" w:sz="4" w:space="0" w:color="auto"/>
            </w:tcBorders>
          </w:tcPr>
          <w:p w14:paraId="31B06F0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9736</w:t>
            </w:r>
          </w:p>
        </w:tc>
      </w:tr>
      <w:tr w:rsidR="0069300C" w:rsidRPr="007F02D7" w14:paraId="762F0D95" w14:textId="77777777" w:rsidTr="0069300C">
        <w:tc>
          <w:tcPr>
            <w:tcW w:w="2394" w:type="dxa"/>
            <w:tcBorders>
              <w:top w:val="single" w:sz="4" w:space="0" w:color="auto"/>
              <w:left w:val="single" w:sz="4" w:space="0" w:color="auto"/>
              <w:bottom w:val="single" w:sz="4" w:space="0" w:color="auto"/>
              <w:right w:val="single" w:sz="4" w:space="0" w:color="auto"/>
            </w:tcBorders>
          </w:tcPr>
          <w:p w14:paraId="1B9CF307"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2</w:t>
            </w:r>
            <w:r w:rsidRPr="007F02D7">
              <w:rPr>
                <w:rFonts w:ascii="Arial" w:eastAsia="Arial" w:hAnsi="Arial" w:cs="Arial"/>
                <w:vertAlign w:val="superscript"/>
                <w:lang w:val="fr-FR"/>
              </w:rPr>
              <w:t>ème</w:t>
            </w:r>
            <w:r w:rsidRPr="007F02D7">
              <w:rPr>
                <w:rFonts w:ascii="Arial" w:eastAsia="Arial" w:hAnsi="Arial" w:cs="Arial"/>
                <w:lang w:val="fr-FR"/>
              </w:rPr>
              <w:t xml:space="preserve"> entretien</w:t>
            </w:r>
          </w:p>
        </w:tc>
        <w:tc>
          <w:tcPr>
            <w:tcW w:w="1258" w:type="dxa"/>
            <w:tcBorders>
              <w:top w:val="single" w:sz="4" w:space="0" w:color="auto"/>
              <w:left w:val="single" w:sz="4" w:space="0" w:color="auto"/>
              <w:bottom w:val="single" w:sz="4" w:space="0" w:color="auto"/>
              <w:right w:val="single" w:sz="4" w:space="0" w:color="auto"/>
            </w:tcBorders>
          </w:tcPr>
          <w:p w14:paraId="6F240BF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595</w:t>
            </w:r>
          </w:p>
        </w:tc>
        <w:tc>
          <w:tcPr>
            <w:tcW w:w="851" w:type="dxa"/>
            <w:tcBorders>
              <w:top w:val="single" w:sz="4" w:space="0" w:color="auto"/>
              <w:left w:val="single" w:sz="4" w:space="0" w:color="auto"/>
              <w:bottom w:val="single" w:sz="4" w:space="0" w:color="auto"/>
              <w:right w:val="single" w:sz="4" w:space="0" w:color="auto"/>
            </w:tcBorders>
          </w:tcPr>
          <w:p w14:paraId="54EBD3F4"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674</w:t>
            </w:r>
          </w:p>
        </w:tc>
      </w:tr>
      <w:tr w:rsidR="0069300C" w:rsidRPr="007F02D7" w14:paraId="058B25DD" w14:textId="77777777" w:rsidTr="0069300C">
        <w:tc>
          <w:tcPr>
            <w:tcW w:w="2394" w:type="dxa"/>
            <w:tcBorders>
              <w:top w:val="single" w:sz="4" w:space="0" w:color="auto"/>
              <w:left w:val="single" w:sz="4" w:space="0" w:color="auto"/>
              <w:bottom w:val="single" w:sz="4" w:space="0" w:color="auto"/>
              <w:right w:val="single" w:sz="4" w:space="0" w:color="auto"/>
            </w:tcBorders>
          </w:tcPr>
          <w:p w14:paraId="0628F41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 2</w:t>
            </w:r>
            <w:r w:rsidRPr="007F02D7">
              <w:rPr>
                <w:rFonts w:ascii="Arial" w:eastAsia="Arial" w:hAnsi="Arial" w:cs="Arial"/>
                <w:vertAlign w:val="superscript"/>
                <w:lang w:val="fr-FR"/>
              </w:rPr>
              <w:t>ème</w:t>
            </w:r>
            <w:r w:rsidRPr="007F02D7">
              <w:rPr>
                <w:rFonts w:ascii="Arial" w:eastAsia="Arial" w:hAnsi="Arial" w:cs="Arial"/>
                <w:lang w:val="fr-FR"/>
              </w:rPr>
              <w:t>/1</w:t>
            </w:r>
            <w:r w:rsidRPr="007F02D7">
              <w:rPr>
                <w:rFonts w:ascii="Arial" w:eastAsia="Arial" w:hAnsi="Arial" w:cs="Arial"/>
                <w:vertAlign w:val="superscript"/>
                <w:lang w:val="fr-FR"/>
              </w:rPr>
              <w:t>er</w:t>
            </w:r>
            <w:r w:rsidRPr="007F02D7">
              <w:rPr>
                <w:rFonts w:ascii="Arial" w:eastAsia="Arial" w:hAnsi="Arial" w:cs="Arial"/>
                <w:lang w:val="fr-FR"/>
              </w:rPr>
              <w:t xml:space="preserve"> (%)</w:t>
            </w:r>
          </w:p>
        </w:tc>
        <w:tc>
          <w:tcPr>
            <w:tcW w:w="1258" w:type="dxa"/>
            <w:tcBorders>
              <w:top w:val="single" w:sz="4" w:space="0" w:color="auto"/>
              <w:left w:val="single" w:sz="4" w:space="0" w:color="auto"/>
              <w:bottom w:val="single" w:sz="4" w:space="0" w:color="auto"/>
              <w:right w:val="single" w:sz="4" w:space="0" w:color="auto"/>
            </w:tcBorders>
          </w:tcPr>
          <w:p w14:paraId="6C28934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8.2</w:t>
            </w:r>
          </w:p>
        </w:tc>
        <w:tc>
          <w:tcPr>
            <w:tcW w:w="851" w:type="dxa"/>
            <w:tcBorders>
              <w:top w:val="single" w:sz="4" w:space="0" w:color="auto"/>
              <w:left w:val="single" w:sz="4" w:space="0" w:color="auto"/>
              <w:bottom w:val="single" w:sz="4" w:space="0" w:color="auto"/>
              <w:right w:val="single" w:sz="4" w:space="0" w:color="auto"/>
            </w:tcBorders>
          </w:tcPr>
          <w:p w14:paraId="6BA72033"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6.9</w:t>
            </w:r>
          </w:p>
        </w:tc>
      </w:tr>
    </w:tbl>
    <w:p w14:paraId="463840F6" w14:textId="77777777" w:rsidR="0069300C" w:rsidRPr="007F02D7" w:rsidRDefault="0069300C" w:rsidP="0069300C">
      <w:pPr>
        <w:spacing w:line="276" w:lineRule="auto"/>
        <w:ind w:left="720"/>
        <w:jc w:val="both"/>
        <w:rPr>
          <w:rFonts w:ascii="Arial" w:eastAsia="Arial" w:hAnsi="Arial" w:cs="Arial"/>
          <w:lang w:val="fr-FR"/>
        </w:rPr>
      </w:pPr>
    </w:p>
    <w:p w14:paraId="7721079D"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b/>
          <w:i/>
          <w:u w:val="single"/>
          <w:lang w:val="fr-FR"/>
        </w:rPr>
        <w:t>4. Patients sans surconsommation de bronchodilatateurs à courte durée d’action</w:t>
      </w:r>
    </w:p>
    <w:p w14:paraId="492E019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MLOZ/CM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827"/>
        <w:gridCol w:w="3119"/>
        <w:gridCol w:w="992"/>
        <w:gridCol w:w="1417"/>
      </w:tblGrid>
      <w:tr w:rsidR="0069300C" w:rsidRPr="007F02D7" w14:paraId="5CA19AD6" w14:textId="77777777" w:rsidTr="0069300C">
        <w:tc>
          <w:tcPr>
            <w:tcW w:w="959" w:type="dxa"/>
            <w:tcBorders>
              <w:top w:val="single" w:sz="4" w:space="0" w:color="auto"/>
              <w:left w:val="single" w:sz="4" w:space="0" w:color="auto"/>
              <w:bottom w:val="single" w:sz="4" w:space="0" w:color="auto"/>
              <w:right w:val="single" w:sz="4" w:space="0" w:color="auto"/>
            </w:tcBorders>
          </w:tcPr>
          <w:p w14:paraId="05005C9F" w14:textId="77777777" w:rsidR="0069300C" w:rsidRPr="007F02D7" w:rsidRDefault="0069300C" w:rsidP="0069300C">
            <w:pPr>
              <w:ind w:left="720"/>
              <w:jc w:val="both"/>
              <w:rPr>
                <w:rFonts w:ascii="Arial" w:eastAsia="Arial" w:hAnsi="Arial" w:cs="Arial"/>
                <w:lang w:val="fr-FR"/>
              </w:rPr>
            </w:pPr>
          </w:p>
        </w:tc>
        <w:tc>
          <w:tcPr>
            <w:tcW w:w="3827" w:type="dxa"/>
            <w:tcBorders>
              <w:top w:val="single" w:sz="4" w:space="0" w:color="auto"/>
              <w:left w:val="single" w:sz="4" w:space="0" w:color="auto"/>
              <w:bottom w:val="single" w:sz="4" w:space="0" w:color="auto"/>
              <w:right w:val="single" w:sz="4" w:space="0" w:color="auto"/>
            </w:tcBorders>
            <w:vAlign w:val="center"/>
          </w:tcPr>
          <w:p w14:paraId="79EDF3E9"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Nombre de patients ayant eu un ENM et pour lesquels un bronchodilatateur a été facturé</w:t>
            </w:r>
          </w:p>
        </w:tc>
        <w:tc>
          <w:tcPr>
            <w:tcW w:w="3119" w:type="dxa"/>
            <w:tcBorders>
              <w:top w:val="single" w:sz="4" w:space="0" w:color="auto"/>
              <w:left w:val="single" w:sz="4" w:space="0" w:color="auto"/>
              <w:bottom w:val="single" w:sz="4" w:space="0" w:color="auto"/>
              <w:right w:val="single" w:sz="4" w:space="0" w:color="auto"/>
            </w:tcBorders>
            <w:vAlign w:val="center"/>
          </w:tcPr>
          <w:p w14:paraId="38B31BAB"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Nombre de patients avec  plus de </w:t>
            </w:r>
            <w:r w:rsidRPr="007F02D7">
              <w:rPr>
                <w:rFonts w:ascii="Arial" w:eastAsia="Arial" w:hAnsi="Arial" w:cs="Arial"/>
                <w:b/>
                <w:lang w:val="fr-FR"/>
              </w:rPr>
              <w:t>4 conditionnements par an</w:t>
            </w:r>
          </w:p>
        </w:tc>
        <w:tc>
          <w:tcPr>
            <w:tcW w:w="992" w:type="dxa"/>
            <w:tcBorders>
              <w:top w:val="single" w:sz="4" w:space="0" w:color="auto"/>
              <w:left w:val="single" w:sz="4" w:space="0" w:color="auto"/>
              <w:bottom w:val="single" w:sz="4" w:space="0" w:color="auto"/>
              <w:right w:val="single" w:sz="4" w:space="0" w:color="auto"/>
            </w:tcBorders>
            <w:vAlign w:val="center"/>
          </w:tcPr>
          <w:p w14:paraId="4A3949DC"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12D3557D"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 </w:t>
            </w:r>
            <w:r w:rsidRPr="007F02D7">
              <w:rPr>
                <w:rFonts w:ascii="Arial" w:eastAsia="Arial" w:hAnsi="Arial" w:cs="Arial"/>
                <w:b/>
                <w:lang w:val="fr-FR"/>
              </w:rPr>
              <w:t>sans</w:t>
            </w:r>
          </w:p>
          <w:p w14:paraId="50836AB6" w14:textId="77777777" w:rsidR="0069300C" w:rsidRPr="007F02D7" w:rsidRDefault="0069300C" w:rsidP="0069300C">
            <w:pPr>
              <w:rPr>
                <w:rFonts w:ascii="Arial" w:eastAsia="Arial" w:hAnsi="Arial" w:cs="Arial"/>
                <w:lang w:val="fr-FR"/>
              </w:rPr>
            </w:pPr>
            <w:proofErr w:type="spellStart"/>
            <w:r w:rsidRPr="007F02D7">
              <w:rPr>
                <w:rFonts w:ascii="Arial" w:eastAsia="Arial" w:hAnsi="Arial" w:cs="Arial"/>
                <w:lang w:val="fr-FR"/>
              </w:rPr>
              <w:t>surconsomm</w:t>
            </w:r>
            <w:proofErr w:type="spellEnd"/>
          </w:p>
        </w:tc>
      </w:tr>
      <w:tr w:rsidR="0069300C" w:rsidRPr="007F02D7" w14:paraId="3EC89A80"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3EBDF1F6"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MLOZ</w:t>
            </w:r>
          </w:p>
        </w:tc>
        <w:tc>
          <w:tcPr>
            <w:tcW w:w="3827" w:type="dxa"/>
            <w:tcBorders>
              <w:top w:val="single" w:sz="4" w:space="0" w:color="auto"/>
              <w:left w:val="single" w:sz="4" w:space="0" w:color="auto"/>
              <w:bottom w:val="single" w:sz="4" w:space="0" w:color="auto"/>
              <w:right w:val="single" w:sz="4" w:space="0" w:color="auto"/>
            </w:tcBorders>
          </w:tcPr>
          <w:p w14:paraId="17F84BA0"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676</w:t>
            </w:r>
          </w:p>
        </w:tc>
        <w:tc>
          <w:tcPr>
            <w:tcW w:w="3119" w:type="dxa"/>
            <w:tcBorders>
              <w:top w:val="single" w:sz="4" w:space="0" w:color="auto"/>
              <w:left w:val="single" w:sz="4" w:space="0" w:color="auto"/>
              <w:bottom w:val="single" w:sz="4" w:space="0" w:color="auto"/>
              <w:right w:val="single" w:sz="4" w:space="0" w:color="auto"/>
            </w:tcBorders>
          </w:tcPr>
          <w:p w14:paraId="2B7A0A20"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138</w:t>
            </w:r>
          </w:p>
        </w:tc>
        <w:tc>
          <w:tcPr>
            <w:tcW w:w="992" w:type="dxa"/>
            <w:tcBorders>
              <w:top w:val="single" w:sz="4" w:space="0" w:color="auto"/>
              <w:left w:val="single" w:sz="4" w:space="0" w:color="auto"/>
              <w:bottom w:val="single" w:sz="4" w:space="0" w:color="auto"/>
              <w:right w:val="single" w:sz="4" w:space="0" w:color="auto"/>
            </w:tcBorders>
          </w:tcPr>
          <w:p w14:paraId="03E32EAB"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20,4% </w:t>
            </w:r>
          </w:p>
        </w:tc>
        <w:tc>
          <w:tcPr>
            <w:tcW w:w="1417" w:type="dxa"/>
            <w:tcBorders>
              <w:top w:val="single" w:sz="4" w:space="0" w:color="auto"/>
              <w:left w:val="single" w:sz="4" w:space="0" w:color="auto"/>
              <w:bottom w:val="single" w:sz="4" w:space="0" w:color="auto"/>
              <w:right w:val="single" w:sz="4" w:space="0" w:color="auto"/>
            </w:tcBorders>
          </w:tcPr>
          <w:p w14:paraId="3D81FCB6"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79,6%</w:t>
            </w:r>
          </w:p>
        </w:tc>
      </w:tr>
      <w:tr w:rsidR="0069300C" w:rsidRPr="007F02D7" w14:paraId="53CF6913"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30DBE5CF"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CM</w:t>
            </w:r>
          </w:p>
        </w:tc>
        <w:tc>
          <w:tcPr>
            <w:tcW w:w="3827" w:type="dxa"/>
            <w:tcBorders>
              <w:top w:val="single" w:sz="4" w:space="0" w:color="auto"/>
              <w:left w:val="single" w:sz="4" w:space="0" w:color="auto"/>
              <w:bottom w:val="single" w:sz="4" w:space="0" w:color="auto"/>
              <w:right w:val="single" w:sz="4" w:space="0" w:color="auto"/>
            </w:tcBorders>
          </w:tcPr>
          <w:p w14:paraId="7F0C10B6" w14:textId="77777777" w:rsidR="0069300C" w:rsidRPr="007F02D7" w:rsidDel="000E7CAA" w:rsidRDefault="0069300C" w:rsidP="0069300C">
            <w:pPr>
              <w:jc w:val="both"/>
              <w:rPr>
                <w:rFonts w:ascii="Arial" w:eastAsia="Arial" w:hAnsi="Arial" w:cs="Arial"/>
                <w:lang w:val="fr-FR"/>
              </w:rPr>
            </w:pPr>
            <w:r w:rsidRPr="007F02D7">
              <w:rPr>
                <w:rFonts w:ascii="Arial" w:eastAsia="Arial" w:hAnsi="Arial" w:cs="Arial"/>
                <w:lang w:val="fr-FR"/>
              </w:rPr>
              <w:t>2161</w:t>
            </w:r>
          </w:p>
        </w:tc>
        <w:tc>
          <w:tcPr>
            <w:tcW w:w="3119" w:type="dxa"/>
            <w:tcBorders>
              <w:top w:val="single" w:sz="4" w:space="0" w:color="auto"/>
              <w:left w:val="single" w:sz="4" w:space="0" w:color="auto"/>
              <w:bottom w:val="single" w:sz="4" w:space="0" w:color="auto"/>
              <w:right w:val="single" w:sz="4" w:space="0" w:color="auto"/>
            </w:tcBorders>
          </w:tcPr>
          <w:p w14:paraId="0CEA0025"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305</w:t>
            </w:r>
          </w:p>
        </w:tc>
        <w:tc>
          <w:tcPr>
            <w:tcW w:w="992" w:type="dxa"/>
            <w:tcBorders>
              <w:top w:val="single" w:sz="4" w:space="0" w:color="auto"/>
              <w:left w:val="single" w:sz="4" w:space="0" w:color="auto"/>
              <w:bottom w:val="single" w:sz="4" w:space="0" w:color="auto"/>
              <w:right w:val="single" w:sz="4" w:space="0" w:color="auto"/>
            </w:tcBorders>
          </w:tcPr>
          <w:p w14:paraId="08143FD2"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14,1%</w:t>
            </w:r>
          </w:p>
        </w:tc>
        <w:tc>
          <w:tcPr>
            <w:tcW w:w="1417" w:type="dxa"/>
            <w:tcBorders>
              <w:top w:val="single" w:sz="4" w:space="0" w:color="auto"/>
              <w:left w:val="single" w:sz="4" w:space="0" w:color="auto"/>
              <w:bottom w:val="single" w:sz="4" w:space="0" w:color="auto"/>
              <w:right w:val="single" w:sz="4" w:space="0" w:color="auto"/>
            </w:tcBorders>
          </w:tcPr>
          <w:p w14:paraId="0BE10D7F"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85.9%</w:t>
            </w:r>
          </w:p>
        </w:tc>
      </w:tr>
      <w:tr w:rsidR="0069300C" w:rsidRPr="00191C26" w14:paraId="10EA63CB"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56FED09F" w14:textId="77777777" w:rsidR="0069300C" w:rsidRPr="007F02D7" w:rsidRDefault="0069300C" w:rsidP="0069300C">
            <w:pPr>
              <w:ind w:left="142"/>
              <w:rPr>
                <w:rFonts w:ascii="Arial" w:eastAsia="Arial" w:hAnsi="Arial" w:cs="Arial"/>
                <w:lang w:val="fr-FR"/>
              </w:rPr>
            </w:pPr>
          </w:p>
        </w:tc>
        <w:tc>
          <w:tcPr>
            <w:tcW w:w="3827" w:type="dxa"/>
            <w:tcBorders>
              <w:top w:val="single" w:sz="4" w:space="0" w:color="auto"/>
              <w:left w:val="single" w:sz="4" w:space="0" w:color="auto"/>
              <w:bottom w:val="single" w:sz="4" w:space="0" w:color="auto"/>
              <w:right w:val="single" w:sz="4" w:space="0" w:color="auto"/>
            </w:tcBorders>
          </w:tcPr>
          <w:p w14:paraId="089651FC" w14:textId="77777777" w:rsidR="0069300C" w:rsidRPr="007F02D7" w:rsidRDefault="0069300C" w:rsidP="0069300C">
            <w:pPr>
              <w:ind w:left="720"/>
              <w:jc w:val="both"/>
              <w:rPr>
                <w:rFonts w:ascii="Arial" w:eastAsia="Arial" w:hAnsi="Arial" w:cs="Arial"/>
                <w:lang w:val="fr-FR"/>
              </w:rPr>
            </w:pPr>
          </w:p>
        </w:tc>
        <w:tc>
          <w:tcPr>
            <w:tcW w:w="3119" w:type="dxa"/>
            <w:tcBorders>
              <w:top w:val="single" w:sz="4" w:space="0" w:color="auto"/>
              <w:left w:val="single" w:sz="4" w:space="0" w:color="auto"/>
              <w:bottom w:val="single" w:sz="4" w:space="0" w:color="auto"/>
              <w:right w:val="single" w:sz="4" w:space="0" w:color="auto"/>
            </w:tcBorders>
          </w:tcPr>
          <w:p w14:paraId="09D3EB72"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 xml:space="preserve">Nombre de patients avec plus de </w:t>
            </w:r>
            <w:r w:rsidRPr="007F02D7">
              <w:rPr>
                <w:rFonts w:ascii="Arial" w:eastAsia="Arial" w:hAnsi="Arial" w:cs="Arial"/>
                <w:b/>
                <w:lang w:val="fr-FR"/>
              </w:rPr>
              <w:t>6 conditionnements par an</w:t>
            </w:r>
          </w:p>
        </w:tc>
        <w:tc>
          <w:tcPr>
            <w:tcW w:w="992" w:type="dxa"/>
            <w:tcBorders>
              <w:top w:val="single" w:sz="4" w:space="0" w:color="auto"/>
              <w:left w:val="single" w:sz="4" w:space="0" w:color="auto"/>
              <w:bottom w:val="single" w:sz="4" w:space="0" w:color="auto"/>
              <w:right w:val="single" w:sz="4" w:space="0" w:color="auto"/>
            </w:tcBorders>
          </w:tcPr>
          <w:p w14:paraId="21FC1F0D" w14:textId="77777777" w:rsidR="0069300C" w:rsidRPr="007F02D7" w:rsidRDefault="0069300C" w:rsidP="0069300C">
            <w:pPr>
              <w:ind w:left="720"/>
              <w:jc w:val="both"/>
              <w:rPr>
                <w:rFonts w:ascii="Arial" w:eastAsia="Arial" w:hAnsi="Arial" w:cs="Arial"/>
                <w:lang w:val="fr-FR"/>
              </w:rPr>
            </w:pPr>
          </w:p>
        </w:tc>
        <w:tc>
          <w:tcPr>
            <w:tcW w:w="1417" w:type="dxa"/>
            <w:tcBorders>
              <w:top w:val="single" w:sz="4" w:space="0" w:color="auto"/>
              <w:left w:val="single" w:sz="4" w:space="0" w:color="auto"/>
              <w:bottom w:val="single" w:sz="4" w:space="0" w:color="auto"/>
              <w:right w:val="single" w:sz="4" w:space="0" w:color="auto"/>
            </w:tcBorders>
          </w:tcPr>
          <w:p w14:paraId="603FF6C2" w14:textId="77777777" w:rsidR="0069300C" w:rsidRPr="007F02D7" w:rsidRDefault="0069300C" w:rsidP="0069300C">
            <w:pPr>
              <w:ind w:left="720"/>
              <w:rPr>
                <w:rFonts w:ascii="Arial" w:eastAsia="Arial" w:hAnsi="Arial" w:cs="Arial"/>
                <w:lang w:val="fr-FR"/>
              </w:rPr>
            </w:pPr>
          </w:p>
        </w:tc>
      </w:tr>
      <w:tr w:rsidR="0069300C" w:rsidRPr="007F02D7" w14:paraId="4EBA4EAC"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0B032B21"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MLOZ</w:t>
            </w:r>
          </w:p>
        </w:tc>
        <w:tc>
          <w:tcPr>
            <w:tcW w:w="3827" w:type="dxa"/>
            <w:tcBorders>
              <w:top w:val="single" w:sz="4" w:space="0" w:color="auto"/>
              <w:left w:val="single" w:sz="4" w:space="0" w:color="auto"/>
              <w:bottom w:val="single" w:sz="4" w:space="0" w:color="auto"/>
              <w:right w:val="single" w:sz="4" w:space="0" w:color="auto"/>
            </w:tcBorders>
          </w:tcPr>
          <w:p w14:paraId="139A564D"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676</w:t>
            </w:r>
          </w:p>
        </w:tc>
        <w:tc>
          <w:tcPr>
            <w:tcW w:w="3119" w:type="dxa"/>
            <w:tcBorders>
              <w:top w:val="single" w:sz="4" w:space="0" w:color="auto"/>
              <w:left w:val="single" w:sz="4" w:space="0" w:color="auto"/>
              <w:bottom w:val="single" w:sz="4" w:space="0" w:color="auto"/>
              <w:right w:val="single" w:sz="4" w:space="0" w:color="auto"/>
            </w:tcBorders>
          </w:tcPr>
          <w:p w14:paraId="22ED7C20"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101</w:t>
            </w:r>
          </w:p>
        </w:tc>
        <w:tc>
          <w:tcPr>
            <w:tcW w:w="992" w:type="dxa"/>
            <w:tcBorders>
              <w:top w:val="single" w:sz="4" w:space="0" w:color="auto"/>
              <w:left w:val="single" w:sz="4" w:space="0" w:color="auto"/>
              <w:bottom w:val="single" w:sz="4" w:space="0" w:color="auto"/>
              <w:right w:val="single" w:sz="4" w:space="0" w:color="auto"/>
            </w:tcBorders>
          </w:tcPr>
          <w:p w14:paraId="0BBF9B4A"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14,9%</w:t>
            </w:r>
          </w:p>
        </w:tc>
        <w:tc>
          <w:tcPr>
            <w:tcW w:w="1417" w:type="dxa"/>
            <w:tcBorders>
              <w:top w:val="single" w:sz="4" w:space="0" w:color="auto"/>
              <w:left w:val="single" w:sz="4" w:space="0" w:color="auto"/>
              <w:bottom w:val="single" w:sz="4" w:space="0" w:color="auto"/>
              <w:right w:val="single" w:sz="4" w:space="0" w:color="auto"/>
            </w:tcBorders>
          </w:tcPr>
          <w:p w14:paraId="50B51A2F"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85,1%</w:t>
            </w:r>
          </w:p>
        </w:tc>
      </w:tr>
      <w:tr w:rsidR="0069300C" w:rsidRPr="007F02D7" w14:paraId="7F4B141A" w14:textId="77777777" w:rsidTr="0069300C">
        <w:tc>
          <w:tcPr>
            <w:tcW w:w="959" w:type="dxa"/>
            <w:tcBorders>
              <w:top w:val="single" w:sz="4" w:space="0" w:color="auto"/>
              <w:left w:val="single" w:sz="4" w:space="0" w:color="auto"/>
              <w:bottom w:val="single" w:sz="4" w:space="0" w:color="auto"/>
              <w:right w:val="single" w:sz="4" w:space="0" w:color="auto"/>
            </w:tcBorders>
            <w:vAlign w:val="center"/>
          </w:tcPr>
          <w:p w14:paraId="5C68EEE7" w14:textId="77777777" w:rsidR="0069300C" w:rsidRPr="007F02D7" w:rsidRDefault="0069300C" w:rsidP="0069300C">
            <w:pPr>
              <w:ind w:left="142"/>
              <w:rPr>
                <w:rFonts w:ascii="Arial" w:eastAsia="Arial" w:hAnsi="Arial" w:cs="Arial"/>
                <w:lang w:val="fr-FR"/>
              </w:rPr>
            </w:pPr>
            <w:r w:rsidRPr="007F02D7">
              <w:rPr>
                <w:rFonts w:ascii="Arial" w:eastAsia="Arial" w:hAnsi="Arial" w:cs="Arial"/>
                <w:lang w:val="fr-FR"/>
              </w:rPr>
              <w:t xml:space="preserve">CM </w:t>
            </w:r>
          </w:p>
        </w:tc>
        <w:tc>
          <w:tcPr>
            <w:tcW w:w="3827" w:type="dxa"/>
            <w:tcBorders>
              <w:top w:val="single" w:sz="4" w:space="0" w:color="auto"/>
              <w:left w:val="single" w:sz="4" w:space="0" w:color="auto"/>
              <w:bottom w:val="single" w:sz="4" w:space="0" w:color="auto"/>
              <w:right w:val="single" w:sz="4" w:space="0" w:color="auto"/>
            </w:tcBorders>
          </w:tcPr>
          <w:p w14:paraId="40A20CA1"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2161</w:t>
            </w:r>
          </w:p>
        </w:tc>
        <w:tc>
          <w:tcPr>
            <w:tcW w:w="3119" w:type="dxa"/>
            <w:tcBorders>
              <w:top w:val="single" w:sz="4" w:space="0" w:color="auto"/>
              <w:left w:val="single" w:sz="4" w:space="0" w:color="auto"/>
              <w:bottom w:val="single" w:sz="4" w:space="0" w:color="auto"/>
              <w:right w:val="single" w:sz="4" w:space="0" w:color="auto"/>
            </w:tcBorders>
          </w:tcPr>
          <w:p w14:paraId="23CB47DE"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189</w:t>
            </w:r>
          </w:p>
        </w:tc>
        <w:tc>
          <w:tcPr>
            <w:tcW w:w="992" w:type="dxa"/>
            <w:tcBorders>
              <w:top w:val="single" w:sz="4" w:space="0" w:color="auto"/>
              <w:left w:val="single" w:sz="4" w:space="0" w:color="auto"/>
              <w:bottom w:val="single" w:sz="4" w:space="0" w:color="auto"/>
              <w:right w:val="single" w:sz="4" w:space="0" w:color="auto"/>
            </w:tcBorders>
          </w:tcPr>
          <w:p w14:paraId="4890DF26" w14:textId="77777777" w:rsidR="0069300C" w:rsidRPr="007F02D7" w:rsidRDefault="0069300C" w:rsidP="0069300C">
            <w:pPr>
              <w:jc w:val="both"/>
              <w:rPr>
                <w:rFonts w:ascii="Arial" w:eastAsia="Arial" w:hAnsi="Arial" w:cs="Arial"/>
                <w:lang w:val="fr-FR"/>
              </w:rPr>
            </w:pPr>
            <w:r w:rsidRPr="007F02D7">
              <w:rPr>
                <w:rFonts w:ascii="Arial" w:eastAsia="Arial" w:hAnsi="Arial" w:cs="Arial"/>
                <w:lang w:val="fr-FR"/>
              </w:rPr>
              <w:t>8,7%</w:t>
            </w:r>
          </w:p>
        </w:tc>
        <w:tc>
          <w:tcPr>
            <w:tcW w:w="1417" w:type="dxa"/>
            <w:tcBorders>
              <w:top w:val="single" w:sz="4" w:space="0" w:color="auto"/>
              <w:left w:val="single" w:sz="4" w:space="0" w:color="auto"/>
              <w:bottom w:val="single" w:sz="4" w:space="0" w:color="auto"/>
              <w:right w:val="single" w:sz="4" w:space="0" w:color="auto"/>
            </w:tcBorders>
          </w:tcPr>
          <w:p w14:paraId="78CD83ED" w14:textId="77777777" w:rsidR="0069300C" w:rsidRPr="007F02D7" w:rsidRDefault="0069300C" w:rsidP="0069300C">
            <w:pPr>
              <w:rPr>
                <w:rFonts w:ascii="Arial" w:eastAsia="Arial" w:hAnsi="Arial" w:cs="Arial"/>
                <w:lang w:val="fr-FR"/>
              </w:rPr>
            </w:pPr>
            <w:r w:rsidRPr="007F02D7">
              <w:rPr>
                <w:rFonts w:ascii="Arial" w:eastAsia="Arial" w:hAnsi="Arial" w:cs="Arial"/>
                <w:lang w:val="fr-FR"/>
              </w:rPr>
              <w:t>91.3%</w:t>
            </w:r>
          </w:p>
        </w:tc>
      </w:tr>
    </w:tbl>
    <w:p w14:paraId="7E4F3722"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Le calcul CM diffère légèrement du calcul MLOZ.</w:t>
      </w:r>
    </w:p>
    <w:p w14:paraId="4002FFC6" w14:textId="77777777" w:rsidR="0069300C" w:rsidRPr="007F02D7" w:rsidRDefault="0069300C" w:rsidP="0069300C">
      <w:pPr>
        <w:spacing w:line="276" w:lineRule="auto"/>
        <w:ind w:left="720"/>
        <w:jc w:val="both"/>
        <w:rPr>
          <w:rFonts w:ascii="Arial" w:eastAsia="Arial" w:hAnsi="Arial" w:cs="Arial"/>
          <w:lang w:val="fr-FR"/>
        </w:rPr>
      </w:pPr>
    </w:p>
    <w:p w14:paraId="4E1B2279"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5. Patients avec un usage oral de cortisone</w:t>
      </w:r>
    </w:p>
    <w:p w14:paraId="02066A1B"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Pas de données disponibles pour l’instant.</w:t>
      </w:r>
    </w:p>
    <w:p w14:paraId="4B2141BC" w14:textId="77777777" w:rsidR="0069300C" w:rsidRPr="007F02D7" w:rsidRDefault="0069300C" w:rsidP="0069300C">
      <w:pPr>
        <w:spacing w:line="276" w:lineRule="auto"/>
        <w:ind w:left="720"/>
        <w:rPr>
          <w:rFonts w:ascii="Arial" w:eastAsia="Arial" w:hAnsi="Arial" w:cs="Arial"/>
          <w:lang w:val="fr-FR"/>
        </w:rPr>
      </w:pPr>
    </w:p>
    <w:p w14:paraId="55E39E6B" w14:textId="77777777" w:rsidR="0069300C" w:rsidRPr="007F02D7" w:rsidRDefault="0069300C" w:rsidP="0069300C">
      <w:pPr>
        <w:spacing w:line="276" w:lineRule="auto"/>
        <w:ind w:left="720"/>
        <w:jc w:val="both"/>
        <w:rPr>
          <w:rFonts w:ascii="Arial" w:eastAsia="Arial" w:hAnsi="Arial" w:cs="Arial"/>
          <w:b/>
          <w:i/>
          <w:u w:val="single"/>
          <w:lang w:val="fr-FR"/>
        </w:rPr>
      </w:pPr>
      <w:r w:rsidRPr="007F02D7">
        <w:rPr>
          <w:rFonts w:ascii="Arial" w:eastAsia="Arial" w:hAnsi="Arial" w:cs="Arial"/>
          <w:b/>
          <w:i/>
          <w:u w:val="single"/>
          <w:lang w:val="fr-FR"/>
        </w:rPr>
        <w:t>6. Usage antimycosiques oraux</w:t>
      </w:r>
    </w:p>
    <w:p w14:paraId="1841468A" w14:textId="77777777" w:rsidR="0069300C" w:rsidRPr="007F02D7" w:rsidRDefault="0069300C" w:rsidP="0069300C">
      <w:pPr>
        <w:spacing w:line="276" w:lineRule="auto"/>
        <w:ind w:left="720"/>
        <w:jc w:val="both"/>
        <w:rPr>
          <w:rFonts w:ascii="Arial" w:eastAsia="Arial" w:hAnsi="Arial" w:cs="Arial"/>
          <w:lang w:val="fr-FR"/>
        </w:rPr>
      </w:pPr>
      <w:r w:rsidRPr="007F02D7">
        <w:rPr>
          <w:rFonts w:ascii="Arial" w:eastAsia="Arial" w:hAnsi="Arial" w:cs="Arial"/>
          <w:lang w:val="fr-FR"/>
        </w:rPr>
        <w:t>Données MLOZ et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69300C" w:rsidRPr="00191C26" w14:paraId="73697F94" w14:textId="77777777" w:rsidTr="0069300C">
        <w:trPr>
          <w:trHeight w:val="1120"/>
        </w:trPr>
        <w:tc>
          <w:tcPr>
            <w:tcW w:w="3192" w:type="dxa"/>
            <w:tcBorders>
              <w:top w:val="single" w:sz="4" w:space="0" w:color="auto"/>
              <w:left w:val="single" w:sz="4" w:space="0" w:color="auto"/>
              <w:bottom w:val="single" w:sz="4" w:space="0" w:color="auto"/>
              <w:right w:val="single" w:sz="4" w:space="0" w:color="auto"/>
            </w:tcBorders>
          </w:tcPr>
          <w:p w14:paraId="1B3BE38B"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Nombre de patients qui ont consommé un antimycosique oropharyngé dans les 3 mois après l’ENM</w:t>
            </w:r>
          </w:p>
        </w:tc>
        <w:tc>
          <w:tcPr>
            <w:tcW w:w="3192" w:type="dxa"/>
            <w:tcBorders>
              <w:top w:val="single" w:sz="4" w:space="0" w:color="auto"/>
              <w:left w:val="single" w:sz="4" w:space="0" w:color="auto"/>
              <w:bottom w:val="single" w:sz="4" w:space="0" w:color="auto"/>
              <w:right w:val="single" w:sz="4" w:space="0" w:color="auto"/>
            </w:tcBorders>
          </w:tcPr>
          <w:p w14:paraId="639502F1"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 de patients qui ont consommé un antimycosique oropharyngé dans les 3 mois après l’ENM</w:t>
            </w:r>
          </w:p>
        </w:tc>
        <w:tc>
          <w:tcPr>
            <w:tcW w:w="3192" w:type="dxa"/>
            <w:tcBorders>
              <w:top w:val="single" w:sz="4" w:space="0" w:color="auto"/>
              <w:left w:val="single" w:sz="4" w:space="0" w:color="auto"/>
              <w:bottom w:val="single" w:sz="4" w:space="0" w:color="auto"/>
              <w:right w:val="single" w:sz="4" w:space="0" w:color="auto"/>
            </w:tcBorders>
          </w:tcPr>
          <w:p w14:paraId="669EC146" w14:textId="77777777" w:rsidR="0069300C" w:rsidRPr="007F02D7" w:rsidRDefault="0069300C" w:rsidP="0069300C">
            <w:pPr>
              <w:ind w:left="720"/>
              <w:rPr>
                <w:rFonts w:ascii="Arial" w:eastAsia="Arial" w:hAnsi="Arial" w:cs="Arial"/>
                <w:lang w:val="fr-FR"/>
              </w:rPr>
            </w:pPr>
            <w:r w:rsidRPr="007F02D7">
              <w:rPr>
                <w:rFonts w:ascii="Arial" w:eastAsia="Arial" w:hAnsi="Arial" w:cs="Arial"/>
                <w:lang w:val="fr-FR"/>
              </w:rPr>
              <w:t>% de patients ayant eu un ENM sans consommation d’antimycosique oropharyngé dans les 3 mois après l’ENM</w:t>
            </w:r>
          </w:p>
        </w:tc>
      </w:tr>
      <w:tr w:rsidR="0069300C" w:rsidRPr="007F02D7" w14:paraId="417970A4" w14:textId="77777777" w:rsidTr="0069300C">
        <w:tc>
          <w:tcPr>
            <w:tcW w:w="3192" w:type="dxa"/>
            <w:tcBorders>
              <w:top w:val="single" w:sz="4" w:space="0" w:color="auto"/>
              <w:left w:val="single" w:sz="4" w:space="0" w:color="auto"/>
              <w:bottom w:val="single" w:sz="4" w:space="0" w:color="auto"/>
              <w:right w:val="single" w:sz="4" w:space="0" w:color="auto"/>
            </w:tcBorders>
          </w:tcPr>
          <w:p w14:paraId="31505936"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32</w:t>
            </w:r>
          </w:p>
        </w:tc>
        <w:tc>
          <w:tcPr>
            <w:tcW w:w="3192" w:type="dxa"/>
            <w:tcBorders>
              <w:top w:val="single" w:sz="4" w:space="0" w:color="auto"/>
              <w:left w:val="single" w:sz="4" w:space="0" w:color="auto"/>
              <w:bottom w:val="single" w:sz="4" w:space="0" w:color="auto"/>
              <w:right w:val="single" w:sz="4" w:space="0" w:color="auto"/>
            </w:tcBorders>
          </w:tcPr>
          <w:p w14:paraId="727B3D9D"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0.4%</w:t>
            </w:r>
          </w:p>
        </w:tc>
        <w:tc>
          <w:tcPr>
            <w:tcW w:w="3192" w:type="dxa"/>
            <w:tcBorders>
              <w:top w:val="single" w:sz="4" w:space="0" w:color="auto"/>
              <w:left w:val="single" w:sz="4" w:space="0" w:color="auto"/>
              <w:bottom w:val="single" w:sz="4" w:space="0" w:color="auto"/>
              <w:right w:val="single" w:sz="4" w:space="0" w:color="auto"/>
            </w:tcBorders>
          </w:tcPr>
          <w:p w14:paraId="7CF7976F" w14:textId="77777777" w:rsidR="0069300C" w:rsidRPr="007F02D7" w:rsidRDefault="0069300C" w:rsidP="0069300C">
            <w:pPr>
              <w:ind w:left="720"/>
              <w:rPr>
                <w:rFonts w:ascii="Arial" w:eastAsia="Arial" w:hAnsi="Arial" w:cs="Arial"/>
                <w:lang w:val="fr-FR"/>
              </w:rPr>
            </w:pPr>
            <w:r w:rsidRPr="007F02D7">
              <w:rPr>
                <w:rFonts w:ascii="Arial" w:eastAsia="Arial" w:hAnsi="Arial" w:cs="Arial"/>
                <w:lang w:val="fr-FR"/>
              </w:rPr>
              <w:t>99.6%</w:t>
            </w:r>
          </w:p>
        </w:tc>
      </w:tr>
      <w:tr w:rsidR="0069300C" w:rsidRPr="007F02D7" w14:paraId="21A67764" w14:textId="77777777" w:rsidTr="0069300C">
        <w:tc>
          <w:tcPr>
            <w:tcW w:w="3192" w:type="dxa"/>
            <w:tcBorders>
              <w:top w:val="single" w:sz="4" w:space="0" w:color="auto"/>
              <w:left w:val="single" w:sz="4" w:space="0" w:color="auto"/>
              <w:bottom w:val="single" w:sz="4" w:space="0" w:color="auto"/>
              <w:right w:val="single" w:sz="4" w:space="0" w:color="auto"/>
            </w:tcBorders>
          </w:tcPr>
          <w:p w14:paraId="6AE30C0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35</w:t>
            </w:r>
          </w:p>
        </w:tc>
        <w:tc>
          <w:tcPr>
            <w:tcW w:w="3192" w:type="dxa"/>
            <w:tcBorders>
              <w:top w:val="single" w:sz="4" w:space="0" w:color="auto"/>
              <w:left w:val="single" w:sz="4" w:space="0" w:color="auto"/>
              <w:bottom w:val="single" w:sz="4" w:space="0" w:color="auto"/>
              <w:right w:val="single" w:sz="4" w:space="0" w:color="auto"/>
            </w:tcBorders>
          </w:tcPr>
          <w:p w14:paraId="2351818C"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0,03%</w:t>
            </w:r>
          </w:p>
        </w:tc>
        <w:tc>
          <w:tcPr>
            <w:tcW w:w="3192" w:type="dxa"/>
            <w:tcBorders>
              <w:top w:val="single" w:sz="4" w:space="0" w:color="auto"/>
              <w:left w:val="single" w:sz="4" w:space="0" w:color="auto"/>
              <w:bottom w:val="single" w:sz="4" w:space="0" w:color="auto"/>
              <w:right w:val="single" w:sz="4" w:space="0" w:color="auto"/>
            </w:tcBorders>
          </w:tcPr>
          <w:p w14:paraId="08E3AE68" w14:textId="77777777" w:rsidR="0069300C" w:rsidRPr="007F02D7" w:rsidRDefault="0069300C" w:rsidP="0069300C">
            <w:pPr>
              <w:ind w:left="720"/>
              <w:jc w:val="both"/>
              <w:rPr>
                <w:rFonts w:ascii="Arial" w:eastAsia="Arial" w:hAnsi="Arial" w:cs="Arial"/>
                <w:lang w:val="fr-FR"/>
              </w:rPr>
            </w:pPr>
            <w:r w:rsidRPr="007F02D7">
              <w:rPr>
                <w:rFonts w:ascii="Arial" w:eastAsia="Arial" w:hAnsi="Arial" w:cs="Arial"/>
                <w:lang w:val="fr-FR"/>
              </w:rPr>
              <w:t>99,97%</w:t>
            </w:r>
          </w:p>
        </w:tc>
      </w:tr>
    </w:tbl>
    <w:p w14:paraId="0A3F063B" w14:textId="77777777" w:rsidR="0069300C" w:rsidRPr="007F02D7" w:rsidRDefault="0069300C" w:rsidP="0069300C">
      <w:pPr>
        <w:spacing w:line="276" w:lineRule="auto"/>
        <w:ind w:left="720"/>
        <w:rPr>
          <w:rFonts w:ascii="Arial" w:eastAsia="Verdana" w:hAnsi="Arial" w:cs="Arial"/>
          <w:color w:val="222222"/>
          <w:lang w:val="fr-FR"/>
        </w:rPr>
      </w:pPr>
      <w:r w:rsidRPr="007F02D7">
        <w:rPr>
          <w:rFonts w:ascii="Arial" w:eastAsia="Verdana" w:hAnsi="Arial" w:cs="Arial"/>
          <w:color w:val="222222"/>
          <w:lang w:val="fr-FR"/>
        </w:rPr>
        <w:br w:type="page"/>
      </w:r>
    </w:p>
    <w:p w14:paraId="2EDEC32D" w14:textId="534CD681" w:rsidR="00A90018" w:rsidRPr="00D62567" w:rsidRDefault="000C1580" w:rsidP="00A90018">
      <w:pPr>
        <w:pBdr>
          <w:bottom w:val="single" w:sz="4" w:space="1" w:color="auto"/>
        </w:pBdr>
        <w:spacing w:after="200" w:line="276" w:lineRule="auto"/>
        <w:ind w:left="2124" w:hanging="2124"/>
        <w:jc w:val="right"/>
        <w:rPr>
          <w:rFonts w:ascii="Arial" w:eastAsia="SimSun" w:hAnsi="Arial" w:cs="Arial"/>
          <w:strike/>
          <w:lang w:val="fr-BE" w:eastAsia="zh-CN"/>
        </w:rPr>
      </w:pPr>
      <w:r w:rsidRPr="00390278">
        <w:rPr>
          <w:rFonts w:ascii="Arial" w:eastAsia="SimSun" w:hAnsi="Arial" w:cs="Arial"/>
          <w:lang w:val="fr-BE" w:eastAsia="zh-CN"/>
        </w:rPr>
        <w:lastRenderedPageBreak/>
        <w:t>ANNEXE III.</w:t>
      </w:r>
    </w:p>
    <w:p w14:paraId="32F2629A" w14:textId="77777777" w:rsidR="00A90018" w:rsidRPr="00BB0322" w:rsidRDefault="00A90018" w:rsidP="00A90018">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17BD6BD7" w14:textId="77777777" w:rsidR="00A90018" w:rsidRPr="007F02D7" w:rsidRDefault="00A90018" w:rsidP="00A90018">
      <w:pPr>
        <w:spacing w:after="200" w:line="276" w:lineRule="auto"/>
        <w:ind w:left="360"/>
        <w:contextualSpacing/>
        <w:jc w:val="both"/>
        <w:rPr>
          <w:rFonts w:ascii="Arial" w:eastAsia="Verdana" w:hAnsi="Arial" w:cs="Arial"/>
          <w:b/>
          <w:lang w:val="fr-BE"/>
        </w:rPr>
      </w:pPr>
    </w:p>
    <w:p w14:paraId="58DECBEE" w14:textId="77777777" w:rsidR="0069300C" w:rsidRPr="007F02D7" w:rsidRDefault="0069300C" w:rsidP="008318F2">
      <w:pPr>
        <w:numPr>
          <w:ilvl w:val="0"/>
          <w:numId w:val="30"/>
        </w:numPr>
        <w:spacing w:after="200" w:line="276" w:lineRule="auto"/>
        <w:contextualSpacing/>
        <w:jc w:val="both"/>
        <w:rPr>
          <w:rFonts w:ascii="Arial" w:eastAsia="Verdana" w:hAnsi="Arial" w:cs="Arial"/>
          <w:b/>
          <w:lang w:val="fr-BE"/>
        </w:rPr>
      </w:pPr>
      <w:r w:rsidRPr="007F02D7">
        <w:rPr>
          <w:rFonts w:ascii="Arial" w:eastAsia="Verdana" w:hAnsi="Arial" w:cs="Arial"/>
          <w:b/>
          <w:lang w:val="fr-BE"/>
        </w:rPr>
        <w:t>Documentation et formation disponibles (liste non limitative)</w:t>
      </w:r>
    </w:p>
    <w:p w14:paraId="76424578" w14:textId="77777777" w:rsidR="00A07A2A" w:rsidRPr="007F02D7" w:rsidRDefault="00A07A2A" w:rsidP="00A07A2A">
      <w:pPr>
        <w:spacing w:after="200" w:line="276" w:lineRule="auto"/>
        <w:ind w:left="360"/>
        <w:contextualSpacing/>
        <w:jc w:val="both"/>
        <w:rPr>
          <w:rFonts w:ascii="Arial" w:eastAsia="Verdana" w:hAnsi="Arial" w:cs="Arial"/>
          <w:b/>
          <w:lang w:val="fr-BE"/>
        </w:rPr>
      </w:pPr>
    </w:p>
    <w:p w14:paraId="67700EE4"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Delphi Care et Via Nova: information de première délivrance</w:t>
      </w:r>
    </w:p>
    <w:p w14:paraId="50F83C3C"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Syllabus pharmaciens: Bonnes pratiques officinales – Asthme et BPCO</w:t>
      </w:r>
    </w:p>
    <w:p w14:paraId="5E2BA9DA"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Folders patient: instruction d’inhalation, folder « asthme », folder « corticoïdes inhalés»</w:t>
      </w:r>
    </w:p>
    <w:p w14:paraId="4C200B27" w14:textId="77777777" w:rsidR="0069300C" w:rsidRPr="007F02D7" w:rsidRDefault="0069300C" w:rsidP="0069300C">
      <w:pPr>
        <w:spacing w:after="200" w:line="276" w:lineRule="auto"/>
        <w:ind w:left="720"/>
        <w:jc w:val="both"/>
        <w:rPr>
          <w:rFonts w:ascii="Arial" w:eastAsia="Verdana" w:hAnsi="Arial" w:cs="Arial"/>
          <w:lang w:val="fr-BE"/>
        </w:rPr>
      </w:pPr>
      <w:r w:rsidRPr="007F02D7">
        <w:rPr>
          <w:rFonts w:ascii="Arial" w:eastAsia="Verdana" w:hAnsi="Arial" w:cs="Arial"/>
          <w:lang w:val="fr-BE"/>
        </w:rPr>
        <w:t>Appareils de démonstration</w:t>
      </w:r>
    </w:p>
    <w:p w14:paraId="0458B3C9" w14:textId="77777777" w:rsidR="0069300C" w:rsidRPr="007F02D7" w:rsidRDefault="0069300C" w:rsidP="0069300C">
      <w:pPr>
        <w:spacing w:after="200" w:line="276" w:lineRule="auto"/>
        <w:ind w:left="720"/>
        <w:jc w:val="both"/>
        <w:rPr>
          <w:rFonts w:ascii="Arial" w:eastAsia="Verdana" w:hAnsi="Arial" w:cs="Arial"/>
          <w:lang w:val="nl-NL"/>
        </w:rPr>
      </w:pPr>
      <w:r w:rsidRPr="007F02D7">
        <w:rPr>
          <w:rFonts w:ascii="Arial" w:eastAsia="Verdana" w:hAnsi="Arial" w:cs="Arial"/>
          <w:lang w:val="nl-NL"/>
        </w:rPr>
        <w:t>Films</w:t>
      </w:r>
    </w:p>
    <w:p w14:paraId="59F5C69D" w14:textId="77777777" w:rsidR="0069300C" w:rsidRPr="007F02D7" w:rsidRDefault="0069300C" w:rsidP="0069300C">
      <w:pPr>
        <w:spacing w:after="200" w:line="276" w:lineRule="auto"/>
        <w:ind w:left="720"/>
        <w:jc w:val="both"/>
        <w:rPr>
          <w:rFonts w:ascii="Arial" w:eastAsia="Verdana" w:hAnsi="Arial" w:cs="Arial"/>
          <w:lang w:val="nl-NL"/>
        </w:rPr>
      </w:pPr>
      <w:r w:rsidRPr="007F02D7">
        <w:rPr>
          <w:rFonts w:ascii="Arial" w:eastAsia="Verdana" w:hAnsi="Arial" w:cs="Arial"/>
          <w:lang w:val="nl-NL"/>
        </w:rPr>
        <w:t>…….</w:t>
      </w:r>
    </w:p>
    <w:p w14:paraId="44D14F66"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Stratégie de communication et de motivation</w:t>
      </w:r>
    </w:p>
    <w:p w14:paraId="2CDFD825" w14:textId="77777777" w:rsidR="0069300C" w:rsidRPr="007F02D7" w:rsidRDefault="0069300C" w:rsidP="008318F2">
      <w:pPr>
        <w:numPr>
          <w:ilvl w:val="1"/>
          <w:numId w:val="34"/>
        </w:numPr>
        <w:spacing w:after="200" w:line="276" w:lineRule="auto"/>
        <w:jc w:val="both"/>
        <w:rPr>
          <w:rFonts w:ascii="Arial" w:eastAsia="Verdana" w:hAnsi="Arial" w:cs="Arial"/>
          <w:lang w:val="fr-BE"/>
        </w:rPr>
      </w:pPr>
      <w:r w:rsidRPr="007F02D7">
        <w:rPr>
          <w:rFonts w:ascii="Arial" w:eastAsia="Verdana" w:hAnsi="Arial" w:cs="Arial"/>
          <w:lang w:val="fr-BE"/>
        </w:rPr>
        <w:t>A destination des pharmaciens</w:t>
      </w:r>
    </w:p>
    <w:p w14:paraId="2273BFFC"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Un « starter pack » est fourni aux pharmaciens par les organisations professionnelles. Ce paquet contient tout le matériel nécessaire pour être en mesure d'effectuer un BUM de façon adéquate lorsque le patient se présente à la pharmacie.</w:t>
      </w:r>
    </w:p>
    <w:p w14:paraId="4D98F765"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Organisation de soirées d'information et de formation: faire prendre conscience aux pharmaciens de leur responsabilité dans l’exécution du Suivi des Soins Pharmaceutiques.</w:t>
      </w:r>
    </w:p>
    <w:p w14:paraId="0057B729"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Expliquer la différence première délivrance – BUM.</w:t>
      </w:r>
    </w:p>
    <w:p w14:paraId="401A4EBA"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Elargissement des critères d’inclusion - patients asthmatiques chroniques insuffisamment contrôlés.</w:t>
      </w:r>
    </w:p>
    <w:p w14:paraId="4C4AFD34" w14:textId="77777777" w:rsidR="0069300C" w:rsidRPr="007F02D7" w:rsidRDefault="0069300C" w:rsidP="008318F2">
      <w:pPr>
        <w:numPr>
          <w:ilvl w:val="2"/>
          <w:numId w:val="26"/>
        </w:numPr>
        <w:spacing w:after="200" w:line="276" w:lineRule="auto"/>
        <w:ind w:left="2517" w:hanging="357"/>
        <w:jc w:val="both"/>
        <w:rPr>
          <w:rFonts w:ascii="Arial" w:eastAsia="Verdana" w:hAnsi="Arial" w:cs="Arial"/>
          <w:color w:val="222222"/>
          <w:lang w:val="fr-FR"/>
        </w:rPr>
      </w:pPr>
      <w:r w:rsidRPr="007F02D7">
        <w:rPr>
          <w:rFonts w:ascii="Arial" w:eastAsia="Verdana" w:hAnsi="Arial" w:cs="Arial"/>
          <w:color w:val="222222"/>
          <w:lang w:val="fr-FR"/>
        </w:rPr>
        <w:t>Comment réaliser l’entretien avec l'outil BUM (jeu de rôle?): qu’est-ce qui fonctionne? Qu’est-ce qui ne fonctionne pas ?</w:t>
      </w:r>
    </w:p>
    <w:p w14:paraId="73E08EA0" w14:textId="77777777" w:rsidR="0069300C" w:rsidRPr="007F02D7" w:rsidRDefault="0069300C" w:rsidP="0069300C">
      <w:pPr>
        <w:spacing w:line="276" w:lineRule="auto"/>
        <w:ind w:left="1800"/>
        <w:jc w:val="both"/>
        <w:rPr>
          <w:rFonts w:ascii="Arial" w:eastAsia="Verdana" w:hAnsi="Arial" w:cs="Arial"/>
          <w:lang w:val="fr-FR"/>
        </w:rPr>
      </w:pPr>
    </w:p>
    <w:p w14:paraId="08CC8F0F" w14:textId="77777777" w:rsidR="0069300C" w:rsidRPr="007F02D7" w:rsidRDefault="0069300C" w:rsidP="008318F2">
      <w:pPr>
        <w:numPr>
          <w:ilvl w:val="0"/>
          <w:numId w:val="35"/>
        </w:numPr>
        <w:spacing w:after="200" w:line="276" w:lineRule="auto"/>
        <w:jc w:val="both"/>
        <w:rPr>
          <w:rFonts w:ascii="Arial" w:eastAsia="Verdana" w:hAnsi="Arial" w:cs="Arial"/>
          <w:lang w:val="fr-BE"/>
        </w:rPr>
      </w:pPr>
      <w:r w:rsidRPr="007F02D7">
        <w:rPr>
          <w:rFonts w:ascii="Arial" w:eastAsia="Verdana" w:hAnsi="Arial" w:cs="Arial"/>
          <w:lang w:val="fr-BE"/>
        </w:rPr>
        <w:t>A destination des médecins (pneumologues – médecins traitants)</w:t>
      </w:r>
    </w:p>
    <w:p w14:paraId="2A98DA8A" w14:textId="77777777" w:rsidR="0069300C" w:rsidRPr="007F02D7" w:rsidRDefault="0069300C" w:rsidP="0069300C">
      <w:pPr>
        <w:spacing w:line="276" w:lineRule="auto"/>
        <w:ind w:left="1077"/>
        <w:jc w:val="both"/>
        <w:rPr>
          <w:rFonts w:ascii="Arial" w:eastAsia="Verdana" w:hAnsi="Arial" w:cs="Arial"/>
          <w:b/>
          <w:lang w:val="fr-BE"/>
        </w:rPr>
      </w:pPr>
      <w:r w:rsidRPr="007F02D7">
        <w:rPr>
          <w:rFonts w:ascii="Arial" w:eastAsia="Verdana" w:hAnsi="Arial" w:cs="Arial"/>
          <w:b/>
          <w:lang w:val="fr-BE"/>
        </w:rPr>
        <w:t>Informer les associations de médecins (traitants)</w:t>
      </w:r>
    </w:p>
    <w:p w14:paraId="45049A6D"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Proposition du service (BUM)</w:t>
      </w:r>
    </w:p>
    <w:p w14:paraId="5CA52D93"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Elargissement du groupe cible</w:t>
      </w:r>
    </w:p>
    <w:p w14:paraId="47D24269"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Leur rôle potentiel / contribution ( prescription du BUM; mention de l’indication sur la prescription ; ….)</w:t>
      </w:r>
    </w:p>
    <w:p w14:paraId="684A8019" w14:textId="77777777" w:rsidR="0069300C" w:rsidRPr="007F02D7" w:rsidRDefault="0069300C" w:rsidP="0069300C">
      <w:pPr>
        <w:spacing w:line="276" w:lineRule="auto"/>
        <w:ind w:left="1077"/>
        <w:jc w:val="both"/>
        <w:rPr>
          <w:rFonts w:ascii="Arial" w:eastAsia="Verdana" w:hAnsi="Arial" w:cs="Arial"/>
          <w:b/>
          <w:lang w:val="fr-BE"/>
        </w:rPr>
      </w:pPr>
      <w:r w:rsidRPr="007F02D7">
        <w:rPr>
          <w:rFonts w:ascii="Arial" w:eastAsia="Verdana" w:hAnsi="Arial" w:cs="Arial"/>
          <w:b/>
          <w:lang w:val="fr-BE"/>
        </w:rPr>
        <w:t>Concertation médecins - pharmaciens</w:t>
      </w:r>
    </w:p>
    <w:p w14:paraId="0D2123A4"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Rendre possible la discussion quant au BUM sur la plateforme médecins - pharmaciens dans le cadre de la CMP</w:t>
      </w:r>
    </w:p>
    <w:p w14:paraId="4B60F4EA"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Développer la CMP en collaboration avec les médecins traitants</w:t>
      </w:r>
    </w:p>
    <w:p w14:paraId="61A08089"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Promouvoir et soutenir la concertation locale avec les associations professionnelles locales</w:t>
      </w:r>
    </w:p>
    <w:p w14:paraId="656FE534" w14:textId="77777777" w:rsidR="0042690E" w:rsidRPr="007F02D7" w:rsidRDefault="0042690E" w:rsidP="0042690E">
      <w:pPr>
        <w:spacing w:after="200" w:line="276" w:lineRule="auto"/>
        <w:ind w:left="2160"/>
        <w:jc w:val="both"/>
        <w:rPr>
          <w:rFonts w:ascii="Arial" w:eastAsia="Verdana" w:hAnsi="Arial" w:cs="Arial"/>
          <w:lang w:val="fr-FR"/>
        </w:rPr>
      </w:pPr>
    </w:p>
    <w:p w14:paraId="10B8E924" w14:textId="0BFB69EC" w:rsidR="00A90018" w:rsidRDefault="000C1580" w:rsidP="00BB0322">
      <w:pPr>
        <w:spacing w:after="200"/>
        <w:ind w:left="720"/>
        <w:jc w:val="right"/>
        <w:rPr>
          <w:rFonts w:ascii="Arial" w:eastAsia="SimSun" w:hAnsi="Arial" w:cs="Arial"/>
          <w:lang w:val="fr-BE" w:eastAsia="zh-CN"/>
        </w:rPr>
      </w:pPr>
      <w:r w:rsidRPr="00390278">
        <w:rPr>
          <w:rFonts w:ascii="Arial" w:eastAsia="SimSun" w:hAnsi="Arial" w:cs="Arial"/>
          <w:lang w:val="fr-BE" w:eastAsia="zh-CN"/>
        </w:rPr>
        <w:lastRenderedPageBreak/>
        <w:t>ANNEXE III.</w:t>
      </w:r>
    </w:p>
    <w:p w14:paraId="02C429AD" w14:textId="77777777" w:rsidR="00BB0322" w:rsidRPr="00BB0322" w:rsidRDefault="00BB0322" w:rsidP="00BB0322">
      <w:pPr>
        <w:pBdr>
          <w:bottom w:val="single" w:sz="4" w:space="1" w:color="auto"/>
        </w:pBdr>
        <w:tabs>
          <w:tab w:val="left" w:pos="1418"/>
        </w:tabs>
        <w:spacing w:after="200" w:line="276" w:lineRule="auto"/>
        <w:ind w:left="2124" w:hanging="2124"/>
        <w:rPr>
          <w:rFonts w:asciiTheme="minorHAnsi" w:eastAsia="SimSun" w:hAnsiTheme="minorHAnsi" w:cstheme="minorHAnsi"/>
          <w:b/>
          <w:sz w:val="24"/>
          <w:szCs w:val="24"/>
          <w:lang w:val="fr-BE" w:eastAsia="zh-CN"/>
        </w:rPr>
      </w:pPr>
      <w:r w:rsidRPr="00BB0322">
        <w:rPr>
          <w:rFonts w:asciiTheme="minorHAnsi" w:eastAsia="SimSun" w:hAnsiTheme="minorHAnsi" w:cstheme="minorHAnsi"/>
          <w:b/>
          <w:sz w:val="24"/>
          <w:szCs w:val="24"/>
          <w:lang w:val="fr-BE" w:eastAsia="zh-CN"/>
        </w:rPr>
        <w:t>Document 1:</w:t>
      </w:r>
      <w:r w:rsidRPr="00BB0322">
        <w:rPr>
          <w:rFonts w:asciiTheme="minorHAnsi" w:eastAsia="SimSun" w:hAnsiTheme="minorHAnsi" w:cstheme="minorHAnsi"/>
          <w:b/>
          <w:sz w:val="24"/>
          <w:szCs w:val="24"/>
          <w:lang w:val="fr-BE" w:eastAsia="zh-CN"/>
        </w:rPr>
        <w:tab/>
        <w:t>Description projet  «  Entretien d’accompagnement Bon usage des médicaments »</w:t>
      </w:r>
    </w:p>
    <w:p w14:paraId="1B818D62" w14:textId="77777777" w:rsidR="00D60654" w:rsidRPr="007F02D7" w:rsidRDefault="00D60654" w:rsidP="00D60654">
      <w:pPr>
        <w:spacing w:line="276" w:lineRule="auto"/>
        <w:ind w:left="1134"/>
        <w:jc w:val="both"/>
        <w:rPr>
          <w:rFonts w:ascii="Arial" w:eastAsia="Verdana" w:hAnsi="Arial" w:cs="Arial"/>
          <w:b/>
          <w:lang w:val="fr-BE"/>
        </w:rPr>
      </w:pPr>
    </w:p>
    <w:p w14:paraId="5419A4C5" w14:textId="77777777" w:rsidR="00D60654" w:rsidRPr="007F02D7" w:rsidRDefault="00D60654" w:rsidP="00D60654">
      <w:pPr>
        <w:spacing w:line="276" w:lineRule="auto"/>
        <w:ind w:left="1134"/>
        <w:jc w:val="both"/>
        <w:rPr>
          <w:rFonts w:ascii="Arial" w:eastAsia="Verdana" w:hAnsi="Arial" w:cs="Arial"/>
          <w:b/>
          <w:lang w:val="fr-BE"/>
        </w:rPr>
      </w:pPr>
      <w:r w:rsidRPr="007F02D7">
        <w:rPr>
          <w:rFonts w:ascii="Arial" w:eastAsia="Verdana" w:hAnsi="Arial" w:cs="Arial"/>
          <w:b/>
          <w:lang w:val="fr-BE"/>
        </w:rPr>
        <w:t>Motivation des médecins locaux par les pharmaciens</w:t>
      </w:r>
    </w:p>
    <w:p w14:paraId="76D2EDEF" w14:textId="77777777" w:rsidR="00D60654" w:rsidRPr="007F02D7" w:rsidRDefault="00D60654"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En les informant à propos de ce service et</w:t>
      </w:r>
    </w:p>
    <w:p w14:paraId="14FED7E6" w14:textId="77777777" w:rsidR="0069300C" w:rsidRPr="007F02D7" w:rsidRDefault="0069300C" w:rsidP="008318F2">
      <w:pPr>
        <w:numPr>
          <w:ilvl w:val="2"/>
          <w:numId w:val="26"/>
        </w:numPr>
        <w:spacing w:after="200" w:line="276" w:lineRule="auto"/>
        <w:ind w:left="2517" w:hanging="357"/>
        <w:jc w:val="both"/>
        <w:rPr>
          <w:rFonts w:ascii="Arial" w:eastAsia="Verdana" w:hAnsi="Arial" w:cs="Arial"/>
          <w:lang w:val="fr-FR"/>
        </w:rPr>
      </w:pPr>
      <w:r w:rsidRPr="007F02D7">
        <w:rPr>
          <w:rFonts w:ascii="Arial" w:eastAsia="Verdana" w:hAnsi="Arial" w:cs="Arial"/>
          <w:color w:val="222222"/>
          <w:lang w:val="fr-FR"/>
        </w:rPr>
        <w:t>En concluant des accords locaux sur le feedback après le BUM mené avec leurs patients</w:t>
      </w:r>
    </w:p>
    <w:p w14:paraId="0FAD3F97" w14:textId="77777777" w:rsidR="0069300C" w:rsidRPr="007F02D7" w:rsidRDefault="0069300C" w:rsidP="0069300C">
      <w:pPr>
        <w:spacing w:line="276" w:lineRule="auto"/>
        <w:ind w:left="1800"/>
        <w:jc w:val="both"/>
        <w:rPr>
          <w:rFonts w:ascii="Arial" w:eastAsia="Verdana" w:hAnsi="Arial" w:cs="Arial"/>
          <w:lang w:val="fr-FR"/>
        </w:rPr>
      </w:pPr>
    </w:p>
    <w:p w14:paraId="046D3DB4" w14:textId="77777777" w:rsidR="0069300C" w:rsidRPr="007F02D7" w:rsidRDefault="0069300C" w:rsidP="008318F2">
      <w:pPr>
        <w:numPr>
          <w:ilvl w:val="0"/>
          <w:numId w:val="35"/>
        </w:numPr>
        <w:spacing w:after="200" w:line="276" w:lineRule="auto"/>
        <w:jc w:val="both"/>
        <w:rPr>
          <w:rFonts w:ascii="Arial" w:eastAsia="Verdana" w:hAnsi="Arial" w:cs="Arial"/>
          <w:lang w:val="nl-NL"/>
        </w:rPr>
      </w:pPr>
      <w:r w:rsidRPr="007F02D7">
        <w:rPr>
          <w:rFonts w:ascii="Arial" w:eastAsia="Verdana" w:hAnsi="Arial" w:cs="Arial"/>
          <w:lang w:val="nl-NL"/>
        </w:rPr>
        <w:t xml:space="preserve">A </w:t>
      </w:r>
      <w:proofErr w:type="spellStart"/>
      <w:r w:rsidRPr="007F02D7">
        <w:rPr>
          <w:rFonts w:ascii="Arial" w:eastAsia="Verdana" w:hAnsi="Arial" w:cs="Arial"/>
          <w:lang w:val="nl-NL"/>
        </w:rPr>
        <w:t>destination</w:t>
      </w:r>
      <w:proofErr w:type="spellEnd"/>
      <w:r w:rsidRPr="007F02D7">
        <w:rPr>
          <w:rFonts w:ascii="Arial" w:eastAsia="Verdana" w:hAnsi="Arial" w:cs="Arial"/>
          <w:lang w:val="nl-NL"/>
        </w:rPr>
        <w:t xml:space="preserve"> des </w:t>
      </w:r>
      <w:proofErr w:type="spellStart"/>
      <w:r w:rsidRPr="007F02D7">
        <w:rPr>
          <w:rFonts w:ascii="Arial" w:eastAsia="Verdana" w:hAnsi="Arial" w:cs="Arial"/>
          <w:lang w:val="nl-NL"/>
        </w:rPr>
        <w:t>patients</w:t>
      </w:r>
      <w:proofErr w:type="spellEnd"/>
    </w:p>
    <w:p w14:paraId="6DE4DE8E" w14:textId="77777777" w:rsidR="0069300C" w:rsidRPr="007F02D7" w:rsidRDefault="0069300C" w:rsidP="0069300C">
      <w:pPr>
        <w:spacing w:after="200" w:line="276" w:lineRule="auto"/>
        <w:ind w:left="1134"/>
        <w:jc w:val="both"/>
        <w:rPr>
          <w:rFonts w:ascii="Arial" w:eastAsia="Verdana" w:hAnsi="Arial" w:cs="Arial"/>
          <w:lang w:val="fr-BE"/>
        </w:rPr>
      </w:pPr>
      <w:r w:rsidRPr="007F02D7">
        <w:rPr>
          <w:rFonts w:ascii="Arial" w:eastAsia="Verdana" w:hAnsi="Arial" w:cs="Arial"/>
          <w:color w:val="222222"/>
          <w:lang w:val="fr-FR"/>
        </w:rPr>
        <w:t>Les organismes assureurs et les organisations de patients sont invités à informer leurs membres sur le service BUM existant  - corticoïdes inhalés.</w:t>
      </w:r>
    </w:p>
    <w:p w14:paraId="003AE853" w14:textId="77777777" w:rsidR="0069300C" w:rsidRPr="007F02D7" w:rsidRDefault="0069300C" w:rsidP="008318F2">
      <w:pPr>
        <w:numPr>
          <w:ilvl w:val="0"/>
          <w:numId w:val="30"/>
        </w:numPr>
        <w:spacing w:after="200" w:line="276" w:lineRule="auto"/>
        <w:jc w:val="both"/>
        <w:rPr>
          <w:rFonts w:ascii="Arial" w:eastAsia="Verdana" w:hAnsi="Arial" w:cs="Arial"/>
          <w:b/>
          <w:lang w:val="fr-BE"/>
        </w:rPr>
      </w:pPr>
      <w:r w:rsidRPr="007F02D7">
        <w:rPr>
          <w:rFonts w:ascii="Arial" w:eastAsia="Verdana" w:hAnsi="Arial" w:cs="Arial"/>
          <w:b/>
          <w:lang w:val="fr-BE"/>
        </w:rPr>
        <w:t>Implémentation du projet</w:t>
      </w:r>
    </w:p>
    <w:p w14:paraId="6EEF59A5"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L'étude de l’évaluation de l'Université d'Anvers (UA) a émis une série de recommandations visant à l’implémentation optimale du projet BUM. L’implémentation relève de la responsabilité partagée de tous les acteurs concernés. Le document "Implémentation BUM" est un document informatif qui démontre la volonté de soutien optimal, mais reste ouvert à la discussion et à l’approbation de  toutes les parties concernées.</w:t>
      </w:r>
    </w:p>
    <w:p w14:paraId="6F4EF032"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Si souhaité, cette stratégie d’implémentation peut être suivie par le Conseil consultatif universitaire.</w:t>
      </w:r>
    </w:p>
    <w:p w14:paraId="4261B3E9" w14:textId="77777777" w:rsidR="0069300C" w:rsidRPr="007F02D7" w:rsidRDefault="0069300C" w:rsidP="0069300C">
      <w:pPr>
        <w:spacing w:after="200" w:line="276" w:lineRule="auto"/>
        <w:ind w:left="709"/>
        <w:jc w:val="both"/>
        <w:rPr>
          <w:rFonts w:ascii="Arial" w:eastAsia="Verdana" w:hAnsi="Arial" w:cs="Arial"/>
          <w:color w:val="222222"/>
          <w:lang w:val="fr-FR"/>
        </w:rPr>
      </w:pPr>
      <w:r w:rsidRPr="007F02D7">
        <w:rPr>
          <w:rFonts w:ascii="Arial" w:eastAsia="Verdana" w:hAnsi="Arial" w:cs="Arial"/>
          <w:color w:val="222222"/>
          <w:lang w:val="fr-FR"/>
        </w:rPr>
        <w:t>Le Conseil consultatif universitaire est composé d'experts dans les soins pharmaceutiques, émanant de toutes les universités belges, et est de 2013 à 2015 présidé par l’Université d’Anvers. Ce groupe d'experts donne des avis sur les documents et les concepts développés dans le cadre du BUM (asthme et autres indications), avec pour objectif de répercuter et de donner un avis sur l’évidence scientifique existante.</w:t>
      </w:r>
    </w:p>
    <w:p w14:paraId="393FD453" w14:textId="77777777" w:rsidR="0069300C" w:rsidRPr="007F02D7" w:rsidRDefault="0069300C" w:rsidP="0069300C">
      <w:pPr>
        <w:spacing w:after="200" w:line="276" w:lineRule="auto"/>
        <w:ind w:left="709"/>
        <w:jc w:val="both"/>
        <w:rPr>
          <w:rFonts w:ascii="Arial" w:eastAsia="Verdana" w:hAnsi="Arial" w:cs="Arial"/>
          <w:b/>
          <w:lang w:val="fr-BE"/>
        </w:rPr>
      </w:pPr>
      <w:r w:rsidRPr="007F02D7">
        <w:rPr>
          <w:rFonts w:ascii="Arial" w:eastAsia="Verdana" w:hAnsi="Arial" w:cs="Arial"/>
          <w:color w:val="222222"/>
          <w:lang w:val="fr-FR"/>
        </w:rPr>
        <w:t xml:space="preserve">A long terme, une évaluation sera demandée par </w:t>
      </w:r>
      <w:r w:rsidRPr="007F02D7">
        <w:rPr>
          <w:rFonts w:ascii="Arial" w:eastAsia="Verdana" w:hAnsi="Arial" w:cs="Arial"/>
          <w:i/>
          <w:color w:val="222222"/>
          <w:lang w:val="fr-FR"/>
        </w:rPr>
        <w:t>l'Observatoire pour les maladies chroniques</w:t>
      </w:r>
      <w:r w:rsidRPr="007F02D7">
        <w:rPr>
          <w:rFonts w:ascii="Arial" w:eastAsia="Verdana" w:hAnsi="Arial" w:cs="Arial"/>
          <w:color w:val="222222"/>
          <w:lang w:val="fr-FR"/>
        </w:rPr>
        <w:t>.</w:t>
      </w:r>
    </w:p>
    <w:sectPr w:rsidR="0069300C" w:rsidRPr="007F02D7" w:rsidSect="00191C26">
      <w:headerReference w:type="default" r:id="rId9"/>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6C754" w14:textId="77777777" w:rsidR="00513DF0" w:rsidRDefault="00513DF0">
      <w:pPr>
        <w:spacing w:line="20" w:lineRule="exact"/>
        <w:rPr>
          <w:sz w:val="24"/>
        </w:rPr>
      </w:pPr>
    </w:p>
  </w:endnote>
  <w:endnote w:type="continuationSeparator" w:id="0">
    <w:p w14:paraId="0B466D0C" w14:textId="77777777" w:rsidR="00513DF0" w:rsidRDefault="00513DF0">
      <w:r>
        <w:rPr>
          <w:sz w:val="24"/>
        </w:rPr>
        <w:t xml:space="preserve"> </w:t>
      </w:r>
    </w:p>
  </w:endnote>
  <w:endnote w:type="continuationNotice" w:id="1">
    <w:p w14:paraId="40776DC7" w14:textId="77777777" w:rsidR="00513DF0" w:rsidRDefault="00513D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C194" w14:textId="77777777" w:rsidR="00513DF0" w:rsidRDefault="00513DF0">
      <w:r>
        <w:rPr>
          <w:sz w:val="24"/>
        </w:rPr>
        <w:separator/>
      </w:r>
    </w:p>
  </w:footnote>
  <w:footnote w:type="continuationSeparator" w:id="0">
    <w:p w14:paraId="682BE0B3" w14:textId="77777777" w:rsidR="00513DF0" w:rsidRDefault="00513DF0">
      <w:r>
        <w:continuationSeparator/>
      </w:r>
    </w:p>
  </w:footnote>
  <w:footnote w:id="1">
    <w:p w14:paraId="0797C026" w14:textId="77777777" w:rsidR="00513DF0" w:rsidRPr="00A90018" w:rsidRDefault="00513DF0" w:rsidP="0069300C">
      <w:pPr>
        <w:autoSpaceDE w:val="0"/>
        <w:autoSpaceDN w:val="0"/>
        <w:adjustRightInd w:val="0"/>
        <w:jc w:val="both"/>
        <w:rPr>
          <w:rFonts w:ascii="Arial" w:hAnsi="Arial" w:cs="Arial"/>
          <w:sz w:val="16"/>
          <w:szCs w:val="16"/>
          <w:lang w:val="fr-BE"/>
        </w:rPr>
      </w:pPr>
      <w:r w:rsidRPr="00A90018">
        <w:rPr>
          <w:rFonts w:ascii="Arial" w:hAnsi="Arial" w:cs="Arial"/>
          <w:sz w:val="16"/>
          <w:szCs w:val="16"/>
          <w:lang w:val="fr-BE"/>
        </w:rPr>
        <w:footnoteRef/>
      </w:r>
      <w:r w:rsidRPr="00A90018">
        <w:rPr>
          <w:rFonts w:ascii="Arial" w:hAnsi="Arial" w:cs="Arial"/>
          <w:sz w:val="16"/>
          <w:szCs w:val="16"/>
          <w:lang w:val="fr-BE"/>
        </w:rPr>
        <w:t xml:space="preserve"> La consommation d’au moins quatre flacons de B2CDA dans l’année correspond approximativement à la prise de quatre bouffées</w:t>
      </w:r>
    </w:p>
    <w:p w14:paraId="63B3389C" w14:textId="77777777" w:rsidR="00513DF0" w:rsidRPr="00A90018" w:rsidRDefault="00513DF0" w:rsidP="0069300C">
      <w:pPr>
        <w:autoSpaceDE w:val="0"/>
        <w:autoSpaceDN w:val="0"/>
        <w:adjustRightInd w:val="0"/>
        <w:jc w:val="both"/>
        <w:rPr>
          <w:rFonts w:ascii="Arial" w:hAnsi="Arial" w:cs="Arial"/>
          <w:sz w:val="16"/>
          <w:szCs w:val="16"/>
          <w:lang w:val="fr-BE"/>
        </w:rPr>
      </w:pPr>
      <w:r w:rsidRPr="00A90018">
        <w:rPr>
          <w:rFonts w:ascii="Arial" w:hAnsi="Arial" w:cs="Arial"/>
          <w:sz w:val="16"/>
          <w:szCs w:val="16"/>
          <w:lang w:val="fr-BE"/>
        </w:rPr>
        <w:t xml:space="preserve"> par jour de médicament, au moins un jour sur deux, soit deux à trois fois plus que le niveau retenu par les experts en France pour définir un contrôle insuffisant de la maladie. Par ailleurs, parmi les indicateurs retenus par le groupe Global Initiative for Asthma (GINA) intégré à l’OMS pour définir le contrôle insuffisant de la maladie, figure le recours aux bronchodilatateurs de brève durée d’action « plus de deux fois par semaine » (GINA 2008). En d’autres termes, le remboursement d’au moins quatre flacons dans l’année témoigne d’une consommation sensiblement plus élevée que celle attendue, tant par les experts français que par ceux du GINA pour identifier les patients dont la maladie est insuffisamment contrôlée. A contrario cependant, il est probable que certains de ces remboursements correspondent à des achats de médicaments non consommés et que le patient conserve, par précaution, dans plusieurs lieux (voiture, lieu de vacances, etc.).</w:t>
      </w:r>
    </w:p>
  </w:footnote>
  <w:footnote w:id="2">
    <w:p w14:paraId="6D8FAB76" w14:textId="77777777" w:rsidR="00513DF0" w:rsidRPr="005C3D0D" w:rsidRDefault="00513DF0" w:rsidP="0069300C">
      <w:pPr>
        <w:pStyle w:val="FootnoteText"/>
        <w:rPr>
          <w:rFonts w:cstheme="minorHAnsi"/>
          <w:sz w:val="16"/>
          <w:szCs w:val="16"/>
          <w:lang w:val="fr-BE"/>
        </w:rPr>
      </w:pPr>
      <w:r w:rsidRPr="005C3D0D">
        <w:rPr>
          <w:rStyle w:val="FootnoteReference"/>
          <w:rFonts w:cstheme="minorHAnsi"/>
          <w:sz w:val="16"/>
          <w:szCs w:val="16"/>
        </w:rPr>
        <w:footnoteRef/>
      </w:r>
      <w:r w:rsidRPr="005C3D0D">
        <w:rPr>
          <w:rFonts w:cstheme="minorHAnsi"/>
          <w:sz w:val="16"/>
          <w:szCs w:val="16"/>
          <w:lang w:val="fr-BE"/>
        </w:rPr>
        <w:t xml:space="preserve"> www.cbip.be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D09B" w14:textId="77777777" w:rsidR="00513DF0" w:rsidRPr="00653D35" w:rsidRDefault="00513DF0" w:rsidP="00653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24"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4561EF2"/>
    <w:multiLevelType w:val="hybridMultilevel"/>
    <w:tmpl w:val="882C77EC"/>
    <w:lvl w:ilvl="0" w:tplc="C0D41EA2">
      <w:start w:val="5"/>
      <w:numFmt w:val="bullet"/>
      <w:lvlText w:val="-"/>
      <w:lvlJc w:val="left"/>
      <w:pPr>
        <w:ind w:left="1626" w:hanging="360"/>
      </w:pPr>
      <w:rPr>
        <w:rFonts w:ascii="Arial" w:eastAsia="Times New Roman" w:hAnsi="Arial" w:cs="Aria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3"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3"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71C7DA2"/>
    <w:multiLevelType w:val="hybridMultilevel"/>
    <w:tmpl w:val="0E0AE86E"/>
    <w:lvl w:ilvl="0" w:tplc="BB6213EA">
      <w:start w:val="2"/>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7"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49"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A5E6989"/>
    <w:multiLevelType w:val="hybridMultilevel"/>
    <w:tmpl w:val="907A106E"/>
    <w:lvl w:ilvl="0" w:tplc="C0D41EA2">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8"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2" w15:restartNumberingAfterBreak="0">
    <w:nsid w:val="47CA4B41"/>
    <w:multiLevelType w:val="hybridMultilevel"/>
    <w:tmpl w:val="669E24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3"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67"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0"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6"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7"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79"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91"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E104FF"/>
    <w:multiLevelType w:val="multilevel"/>
    <w:tmpl w:val="2CCCD21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5"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6"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7"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0"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41"/>
  </w:num>
  <w:num w:numId="3">
    <w:abstractNumId w:val="74"/>
  </w:num>
  <w:num w:numId="4">
    <w:abstractNumId w:val="30"/>
  </w:num>
  <w:num w:numId="5">
    <w:abstractNumId w:val="84"/>
  </w:num>
  <w:num w:numId="6">
    <w:abstractNumId w:val="12"/>
  </w:num>
  <w:num w:numId="7">
    <w:abstractNumId w:val="85"/>
  </w:num>
  <w:num w:numId="8">
    <w:abstractNumId w:val="52"/>
  </w:num>
  <w:num w:numId="9">
    <w:abstractNumId w:val="80"/>
  </w:num>
  <w:num w:numId="10">
    <w:abstractNumId w:val="24"/>
  </w:num>
  <w:num w:numId="11">
    <w:abstractNumId w:val="16"/>
  </w:num>
  <w:num w:numId="12">
    <w:abstractNumId w:val="3"/>
  </w:num>
  <w:num w:numId="13">
    <w:abstractNumId w:val="20"/>
  </w:num>
  <w:num w:numId="14">
    <w:abstractNumId w:val="78"/>
  </w:num>
  <w:num w:numId="15">
    <w:abstractNumId w:val="5"/>
  </w:num>
  <w:num w:numId="16">
    <w:abstractNumId w:val="37"/>
  </w:num>
  <w:num w:numId="17">
    <w:abstractNumId w:val="10"/>
  </w:num>
  <w:num w:numId="18">
    <w:abstractNumId w:val="7"/>
  </w:num>
  <w:num w:numId="19">
    <w:abstractNumId w:val="57"/>
  </w:num>
  <w:num w:numId="20">
    <w:abstractNumId w:val="64"/>
  </w:num>
  <w:num w:numId="21">
    <w:abstractNumId w:val="68"/>
  </w:num>
  <w:num w:numId="22">
    <w:abstractNumId w:val="87"/>
  </w:num>
  <w:num w:numId="23">
    <w:abstractNumId w:val="34"/>
  </w:num>
  <w:num w:numId="24">
    <w:abstractNumId w:val="98"/>
  </w:num>
  <w:num w:numId="25">
    <w:abstractNumId w:val="50"/>
  </w:num>
  <w:num w:numId="26">
    <w:abstractNumId w:val="27"/>
  </w:num>
  <w:num w:numId="27">
    <w:abstractNumId w:val="66"/>
  </w:num>
  <w:num w:numId="28">
    <w:abstractNumId w:val="23"/>
  </w:num>
  <w:num w:numId="29">
    <w:abstractNumId w:val="42"/>
  </w:num>
  <w:num w:numId="30">
    <w:abstractNumId w:val="21"/>
  </w:num>
  <w:num w:numId="31">
    <w:abstractNumId w:val="17"/>
  </w:num>
  <w:num w:numId="32">
    <w:abstractNumId w:val="99"/>
  </w:num>
  <w:num w:numId="33">
    <w:abstractNumId w:val="61"/>
  </w:num>
  <w:num w:numId="34">
    <w:abstractNumId w:val="46"/>
  </w:num>
  <w:num w:numId="35">
    <w:abstractNumId w:val="54"/>
  </w:num>
  <w:num w:numId="36">
    <w:abstractNumId w:val="25"/>
  </w:num>
  <w:num w:numId="37">
    <w:abstractNumId w:val="92"/>
  </w:num>
  <w:num w:numId="38">
    <w:abstractNumId w:val="65"/>
  </w:num>
  <w:num w:numId="39">
    <w:abstractNumId w:val="53"/>
  </w:num>
  <w:num w:numId="40">
    <w:abstractNumId w:val="73"/>
  </w:num>
  <w:num w:numId="41">
    <w:abstractNumId w:val="18"/>
  </w:num>
  <w:num w:numId="42">
    <w:abstractNumId w:val="14"/>
  </w:num>
  <w:num w:numId="43">
    <w:abstractNumId w:val="4"/>
  </w:num>
  <w:num w:numId="44">
    <w:abstractNumId w:val="36"/>
  </w:num>
  <w:num w:numId="45">
    <w:abstractNumId w:val="39"/>
  </w:num>
  <w:num w:numId="46">
    <w:abstractNumId w:val="26"/>
  </w:num>
  <w:num w:numId="47">
    <w:abstractNumId w:val="35"/>
  </w:num>
  <w:num w:numId="48">
    <w:abstractNumId w:val="88"/>
  </w:num>
  <w:num w:numId="49">
    <w:abstractNumId w:val="60"/>
  </w:num>
  <w:num w:numId="50">
    <w:abstractNumId w:val="100"/>
  </w:num>
  <w:num w:numId="51">
    <w:abstractNumId w:val="58"/>
  </w:num>
  <w:num w:numId="52">
    <w:abstractNumId w:val="89"/>
  </w:num>
  <w:num w:numId="53">
    <w:abstractNumId w:val="40"/>
  </w:num>
  <w:num w:numId="54">
    <w:abstractNumId w:val="33"/>
  </w:num>
  <w:num w:numId="55">
    <w:abstractNumId w:val="38"/>
  </w:num>
  <w:num w:numId="56">
    <w:abstractNumId w:val="86"/>
  </w:num>
  <w:num w:numId="57">
    <w:abstractNumId w:val="81"/>
  </w:num>
  <w:num w:numId="58">
    <w:abstractNumId w:val="75"/>
  </w:num>
  <w:num w:numId="59">
    <w:abstractNumId w:val="83"/>
  </w:num>
  <w:num w:numId="60">
    <w:abstractNumId w:val="71"/>
  </w:num>
  <w:num w:numId="61">
    <w:abstractNumId w:val="48"/>
  </w:num>
  <w:num w:numId="62">
    <w:abstractNumId w:val="77"/>
  </w:num>
  <w:num w:numId="63">
    <w:abstractNumId w:val="6"/>
  </w:num>
  <w:num w:numId="64">
    <w:abstractNumId w:val="2"/>
  </w:num>
  <w:num w:numId="65">
    <w:abstractNumId w:val="1"/>
  </w:num>
  <w:num w:numId="66">
    <w:abstractNumId w:val="91"/>
  </w:num>
  <w:num w:numId="67">
    <w:abstractNumId w:val="97"/>
  </w:num>
  <w:num w:numId="68">
    <w:abstractNumId w:val="13"/>
  </w:num>
  <w:num w:numId="69">
    <w:abstractNumId w:val="56"/>
  </w:num>
  <w:num w:numId="70">
    <w:abstractNumId w:val="47"/>
  </w:num>
  <w:num w:numId="71">
    <w:abstractNumId w:val="70"/>
  </w:num>
  <w:num w:numId="72">
    <w:abstractNumId w:val="63"/>
  </w:num>
  <w:num w:numId="73">
    <w:abstractNumId w:val="29"/>
  </w:num>
  <w:num w:numId="74">
    <w:abstractNumId w:val="44"/>
  </w:num>
  <w:num w:numId="75">
    <w:abstractNumId w:val="22"/>
  </w:num>
  <w:num w:numId="76">
    <w:abstractNumId w:val="49"/>
  </w:num>
  <w:num w:numId="77">
    <w:abstractNumId w:val="79"/>
  </w:num>
  <w:num w:numId="78">
    <w:abstractNumId w:val="8"/>
  </w:num>
  <w:num w:numId="79">
    <w:abstractNumId w:val="55"/>
  </w:num>
  <w:num w:numId="80">
    <w:abstractNumId w:val="0"/>
  </w:num>
  <w:num w:numId="81">
    <w:abstractNumId w:val="11"/>
  </w:num>
  <w:num w:numId="82">
    <w:abstractNumId w:val="28"/>
  </w:num>
  <w:num w:numId="83">
    <w:abstractNumId w:val="82"/>
  </w:num>
  <w:num w:numId="84">
    <w:abstractNumId w:val="43"/>
  </w:num>
  <w:num w:numId="85">
    <w:abstractNumId w:val="95"/>
  </w:num>
  <w:num w:numId="86">
    <w:abstractNumId w:val="93"/>
  </w:num>
  <w:num w:numId="87">
    <w:abstractNumId w:val="62"/>
  </w:num>
  <w:num w:numId="88">
    <w:abstractNumId w:val="96"/>
  </w:num>
  <w:num w:numId="89">
    <w:abstractNumId w:val="69"/>
  </w:num>
  <w:num w:numId="90">
    <w:abstractNumId w:val="72"/>
  </w:num>
  <w:num w:numId="91">
    <w:abstractNumId w:val="76"/>
  </w:num>
  <w:num w:numId="92">
    <w:abstractNumId w:val="15"/>
  </w:num>
  <w:num w:numId="93">
    <w:abstractNumId w:val="51"/>
  </w:num>
  <w:num w:numId="94">
    <w:abstractNumId w:val="32"/>
  </w:num>
  <w:num w:numId="95">
    <w:abstractNumId w:val="90"/>
  </w:num>
  <w:num w:numId="96">
    <w:abstractNumId w:val="31"/>
  </w:num>
  <w:num w:numId="97">
    <w:abstractNumId w:val="45"/>
  </w:num>
  <w:num w:numId="98">
    <w:abstractNumId w:val="67"/>
  </w:num>
  <w:num w:numId="99">
    <w:abstractNumId w:val="94"/>
  </w:num>
  <w:num w:numId="100">
    <w:abstractNumId w:val="9"/>
  </w:num>
  <w:num w:numId="101">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25D1"/>
    <w:rsid w:val="000D2766"/>
    <w:rsid w:val="000D2A9F"/>
    <w:rsid w:val="000D2BE5"/>
    <w:rsid w:val="000D4212"/>
    <w:rsid w:val="000D4F62"/>
    <w:rsid w:val="000E3A67"/>
    <w:rsid w:val="000E43A6"/>
    <w:rsid w:val="000E4990"/>
    <w:rsid w:val="000E665F"/>
    <w:rsid w:val="000E69B5"/>
    <w:rsid w:val="000F2A1D"/>
    <w:rsid w:val="000F2D8C"/>
    <w:rsid w:val="000F5340"/>
    <w:rsid w:val="000F53A1"/>
    <w:rsid w:val="000F7556"/>
    <w:rsid w:val="00101BCA"/>
    <w:rsid w:val="001054DE"/>
    <w:rsid w:val="001078C6"/>
    <w:rsid w:val="00107EBD"/>
    <w:rsid w:val="00111445"/>
    <w:rsid w:val="00116902"/>
    <w:rsid w:val="00117E9A"/>
    <w:rsid w:val="001304E6"/>
    <w:rsid w:val="00131912"/>
    <w:rsid w:val="001330A9"/>
    <w:rsid w:val="00147C3C"/>
    <w:rsid w:val="00147C3E"/>
    <w:rsid w:val="001602BD"/>
    <w:rsid w:val="001608C3"/>
    <w:rsid w:val="00161F16"/>
    <w:rsid w:val="00175F84"/>
    <w:rsid w:val="001805D9"/>
    <w:rsid w:val="00181DFF"/>
    <w:rsid w:val="00181FE8"/>
    <w:rsid w:val="00183BC8"/>
    <w:rsid w:val="00191C26"/>
    <w:rsid w:val="001925DD"/>
    <w:rsid w:val="00194165"/>
    <w:rsid w:val="001B1DDE"/>
    <w:rsid w:val="001C2EBE"/>
    <w:rsid w:val="001C5E59"/>
    <w:rsid w:val="001C74DE"/>
    <w:rsid w:val="001D207E"/>
    <w:rsid w:val="001D273A"/>
    <w:rsid w:val="001D4457"/>
    <w:rsid w:val="001E1972"/>
    <w:rsid w:val="001E5CAE"/>
    <w:rsid w:val="001E628B"/>
    <w:rsid w:val="001E6C60"/>
    <w:rsid w:val="001F0CC3"/>
    <w:rsid w:val="001F219F"/>
    <w:rsid w:val="001F2A87"/>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431E"/>
    <w:rsid w:val="00267254"/>
    <w:rsid w:val="002709ED"/>
    <w:rsid w:val="002709F5"/>
    <w:rsid w:val="00276748"/>
    <w:rsid w:val="0027731D"/>
    <w:rsid w:val="00282173"/>
    <w:rsid w:val="00286B9C"/>
    <w:rsid w:val="002C3F02"/>
    <w:rsid w:val="002C7A29"/>
    <w:rsid w:val="002D01CE"/>
    <w:rsid w:val="002D382B"/>
    <w:rsid w:val="002D7935"/>
    <w:rsid w:val="002E2FB3"/>
    <w:rsid w:val="002E3138"/>
    <w:rsid w:val="002E4A23"/>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7A90"/>
    <w:rsid w:val="003A0DDA"/>
    <w:rsid w:val="003A1330"/>
    <w:rsid w:val="003A45CE"/>
    <w:rsid w:val="003B1EB6"/>
    <w:rsid w:val="003B4844"/>
    <w:rsid w:val="003B4A37"/>
    <w:rsid w:val="003B538B"/>
    <w:rsid w:val="003B5C89"/>
    <w:rsid w:val="003B72B9"/>
    <w:rsid w:val="003B782D"/>
    <w:rsid w:val="003C10A5"/>
    <w:rsid w:val="003C2185"/>
    <w:rsid w:val="003C32E3"/>
    <w:rsid w:val="003C5258"/>
    <w:rsid w:val="003D11D8"/>
    <w:rsid w:val="003D3617"/>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B40C2"/>
    <w:rsid w:val="004B4888"/>
    <w:rsid w:val="004B4A5D"/>
    <w:rsid w:val="004B5DE6"/>
    <w:rsid w:val="004B7FDD"/>
    <w:rsid w:val="004C30B8"/>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565A"/>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5625"/>
    <w:rsid w:val="00C65877"/>
    <w:rsid w:val="00C700BD"/>
    <w:rsid w:val="00C70422"/>
    <w:rsid w:val="00C710D3"/>
    <w:rsid w:val="00C77291"/>
    <w:rsid w:val="00C80ADB"/>
    <w:rsid w:val="00C8288E"/>
    <w:rsid w:val="00C840D2"/>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204F"/>
    <w:rsid w:val="00D1483F"/>
    <w:rsid w:val="00D16085"/>
    <w:rsid w:val="00D2119B"/>
    <w:rsid w:val="00D21E2A"/>
    <w:rsid w:val="00D23C72"/>
    <w:rsid w:val="00D255B1"/>
    <w:rsid w:val="00D56E69"/>
    <w:rsid w:val="00D57F07"/>
    <w:rsid w:val="00D60654"/>
    <w:rsid w:val="00D62567"/>
    <w:rsid w:val="00D712CC"/>
    <w:rsid w:val="00D71EAB"/>
    <w:rsid w:val="00D74951"/>
    <w:rsid w:val="00D76A33"/>
    <w:rsid w:val="00D85902"/>
    <w:rsid w:val="00D90761"/>
    <w:rsid w:val="00D90EC3"/>
    <w:rsid w:val="00D91888"/>
    <w:rsid w:val="00D935D3"/>
    <w:rsid w:val="00D94615"/>
    <w:rsid w:val="00DA0722"/>
    <w:rsid w:val="00DA4C84"/>
    <w:rsid w:val="00DA5747"/>
    <w:rsid w:val="00DA5EF0"/>
    <w:rsid w:val="00DB198C"/>
    <w:rsid w:val="00DB26EC"/>
    <w:rsid w:val="00DB547B"/>
    <w:rsid w:val="00DB56F3"/>
    <w:rsid w:val="00DC0099"/>
    <w:rsid w:val="00DC508F"/>
    <w:rsid w:val="00DD019F"/>
    <w:rsid w:val="00DD1633"/>
    <w:rsid w:val="00DD5D26"/>
    <w:rsid w:val="00DD69F3"/>
    <w:rsid w:val="00DE088C"/>
    <w:rsid w:val="00DE5976"/>
    <w:rsid w:val="00DE610B"/>
    <w:rsid w:val="00DF0044"/>
    <w:rsid w:val="00DF293F"/>
    <w:rsid w:val="00E01E55"/>
    <w:rsid w:val="00E046AD"/>
    <w:rsid w:val="00E04733"/>
    <w:rsid w:val="00E04F1D"/>
    <w:rsid w:val="00E1297B"/>
    <w:rsid w:val="00E14018"/>
    <w:rsid w:val="00E1695D"/>
    <w:rsid w:val="00E17B9D"/>
    <w:rsid w:val="00E23D3F"/>
    <w:rsid w:val="00E27EE2"/>
    <w:rsid w:val="00E33825"/>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708B1"/>
    <w:rsid w:val="00E710E6"/>
    <w:rsid w:val="00E71C62"/>
    <w:rsid w:val="00E71D91"/>
    <w:rsid w:val="00E73542"/>
    <w:rsid w:val="00E73E49"/>
    <w:rsid w:val="00E77C4B"/>
    <w:rsid w:val="00E81B17"/>
    <w:rsid w:val="00E8645A"/>
    <w:rsid w:val="00EA0F60"/>
    <w:rsid w:val="00EA23BB"/>
    <w:rsid w:val="00EA32EA"/>
    <w:rsid w:val="00EA3C18"/>
    <w:rsid w:val="00EA6E87"/>
    <w:rsid w:val="00EB1B87"/>
    <w:rsid w:val="00EB3435"/>
    <w:rsid w:val="00EC03CC"/>
    <w:rsid w:val="00EC07C7"/>
    <w:rsid w:val="00EC6B03"/>
    <w:rsid w:val="00ED19D1"/>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4FE7"/>
    <w:rsid w:val="00F55CE3"/>
    <w:rsid w:val="00F62BD8"/>
    <w:rsid w:val="00F65D91"/>
    <w:rsid w:val="00F70836"/>
    <w:rsid w:val="00F7209C"/>
    <w:rsid w:val="00F8234B"/>
    <w:rsid w:val="00F87C77"/>
    <w:rsid w:val="00F92859"/>
    <w:rsid w:val="00F976DA"/>
    <w:rsid w:val="00FA2F2B"/>
    <w:rsid w:val="00FA57B6"/>
    <w:rsid w:val="00FB74BD"/>
    <w:rsid w:val="00FC03B4"/>
    <w:rsid w:val="00FC0F96"/>
    <w:rsid w:val="00FC1C16"/>
    <w:rsid w:val="00FC2283"/>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Heading1">
    <w:name w:val="heading 1"/>
    <w:basedOn w:val="Normal"/>
    <w:next w:val="Normal"/>
    <w:link w:val="Heading1Char"/>
    <w:qFormat/>
    <w:rsid w:val="000835EA"/>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0835EA"/>
    <w:pPr>
      <w:keepNext/>
      <w:outlineLvl w:val="1"/>
    </w:pPr>
    <w:rPr>
      <w:rFonts w:ascii="Arial" w:hAnsi="Arial"/>
      <w:color w:val="000000"/>
      <w:u w:val="single"/>
    </w:rPr>
  </w:style>
  <w:style w:type="paragraph" w:styleId="Heading4">
    <w:name w:val="heading 4"/>
    <w:basedOn w:val="Normal"/>
    <w:next w:val="Normal"/>
    <w:link w:val="Heading4Ch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35EA"/>
    <w:rPr>
      <w:sz w:val="24"/>
    </w:rPr>
  </w:style>
  <w:style w:type="character" w:styleId="EndnoteReference">
    <w:name w:val="endnote reference"/>
    <w:basedOn w:val="DefaultParagraphFont"/>
    <w:semiHidden/>
    <w:rsid w:val="000835EA"/>
    <w:rPr>
      <w:vertAlign w:val="superscript"/>
    </w:rPr>
  </w:style>
  <w:style w:type="paragraph" w:styleId="FootnoteText">
    <w:name w:val="footnote text"/>
    <w:basedOn w:val="Normal"/>
    <w:link w:val="FootnoteTextChar"/>
    <w:rsid w:val="000835EA"/>
    <w:rPr>
      <w:sz w:val="24"/>
    </w:rPr>
  </w:style>
  <w:style w:type="character" w:styleId="FootnoteReference">
    <w:name w:val="footnote reference"/>
    <w:basedOn w:val="DefaultParagraphFont"/>
    <w:rsid w:val="000835EA"/>
    <w:rPr>
      <w:vertAlign w:val="superscript"/>
    </w:rPr>
  </w:style>
  <w:style w:type="paragraph" w:styleId="TOC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0835EA"/>
    <w:pPr>
      <w:tabs>
        <w:tab w:val="right" w:leader="dot" w:pos="9360"/>
      </w:tabs>
      <w:suppressAutoHyphens/>
      <w:ind w:left="1440" w:right="720" w:hanging="720"/>
    </w:pPr>
    <w:rPr>
      <w:lang w:val="en-US"/>
    </w:rPr>
  </w:style>
  <w:style w:type="paragraph" w:styleId="TOC3">
    <w:name w:val="toc 3"/>
    <w:basedOn w:val="Normal"/>
    <w:next w:val="Normal"/>
    <w:autoRedefine/>
    <w:semiHidden/>
    <w:rsid w:val="000835EA"/>
    <w:pPr>
      <w:tabs>
        <w:tab w:val="right" w:leader="dot" w:pos="9360"/>
      </w:tabs>
      <w:suppressAutoHyphens/>
      <w:ind w:left="2160" w:right="720" w:hanging="720"/>
    </w:pPr>
    <w:rPr>
      <w:lang w:val="en-US"/>
    </w:rPr>
  </w:style>
  <w:style w:type="paragraph" w:styleId="TOC4">
    <w:name w:val="toc 4"/>
    <w:basedOn w:val="Normal"/>
    <w:next w:val="Normal"/>
    <w:autoRedefine/>
    <w:semiHidden/>
    <w:rsid w:val="000835EA"/>
    <w:pPr>
      <w:tabs>
        <w:tab w:val="right" w:leader="dot" w:pos="9360"/>
      </w:tabs>
      <w:suppressAutoHyphens/>
      <w:ind w:left="2880" w:right="720" w:hanging="720"/>
    </w:pPr>
    <w:rPr>
      <w:lang w:val="en-US"/>
    </w:rPr>
  </w:style>
  <w:style w:type="paragraph" w:styleId="TOC5">
    <w:name w:val="toc 5"/>
    <w:basedOn w:val="Normal"/>
    <w:next w:val="Normal"/>
    <w:autoRedefine/>
    <w:semiHidden/>
    <w:rsid w:val="000835EA"/>
    <w:pPr>
      <w:tabs>
        <w:tab w:val="right" w:leader="dot" w:pos="9360"/>
      </w:tabs>
      <w:suppressAutoHyphens/>
      <w:ind w:left="3600" w:right="720" w:hanging="720"/>
    </w:pPr>
    <w:rPr>
      <w:lang w:val="en-US"/>
    </w:rPr>
  </w:style>
  <w:style w:type="paragraph" w:styleId="TOC6">
    <w:name w:val="toc 6"/>
    <w:basedOn w:val="Normal"/>
    <w:next w:val="Normal"/>
    <w:autoRedefine/>
    <w:semiHidden/>
    <w:rsid w:val="000835EA"/>
    <w:pPr>
      <w:tabs>
        <w:tab w:val="right" w:pos="9360"/>
      </w:tabs>
      <w:suppressAutoHyphens/>
      <w:ind w:left="720" w:hanging="720"/>
    </w:pPr>
    <w:rPr>
      <w:lang w:val="en-US"/>
    </w:rPr>
  </w:style>
  <w:style w:type="paragraph" w:styleId="TOC7">
    <w:name w:val="toc 7"/>
    <w:basedOn w:val="Normal"/>
    <w:next w:val="Normal"/>
    <w:autoRedefine/>
    <w:semiHidden/>
    <w:rsid w:val="000835EA"/>
    <w:pPr>
      <w:suppressAutoHyphens/>
      <w:ind w:left="720" w:hanging="720"/>
    </w:pPr>
    <w:rPr>
      <w:lang w:val="en-US"/>
    </w:rPr>
  </w:style>
  <w:style w:type="paragraph" w:styleId="TOC8">
    <w:name w:val="toc 8"/>
    <w:basedOn w:val="Normal"/>
    <w:next w:val="Normal"/>
    <w:autoRedefine/>
    <w:semiHidden/>
    <w:rsid w:val="000835EA"/>
    <w:pPr>
      <w:tabs>
        <w:tab w:val="right" w:pos="9360"/>
      </w:tabs>
      <w:suppressAutoHyphens/>
      <w:ind w:left="720" w:hanging="720"/>
    </w:pPr>
    <w:rPr>
      <w:lang w:val="en-US"/>
    </w:rPr>
  </w:style>
  <w:style w:type="paragraph" w:styleId="TOC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OAHeading">
    <w:name w:val="toa heading"/>
    <w:basedOn w:val="Normal"/>
    <w:next w:val="Normal"/>
    <w:semiHidden/>
    <w:rsid w:val="000835EA"/>
    <w:pPr>
      <w:tabs>
        <w:tab w:val="right" w:pos="9360"/>
      </w:tabs>
      <w:suppressAutoHyphens/>
    </w:pPr>
    <w:rPr>
      <w:lang w:val="en-US"/>
    </w:rPr>
  </w:style>
  <w:style w:type="paragraph" w:styleId="Caption">
    <w:name w:val="caption"/>
    <w:basedOn w:val="Normal"/>
    <w:next w:val="Normal"/>
    <w:qFormat/>
    <w:rsid w:val="000835EA"/>
    <w:rPr>
      <w:sz w:val="24"/>
    </w:rPr>
  </w:style>
  <w:style w:type="character" w:customStyle="1" w:styleId="EquationCaption">
    <w:name w:val="_Equation Caption"/>
    <w:rsid w:val="000835EA"/>
  </w:style>
  <w:style w:type="paragraph" w:styleId="Title">
    <w:name w:val="Title"/>
    <w:basedOn w:val="Normal"/>
    <w:qFormat/>
    <w:rsid w:val="000835EA"/>
    <w:pPr>
      <w:suppressAutoHyphens/>
      <w:jc w:val="center"/>
    </w:pPr>
    <w:rPr>
      <w:rFonts w:ascii="Arial" w:hAnsi="Arial"/>
      <w:b/>
      <w:spacing w:val="-2"/>
      <w:lang w:val="nl-NL"/>
    </w:rPr>
  </w:style>
  <w:style w:type="paragraph" w:styleId="BodyTextIndent">
    <w:name w:val="Body Text Indent"/>
    <w:basedOn w:val="Normal"/>
    <w:link w:val="BodyTextIndentChar"/>
    <w:rsid w:val="000835EA"/>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0835EA"/>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0835EA"/>
    <w:pPr>
      <w:tabs>
        <w:tab w:val="left" w:pos="993"/>
        <w:tab w:val="left" w:pos="1418"/>
      </w:tabs>
      <w:suppressAutoHyphens/>
      <w:jc w:val="both"/>
    </w:pPr>
    <w:rPr>
      <w:rFonts w:ascii="Arial" w:hAnsi="Arial"/>
      <w:spacing w:val="-2"/>
      <w:lang w:val="nl-NL"/>
    </w:rPr>
  </w:style>
  <w:style w:type="paragraph" w:styleId="Header">
    <w:name w:val="header"/>
    <w:basedOn w:val="Normal"/>
    <w:link w:val="HeaderChar"/>
    <w:rsid w:val="000835EA"/>
    <w:pPr>
      <w:tabs>
        <w:tab w:val="center" w:pos="4153"/>
        <w:tab w:val="right" w:pos="8306"/>
      </w:tabs>
    </w:pPr>
  </w:style>
  <w:style w:type="paragraph" w:styleId="Footer">
    <w:name w:val="footer"/>
    <w:basedOn w:val="Normal"/>
    <w:link w:val="FooterChar"/>
    <w:rsid w:val="000835EA"/>
    <w:pPr>
      <w:tabs>
        <w:tab w:val="center" w:pos="4153"/>
        <w:tab w:val="right" w:pos="8306"/>
      </w:tabs>
    </w:pPr>
  </w:style>
  <w:style w:type="paragraph" w:styleId="DocumentMap">
    <w:name w:val="Document Map"/>
    <w:basedOn w:val="Normal"/>
    <w:semiHidden/>
    <w:rsid w:val="000835EA"/>
    <w:pPr>
      <w:shd w:val="clear" w:color="auto" w:fill="000080"/>
    </w:pPr>
    <w:rPr>
      <w:rFonts w:ascii="Tahoma" w:hAnsi="Tahoma"/>
    </w:rPr>
  </w:style>
  <w:style w:type="character" w:styleId="PageNumber">
    <w:name w:val="page number"/>
    <w:basedOn w:val="DefaultParagraphFont"/>
    <w:rsid w:val="00D85902"/>
  </w:style>
  <w:style w:type="table" w:styleId="TableGrid">
    <w:name w:val="Table Grid"/>
    <w:basedOn w:val="Table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4F60"/>
    <w:rPr>
      <w:b/>
      <w:bCs/>
    </w:rPr>
  </w:style>
  <w:style w:type="character" w:customStyle="1" w:styleId="Document8">
    <w:name w:val="Document 8"/>
    <w:basedOn w:val="DefaultParagraphFont"/>
    <w:rsid w:val="004D2AD4"/>
  </w:style>
  <w:style w:type="character" w:customStyle="1" w:styleId="Document4">
    <w:name w:val="Document 4"/>
    <w:basedOn w:val="DefaultParagraphFont"/>
    <w:rsid w:val="004D2AD4"/>
    <w:rPr>
      <w:b/>
      <w:i/>
      <w:sz w:val="24"/>
    </w:rPr>
  </w:style>
  <w:style w:type="character" w:customStyle="1" w:styleId="Document6">
    <w:name w:val="Document 6"/>
    <w:basedOn w:val="DefaultParagraphFont"/>
    <w:rsid w:val="004D2AD4"/>
  </w:style>
  <w:style w:type="character" w:customStyle="1" w:styleId="Document5">
    <w:name w:val="Document 5"/>
    <w:basedOn w:val="DefaultParagraphFont"/>
    <w:rsid w:val="004D2AD4"/>
  </w:style>
  <w:style w:type="character" w:customStyle="1" w:styleId="Document2">
    <w:name w:val="Document 2"/>
    <w:basedOn w:val="DefaultParagraphFont"/>
    <w:rsid w:val="004D2AD4"/>
    <w:rPr>
      <w:rFonts w:ascii="Courier" w:hAnsi="Courier"/>
      <w:noProof w:val="0"/>
      <w:sz w:val="24"/>
      <w:lang w:val="en-US"/>
    </w:rPr>
  </w:style>
  <w:style w:type="character" w:customStyle="1" w:styleId="Document7">
    <w:name w:val="Document 7"/>
    <w:basedOn w:val="DefaultParagraphFont"/>
    <w:rsid w:val="004D2AD4"/>
  </w:style>
  <w:style w:type="character" w:customStyle="1" w:styleId="Bibliogrphy">
    <w:name w:val="Bibliogrphy"/>
    <w:basedOn w:val="DefaultParagraphFont"/>
    <w:rsid w:val="004D2AD4"/>
  </w:style>
  <w:style w:type="character" w:customStyle="1" w:styleId="RightPar1">
    <w:name w:val="Right Par 1"/>
    <w:basedOn w:val="DefaultParagraphFont"/>
    <w:rsid w:val="004D2AD4"/>
  </w:style>
  <w:style w:type="character" w:customStyle="1" w:styleId="RightPar2">
    <w:name w:val="Right Par 2"/>
    <w:basedOn w:val="DefaultParagraphFont"/>
    <w:rsid w:val="004D2AD4"/>
  </w:style>
  <w:style w:type="character" w:customStyle="1" w:styleId="Document3">
    <w:name w:val="Document 3"/>
    <w:basedOn w:val="DefaultParagraphFont"/>
    <w:rsid w:val="004D2AD4"/>
    <w:rPr>
      <w:rFonts w:ascii="Courier" w:hAnsi="Courier"/>
      <w:noProof w:val="0"/>
      <w:sz w:val="24"/>
      <w:lang w:val="en-US"/>
    </w:rPr>
  </w:style>
  <w:style w:type="character" w:customStyle="1" w:styleId="RightPar3">
    <w:name w:val="Right Par 3"/>
    <w:basedOn w:val="DefaultParagraphFont"/>
    <w:rsid w:val="004D2AD4"/>
  </w:style>
  <w:style w:type="character" w:customStyle="1" w:styleId="RightPar4">
    <w:name w:val="Right Par 4"/>
    <w:basedOn w:val="DefaultParagraphFont"/>
    <w:rsid w:val="004D2AD4"/>
  </w:style>
  <w:style w:type="character" w:customStyle="1" w:styleId="RightPar5">
    <w:name w:val="Right Par 5"/>
    <w:basedOn w:val="DefaultParagraphFont"/>
    <w:rsid w:val="004D2AD4"/>
  </w:style>
  <w:style w:type="character" w:customStyle="1" w:styleId="RightPar6">
    <w:name w:val="Right Par 6"/>
    <w:basedOn w:val="DefaultParagraphFont"/>
    <w:rsid w:val="004D2AD4"/>
  </w:style>
  <w:style w:type="character" w:customStyle="1" w:styleId="RightPar7">
    <w:name w:val="Right Par 7"/>
    <w:basedOn w:val="DefaultParagraphFont"/>
    <w:rsid w:val="004D2AD4"/>
  </w:style>
  <w:style w:type="character" w:customStyle="1" w:styleId="RightPar8">
    <w:name w:val="Right Par 8"/>
    <w:basedOn w:val="DefaultParagraphFon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4D2AD4"/>
  </w:style>
  <w:style w:type="character" w:customStyle="1" w:styleId="TechInit">
    <w:name w:val="Tech Init"/>
    <w:basedOn w:val="DefaultParagraphFont"/>
    <w:rsid w:val="004D2AD4"/>
    <w:rPr>
      <w:rFonts w:ascii="Courier" w:hAnsi="Courier"/>
      <w:noProof w:val="0"/>
      <w:sz w:val="24"/>
      <w:lang w:val="en-US"/>
    </w:rPr>
  </w:style>
  <w:style w:type="character" w:customStyle="1" w:styleId="Technical5">
    <w:name w:val="Technical 5"/>
    <w:basedOn w:val="DefaultParagraphFont"/>
    <w:rsid w:val="004D2AD4"/>
  </w:style>
  <w:style w:type="character" w:customStyle="1" w:styleId="Technical6">
    <w:name w:val="Technical 6"/>
    <w:basedOn w:val="DefaultParagraphFont"/>
    <w:rsid w:val="004D2AD4"/>
  </w:style>
  <w:style w:type="character" w:customStyle="1" w:styleId="Technical2">
    <w:name w:val="Technical 2"/>
    <w:basedOn w:val="DefaultParagraphFont"/>
    <w:rsid w:val="004D2AD4"/>
    <w:rPr>
      <w:rFonts w:ascii="Courier" w:hAnsi="Courier"/>
      <w:noProof w:val="0"/>
      <w:sz w:val="24"/>
      <w:lang w:val="en-US"/>
    </w:rPr>
  </w:style>
  <w:style w:type="character" w:customStyle="1" w:styleId="Technical3">
    <w:name w:val="Technical 3"/>
    <w:basedOn w:val="DefaultParagraphFont"/>
    <w:rsid w:val="004D2AD4"/>
    <w:rPr>
      <w:rFonts w:ascii="Courier" w:hAnsi="Courier"/>
      <w:noProof w:val="0"/>
      <w:sz w:val="24"/>
      <w:lang w:val="en-US"/>
    </w:rPr>
  </w:style>
  <w:style w:type="character" w:customStyle="1" w:styleId="Technical4">
    <w:name w:val="Technical 4"/>
    <w:basedOn w:val="DefaultParagraphFont"/>
    <w:rsid w:val="004D2AD4"/>
  </w:style>
  <w:style w:type="character" w:customStyle="1" w:styleId="Technical1">
    <w:name w:val="Technical 1"/>
    <w:basedOn w:val="DefaultParagraphFont"/>
    <w:rsid w:val="004D2AD4"/>
    <w:rPr>
      <w:rFonts w:ascii="Courier" w:hAnsi="Courier"/>
      <w:noProof w:val="0"/>
      <w:sz w:val="24"/>
      <w:lang w:val="en-US"/>
    </w:rPr>
  </w:style>
  <w:style w:type="character" w:customStyle="1" w:styleId="Technical7">
    <w:name w:val="Technical 7"/>
    <w:basedOn w:val="DefaultParagraphFont"/>
    <w:rsid w:val="004D2AD4"/>
  </w:style>
  <w:style w:type="character" w:customStyle="1" w:styleId="Technical8">
    <w:name w:val="Technical 8"/>
    <w:basedOn w:val="DefaultParagraphFont"/>
    <w:rsid w:val="004D2AD4"/>
  </w:style>
  <w:style w:type="character" w:customStyle="1" w:styleId="Bibliographi">
    <w:name w:val="Bibliographi"/>
    <w:basedOn w:val="DefaultParagraphFont"/>
    <w:rsid w:val="004D2AD4"/>
  </w:style>
  <w:style w:type="character" w:customStyle="1" w:styleId="Paradroit1">
    <w:name w:val="Para. droit 1"/>
    <w:basedOn w:val="DefaultParagraphFont"/>
    <w:rsid w:val="004D2AD4"/>
  </w:style>
  <w:style w:type="character" w:customStyle="1" w:styleId="Paradroit2">
    <w:name w:val="Para. droit 2"/>
    <w:basedOn w:val="DefaultParagraphFont"/>
    <w:rsid w:val="004D2AD4"/>
  </w:style>
  <w:style w:type="character" w:customStyle="1" w:styleId="Paradroit3">
    <w:name w:val="Para. droit 3"/>
    <w:basedOn w:val="DefaultParagraphFont"/>
    <w:rsid w:val="004D2AD4"/>
  </w:style>
  <w:style w:type="character" w:customStyle="1" w:styleId="Paradroit4">
    <w:name w:val="Para. droit 4"/>
    <w:basedOn w:val="DefaultParagraphFont"/>
    <w:rsid w:val="004D2AD4"/>
  </w:style>
  <w:style w:type="character" w:customStyle="1" w:styleId="Paradroit5">
    <w:name w:val="Para. droit 5"/>
    <w:basedOn w:val="DefaultParagraphFont"/>
    <w:rsid w:val="004D2AD4"/>
  </w:style>
  <w:style w:type="character" w:customStyle="1" w:styleId="Paradroit6">
    <w:name w:val="Para. droit 6"/>
    <w:basedOn w:val="DefaultParagraphFont"/>
    <w:rsid w:val="004D2AD4"/>
  </w:style>
  <w:style w:type="character" w:customStyle="1" w:styleId="Paradroit7">
    <w:name w:val="Para. droit 7"/>
    <w:basedOn w:val="DefaultParagraphFont"/>
    <w:rsid w:val="004D2AD4"/>
  </w:style>
  <w:style w:type="character" w:customStyle="1" w:styleId="Paradroit8">
    <w:name w:val="Para. droit 8"/>
    <w:basedOn w:val="DefaultParagraphFont"/>
    <w:rsid w:val="004D2AD4"/>
  </w:style>
  <w:style w:type="character" w:customStyle="1" w:styleId="Technactif">
    <w:name w:val="Techn actif"/>
    <w:basedOn w:val="DefaultParagraphFont"/>
    <w:rsid w:val="004D2AD4"/>
    <w:rPr>
      <w:rFonts w:ascii="Courier" w:hAnsi="Courier"/>
      <w:noProof w:val="0"/>
      <w:sz w:val="24"/>
      <w:lang w:val="en-US"/>
    </w:rPr>
  </w:style>
  <w:style w:type="character" w:customStyle="1" w:styleId="Technique2">
    <w:name w:val="Technique 2"/>
    <w:basedOn w:val="DefaultParagraphFont"/>
    <w:rsid w:val="004D2AD4"/>
    <w:rPr>
      <w:rFonts w:ascii="Courier" w:hAnsi="Courier"/>
      <w:noProof w:val="0"/>
      <w:sz w:val="24"/>
      <w:lang w:val="en-US"/>
    </w:rPr>
  </w:style>
  <w:style w:type="character" w:customStyle="1" w:styleId="Technique3">
    <w:name w:val="Technique 3"/>
    <w:basedOn w:val="DefaultParagraphFont"/>
    <w:rsid w:val="004D2AD4"/>
    <w:rPr>
      <w:rFonts w:ascii="Courier" w:hAnsi="Courier"/>
      <w:noProof w:val="0"/>
      <w:sz w:val="24"/>
      <w:lang w:val="en-US"/>
    </w:rPr>
  </w:style>
  <w:style w:type="character" w:customStyle="1" w:styleId="Technique4">
    <w:name w:val="Technique 4"/>
    <w:basedOn w:val="DefaultParagraphFont"/>
    <w:rsid w:val="004D2AD4"/>
  </w:style>
  <w:style w:type="character" w:customStyle="1" w:styleId="Technique1">
    <w:name w:val="Technique 1"/>
    <w:basedOn w:val="DefaultParagraphFont"/>
    <w:rsid w:val="004D2AD4"/>
    <w:rPr>
      <w:rFonts w:ascii="Courier" w:hAnsi="Courier"/>
      <w:noProof w:val="0"/>
      <w:sz w:val="24"/>
      <w:lang w:val="en-US"/>
    </w:rPr>
  </w:style>
  <w:style w:type="character" w:customStyle="1" w:styleId="Docactif">
    <w:name w:val="Doc actif"/>
    <w:basedOn w:val="DefaultParagraphFont"/>
    <w:rsid w:val="004D2AD4"/>
  </w:style>
  <w:style w:type="character" w:customStyle="1" w:styleId="Technique5">
    <w:name w:val="Technique 5"/>
    <w:basedOn w:val="DefaultParagraphFont"/>
    <w:rsid w:val="004D2AD4"/>
  </w:style>
  <w:style w:type="character" w:customStyle="1" w:styleId="Technique6">
    <w:name w:val="Technique 6"/>
    <w:basedOn w:val="DefaultParagraphFont"/>
    <w:rsid w:val="004D2AD4"/>
  </w:style>
  <w:style w:type="character" w:customStyle="1" w:styleId="Technique7">
    <w:name w:val="Technique 7"/>
    <w:basedOn w:val="DefaultParagraphFont"/>
    <w:rsid w:val="004D2AD4"/>
  </w:style>
  <w:style w:type="character" w:customStyle="1" w:styleId="Technique8">
    <w:name w:val="Technique 8"/>
    <w:basedOn w:val="DefaultParagraphFont"/>
    <w:rsid w:val="004D2AD4"/>
  </w:style>
  <w:style w:type="character" w:customStyle="1" w:styleId="Alineanummer1">
    <w:name w:val="Alineanummer 1"/>
    <w:basedOn w:val="DefaultParagraphFont"/>
    <w:rsid w:val="004D2AD4"/>
  </w:style>
  <w:style w:type="character" w:customStyle="1" w:styleId="Bibliografie">
    <w:name w:val="Bibliografie"/>
    <w:basedOn w:val="DefaultParagraphFont"/>
    <w:rsid w:val="004D2AD4"/>
  </w:style>
  <w:style w:type="character" w:customStyle="1" w:styleId="Dokument5">
    <w:name w:val="Dokument 5"/>
    <w:basedOn w:val="DefaultParagraphFont"/>
    <w:rsid w:val="004D2AD4"/>
  </w:style>
  <w:style w:type="character" w:customStyle="1" w:styleId="Dokument6">
    <w:name w:val="Dokument 6"/>
    <w:basedOn w:val="DefaultParagraphFont"/>
    <w:rsid w:val="004D2AD4"/>
  </w:style>
  <w:style w:type="character" w:customStyle="1" w:styleId="Dokument4">
    <w:name w:val="Dokument 4"/>
    <w:basedOn w:val="DefaultParagraphFont"/>
    <w:rsid w:val="004D2AD4"/>
    <w:rPr>
      <w:b/>
      <w:i/>
      <w:sz w:val="24"/>
    </w:rPr>
  </w:style>
  <w:style w:type="character" w:customStyle="1" w:styleId="Alineanummer2">
    <w:name w:val="Alineanummer 2"/>
    <w:basedOn w:val="DefaultParagraphFon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4D2AD4"/>
  </w:style>
  <w:style w:type="character" w:customStyle="1" w:styleId="Alineanummer4">
    <w:name w:val="Alineanummer 4"/>
    <w:basedOn w:val="DefaultParagraphFont"/>
    <w:rsid w:val="004D2AD4"/>
  </w:style>
  <w:style w:type="character" w:customStyle="1" w:styleId="Alineanummer5">
    <w:name w:val="Alineanummer 5"/>
    <w:basedOn w:val="DefaultParagraphFont"/>
    <w:rsid w:val="004D2AD4"/>
  </w:style>
  <w:style w:type="character" w:customStyle="1" w:styleId="Alineanummer6">
    <w:name w:val="Alineanummer 6"/>
    <w:basedOn w:val="DefaultParagraphFont"/>
    <w:rsid w:val="004D2AD4"/>
  </w:style>
  <w:style w:type="character" w:customStyle="1" w:styleId="Dokument2">
    <w:name w:val="Dokument 2"/>
    <w:basedOn w:val="DefaultParagraphFont"/>
    <w:rsid w:val="004D2AD4"/>
    <w:rPr>
      <w:rFonts w:ascii="Courier" w:hAnsi="Courier"/>
      <w:noProof w:val="0"/>
      <w:sz w:val="24"/>
      <w:lang w:val="en-US"/>
    </w:rPr>
  </w:style>
  <w:style w:type="character" w:customStyle="1" w:styleId="Alineanummer7">
    <w:name w:val="Alineanummer 7"/>
    <w:basedOn w:val="DefaultParagraphFont"/>
    <w:rsid w:val="004D2AD4"/>
  </w:style>
  <w:style w:type="character" w:customStyle="1" w:styleId="Alineanummer8">
    <w:name w:val="Alineanummer 8"/>
    <w:basedOn w:val="DefaultParagraphFont"/>
    <w:rsid w:val="004D2AD4"/>
  </w:style>
  <w:style w:type="character" w:customStyle="1" w:styleId="Techninit">
    <w:name w:val="Techn init"/>
    <w:basedOn w:val="DefaultParagraphFont"/>
    <w:rsid w:val="004D2AD4"/>
    <w:rPr>
      <w:rFonts w:ascii="Courier" w:hAnsi="Courier"/>
      <w:noProof w:val="0"/>
      <w:sz w:val="24"/>
      <w:lang w:val="en-US"/>
    </w:rPr>
  </w:style>
  <w:style w:type="character" w:customStyle="1" w:styleId="Dokuinit">
    <w:name w:val="Doku init"/>
    <w:basedOn w:val="DefaultParagraphFont"/>
    <w:rsid w:val="004D2AD4"/>
  </w:style>
  <w:style w:type="character" w:customStyle="1" w:styleId="Dokument3">
    <w:name w:val="Dokument 3"/>
    <w:basedOn w:val="DefaultParagraphFont"/>
    <w:rsid w:val="004D2AD4"/>
    <w:rPr>
      <w:rFonts w:ascii="Courier" w:hAnsi="Courier"/>
      <w:noProof w:val="0"/>
      <w:sz w:val="24"/>
      <w:lang w:val="en-US"/>
    </w:rPr>
  </w:style>
  <w:style w:type="character" w:customStyle="1" w:styleId="Dokument7">
    <w:name w:val="Dokument 7"/>
    <w:basedOn w:val="DefaultParagraphFont"/>
    <w:rsid w:val="004D2AD4"/>
  </w:style>
  <w:style w:type="character" w:customStyle="1" w:styleId="Dokument8">
    <w:name w:val="Dokument 8"/>
    <w:basedOn w:val="DefaultParagraphFont"/>
    <w:rsid w:val="004D2AD4"/>
  </w:style>
  <w:style w:type="character" w:customStyle="1" w:styleId="Technisch1">
    <w:name w:val="Technisch 1"/>
    <w:basedOn w:val="DefaultParagraphFont"/>
    <w:rsid w:val="004D2AD4"/>
    <w:rPr>
      <w:rFonts w:ascii="Courier" w:hAnsi="Courier"/>
      <w:noProof w:val="0"/>
      <w:sz w:val="24"/>
      <w:lang w:val="en-US"/>
    </w:rPr>
  </w:style>
  <w:style w:type="character" w:customStyle="1" w:styleId="Technisch2">
    <w:name w:val="Technisch 2"/>
    <w:basedOn w:val="DefaultParagraphFont"/>
    <w:rsid w:val="004D2AD4"/>
    <w:rPr>
      <w:rFonts w:ascii="Courier" w:hAnsi="Courier"/>
      <w:noProof w:val="0"/>
      <w:sz w:val="24"/>
      <w:lang w:val="en-US"/>
    </w:rPr>
  </w:style>
  <w:style w:type="character" w:customStyle="1" w:styleId="Technisch3">
    <w:name w:val="Technisch 3"/>
    <w:basedOn w:val="DefaultParagraphFont"/>
    <w:rsid w:val="004D2AD4"/>
    <w:rPr>
      <w:rFonts w:ascii="Courier" w:hAnsi="Courier"/>
      <w:noProof w:val="0"/>
      <w:sz w:val="24"/>
      <w:lang w:val="en-US"/>
    </w:rPr>
  </w:style>
  <w:style w:type="character" w:customStyle="1" w:styleId="Technisch5">
    <w:name w:val="Technisch 5"/>
    <w:basedOn w:val="DefaultParagraphFont"/>
    <w:rsid w:val="004D2AD4"/>
  </w:style>
  <w:style w:type="character" w:customStyle="1" w:styleId="Technisch6">
    <w:name w:val="Technisch 6"/>
    <w:basedOn w:val="DefaultParagraphFont"/>
    <w:rsid w:val="004D2AD4"/>
  </w:style>
  <w:style w:type="character" w:customStyle="1" w:styleId="Technisch7">
    <w:name w:val="Technisch 7"/>
    <w:basedOn w:val="DefaultParagraphFont"/>
    <w:rsid w:val="004D2AD4"/>
  </w:style>
  <w:style w:type="character" w:customStyle="1" w:styleId="Technisch4">
    <w:name w:val="Technisch 4"/>
    <w:basedOn w:val="DefaultParagraphFont"/>
    <w:rsid w:val="004D2AD4"/>
  </w:style>
  <w:style w:type="character" w:customStyle="1" w:styleId="Technisch8">
    <w:name w:val="Technisch 8"/>
    <w:basedOn w:val="DefaultParagraphFont"/>
    <w:rsid w:val="004D2AD4"/>
  </w:style>
  <w:style w:type="character" w:customStyle="1" w:styleId="KB-4kol">
    <w:name w:val="KB-4kol"/>
    <w:basedOn w:val="DefaultParagraphFon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4D2AD4"/>
  </w:style>
  <w:style w:type="character" w:customStyle="1" w:styleId="Alineanum1">
    <w:name w:val="Alineanum[1]"/>
    <w:basedOn w:val="DefaultParagraphFont"/>
    <w:rsid w:val="004D2AD4"/>
  </w:style>
  <w:style w:type="character" w:customStyle="1" w:styleId="Dokument50">
    <w:name w:val="Dokument[5]"/>
    <w:basedOn w:val="DefaultParagraphFont"/>
    <w:rsid w:val="004D2AD4"/>
  </w:style>
  <w:style w:type="character" w:customStyle="1" w:styleId="Dokument60">
    <w:name w:val="Dokument[6]"/>
    <w:basedOn w:val="DefaultParagraphFont"/>
    <w:rsid w:val="004D2AD4"/>
  </w:style>
  <w:style w:type="character" w:customStyle="1" w:styleId="Dokument40">
    <w:name w:val="Dokument[4]"/>
    <w:basedOn w:val="DefaultParagraphFont"/>
    <w:rsid w:val="004D2AD4"/>
    <w:rPr>
      <w:b/>
      <w:i/>
      <w:sz w:val="24"/>
    </w:rPr>
  </w:style>
  <w:style w:type="character" w:customStyle="1" w:styleId="Alineanum2">
    <w:name w:val="Alineanum[2]"/>
    <w:basedOn w:val="DefaultParagraphFon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4D2AD4"/>
  </w:style>
  <w:style w:type="character" w:customStyle="1" w:styleId="Alineanum4">
    <w:name w:val="Alineanum[4]"/>
    <w:basedOn w:val="DefaultParagraphFont"/>
    <w:rsid w:val="004D2AD4"/>
  </w:style>
  <w:style w:type="character" w:customStyle="1" w:styleId="Alineanum5">
    <w:name w:val="Alineanum[5]"/>
    <w:basedOn w:val="DefaultParagraphFont"/>
    <w:rsid w:val="004D2AD4"/>
  </w:style>
  <w:style w:type="character" w:customStyle="1" w:styleId="Alineanum6">
    <w:name w:val="Alineanum[6]"/>
    <w:basedOn w:val="DefaultParagraphFont"/>
    <w:rsid w:val="004D2AD4"/>
  </w:style>
  <w:style w:type="character" w:customStyle="1" w:styleId="Dokument20">
    <w:name w:val="Dokument[2]"/>
    <w:basedOn w:val="DefaultParagraphFont"/>
    <w:rsid w:val="004D2AD4"/>
    <w:rPr>
      <w:rFonts w:ascii="Courier" w:hAnsi="Courier"/>
      <w:noProof w:val="0"/>
      <w:sz w:val="24"/>
      <w:lang w:val="en-US"/>
    </w:rPr>
  </w:style>
  <w:style w:type="character" w:customStyle="1" w:styleId="Alineanum7">
    <w:name w:val="Alineanum[7]"/>
    <w:basedOn w:val="DefaultParagraphFont"/>
    <w:rsid w:val="004D2AD4"/>
  </w:style>
  <w:style w:type="character" w:customStyle="1" w:styleId="Alineanum8">
    <w:name w:val="Alineanum[8]"/>
    <w:basedOn w:val="DefaultParagraphFont"/>
    <w:rsid w:val="004D2AD4"/>
  </w:style>
  <w:style w:type="character" w:customStyle="1" w:styleId="Dokument30">
    <w:name w:val="Dokument[3]"/>
    <w:basedOn w:val="DefaultParagraphFont"/>
    <w:rsid w:val="004D2AD4"/>
    <w:rPr>
      <w:rFonts w:ascii="Courier" w:hAnsi="Courier"/>
      <w:noProof w:val="0"/>
      <w:sz w:val="24"/>
      <w:lang w:val="en-US"/>
    </w:rPr>
  </w:style>
  <w:style w:type="character" w:customStyle="1" w:styleId="Dokument70">
    <w:name w:val="Dokument[7]"/>
    <w:basedOn w:val="DefaultParagraphFont"/>
    <w:rsid w:val="004D2AD4"/>
  </w:style>
  <w:style w:type="character" w:customStyle="1" w:styleId="Dokument80">
    <w:name w:val="Dokument[8]"/>
    <w:basedOn w:val="DefaultParagraphFont"/>
    <w:rsid w:val="004D2AD4"/>
  </w:style>
  <w:style w:type="character" w:customStyle="1" w:styleId="Technisch10">
    <w:name w:val="Technisch[1]"/>
    <w:basedOn w:val="DefaultParagraphFont"/>
    <w:rsid w:val="004D2AD4"/>
    <w:rPr>
      <w:rFonts w:ascii="Courier" w:hAnsi="Courier"/>
      <w:noProof w:val="0"/>
      <w:sz w:val="24"/>
      <w:lang w:val="en-US"/>
    </w:rPr>
  </w:style>
  <w:style w:type="character" w:customStyle="1" w:styleId="Technisch20">
    <w:name w:val="Technisch[2]"/>
    <w:basedOn w:val="DefaultParagraphFont"/>
    <w:rsid w:val="004D2AD4"/>
    <w:rPr>
      <w:rFonts w:ascii="Courier" w:hAnsi="Courier"/>
      <w:noProof w:val="0"/>
      <w:sz w:val="24"/>
      <w:lang w:val="en-US"/>
    </w:rPr>
  </w:style>
  <w:style w:type="character" w:customStyle="1" w:styleId="Technisch30">
    <w:name w:val="Technisch[3]"/>
    <w:basedOn w:val="DefaultParagraphFont"/>
    <w:rsid w:val="004D2AD4"/>
    <w:rPr>
      <w:rFonts w:ascii="Courier" w:hAnsi="Courier"/>
      <w:noProof w:val="0"/>
      <w:sz w:val="24"/>
      <w:lang w:val="en-US"/>
    </w:rPr>
  </w:style>
  <w:style w:type="character" w:customStyle="1" w:styleId="Technisch50">
    <w:name w:val="Technisch[5]"/>
    <w:basedOn w:val="DefaultParagraphFont"/>
    <w:rsid w:val="004D2AD4"/>
  </w:style>
  <w:style w:type="character" w:customStyle="1" w:styleId="Technisch60">
    <w:name w:val="Technisch[6]"/>
    <w:basedOn w:val="DefaultParagraphFont"/>
    <w:rsid w:val="004D2AD4"/>
  </w:style>
  <w:style w:type="character" w:customStyle="1" w:styleId="Technisch70">
    <w:name w:val="Technisch[7]"/>
    <w:basedOn w:val="DefaultParagraphFont"/>
    <w:rsid w:val="004D2AD4"/>
  </w:style>
  <w:style w:type="character" w:customStyle="1" w:styleId="Technisch40">
    <w:name w:val="Technisch[4]"/>
    <w:basedOn w:val="DefaultParagraphFont"/>
    <w:rsid w:val="004D2AD4"/>
  </w:style>
  <w:style w:type="character" w:customStyle="1" w:styleId="Technisch80">
    <w:name w:val="Technisch[8]"/>
    <w:basedOn w:val="DefaultParagraphFont"/>
    <w:rsid w:val="004D2AD4"/>
  </w:style>
  <w:style w:type="character" w:customStyle="1" w:styleId="kolommengr">
    <w:name w:val="kolommengr"/>
    <w:basedOn w:val="DefaultParagraphFon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DefaultParagraphFont"/>
    <w:rsid w:val="004D2AD4"/>
    <w:rPr>
      <w:rFonts w:ascii="Courier" w:hAnsi="Courier"/>
      <w:noProof w:val="0"/>
      <w:sz w:val="24"/>
      <w:lang w:val="en-US"/>
    </w:rPr>
  </w:style>
  <w:style w:type="character" w:customStyle="1" w:styleId="kolommen">
    <w:name w:val="kolommen"/>
    <w:basedOn w:val="DefaultParagraphFont"/>
    <w:rsid w:val="004D2AD4"/>
    <w:rPr>
      <w:rFonts w:ascii="Courier" w:hAnsi="Courier"/>
      <w:noProof w:val="0"/>
      <w:sz w:val="24"/>
      <w:lang w:val="en-US"/>
    </w:rPr>
  </w:style>
  <w:style w:type="character" w:customStyle="1" w:styleId="KB4kol">
    <w:name w:val="KB 4kol"/>
    <w:basedOn w:val="DefaultParagraphFon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DefaultParagraphFon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DefaultParagraphFon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Hyperlink">
    <w:name w:val="Hyperlink"/>
    <w:basedOn w:val="DefaultParagraphFont"/>
    <w:rsid w:val="004D2AD4"/>
    <w:rPr>
      <w:color w:val="0000FF"/>
      <w:u w:val="single"/>
    </w:rPr>
  </w:style>
  <w:style w:type="paragraph" w:styleId="BalloonText">
    <w:name w:val="Balloon Text"/>
    <w:basedOn w:val="Normal"/>
    <w:link w:val="BalloonTextChar"/>
    <w:rsid w:val="004D2AD4"/>
    <w:rPr>
      <w:rFonts w:ascii="Tahoma" w:hAnsi="Tahoma" w:cs="Tahoma"/>
      <w:sz w:val="16"/>
      <w:szCs w:val="16"/>
    </w:rPr>
  </w:style>
  <w:style w:type="character" w:customStyle="1" w:styleId="BalloonTextChar">
    <w:name w:val="Balloon Text Char"/>
    <w:basedOn w:val="DefaultParagraphFont"/>
    <w:link w:val="BalloonText"/>
    <w:rsid w:val="004D2AD4"/>
    <w:rPr>
      <w:rFonts w:ascii="Tahoma" w:hAnsi="Tahoma" w:cs="Tahoma"/>
      <w:snapToGrid w:val="0"/>
      <w:sz w:val="16"/>
      <w:szCs w:val="16"/>
      <w:lang w:val="en-GB"/>
    </w:rPr>
  </w:style>
  <w:style w:type="character" w:styleId="FollowedHyperlink">
    <w:name w:val="FollowedHyperlink"/>
    <w:basedOn w:val="DefaultParagraphFon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ListParagraph">
    <w:name w:val="List Paragraph"/>
    <w:basedOn w:val="Normal"/>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DefaultParagraphFont"/>
    <w:rsid w:val="00FC0F96"/>
    <w:rPr>
      <w:rFonts w:ascii="Verdana" w:hAnsi="Verdana" w:hint="default"/>
      <w:sz w:val="20"/>
      <w:szCs w:val="20"/>
    </w:rPr>
  </w:style>
  <w:style w:type="character" w:customStyle="1" w:styleId="HeaderChar">
    <w:name w:val="Header Char"/>
    <w:basedOn w:val="DefaultParagraphFont"/>
    <w:link w:val="Header"/>
    <w:rsid w:val="00FC0F96"/>
    <w:rPr>
      <w:rFonts w:ascii="Courier" w:hAnsi="Courier"/>
      <w:snapToGrid w:val="0"/>
      <w:lang w:val="en-GB" w:eastAsia="en-US"/>
    </w:rPr>
  </w:style>
  <w:style w:type="table" w:customStyle="1" w:styleId="TableGrid1">
    <w:name w:val="Table Grid1"/>
    <w:basedOn w:val="TableNormal"/>
    <w:next w:val="TableGrid"/>
    <w:uiPriority w:val="5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NoList"/>
    <w:uiPriority w:val="99"/>
    <w:semiHidden/>
    <w:unhideWhenUsed/>
    <w:rsid w:val="0030613A"/>
  </w:style>
  <w:style w:type="table" w:customStyle="1" w:styleId="TableGrid11">
    <w:name w:val="Table Grid11"/>
    <w:basedOn w:val="TableNormal"/>
    <w:next w:val="TableGrid"/>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0613A"/>
    <w:rPr>
      <w:rFonts w:ascii="Courier" w:hAnsi="Courier"/>
      <w:snapToGrid w:val="0"/>
      <w:sz w:val="24"/>
      <w:lang w:val="en-GB"/>
    </w:rPr>
  </w:style>
  <w:style w:type="numbering" w:customStyle="1" w:styleId="NoList2">
    <w:name w:val="No List2"/>
    <w:next w:val="NoList"/>
    <w:uiPriority w:val="99"/>
    <w:semiHidden/>
    <w:unhideWhenUsed/>
    <w:rsid w:val="006E14BA"/>
  </w:style>
  <w:style w:type="character" w:customStyle="1" w:styleId="Heading1Char">
    <w:name w:val="Heading 1 Char"/>
    <w:basedOn w:val="DefaultParagraphFont"/>
    <w:link w:val="Heading1"/>
    <w:rsid w:val="006E14BA"/>
    <w:rPr>
      <w:rFonts w:ascii="Arial" w:hAnsi="Arial"/>
      <w:i/>
      <w:smallCaps/>
      <w:snapToGrid w:val="0"/>
      <w:spacing w:val="-2"/>
      <w:lang w:val="nl-NL"/>
    </w:rPr>
  </w:style>
  <w:style w:type="character" w:customStyle="1" w:styleId="Heading2Char">
    <w:name w:val="Heading 2 Char"/>
    <w:basedOn w:val="DefaultParagraphFont"/>
    <w:link w:val="Heading2"/>
    <w:rsid w:val="006E14BA"/>
    <w:rPr>
      <w:rFonts w:ascii="Arial" w:hAnsi="Arial"/>
      <w:snapToGrid w:val="0"/>
      <w:color w:val="000000"/>
      <w:u w:val="single"/>
      <w:lang w:val="en-GB"/>
    </w:rPr>
  </w:style>
  <w:style w:type="character" w:customStyle="1" w:styleId="BodyTextIndent2Char">
    <w:name w:val="Body Text Indent 2 Char"/>
    <w:basedOn w:val="DefaultParagraphFont"/>
    <w:link w:val="BodyTextIndent2"/>
    <w:rsid w:val="006E14BA"/>
    <w:rPr>
      <w:rFonts w:ascii="Arial" w:hAnsi="Arial"/>
      <w:snapToGrid w:val="0"/>
      <w:spacing w:val="-2"/>
      <w:lang w:val="nl-NL"/>
    </w:rPr>
  </w:style>
  <w:style w:type="character" w:customStyle="1" w:styleId="BodyTextChar">
    <w:name w:val="Body Text Char"/>
    <w:basedOn w:val="DefaultParagraphFont"/>
    <w:link w:val="BodyText"/>
    <w:rsid w:val="006E14BA"/>
    <w:rPr>
      <w:rFonts w:ascii="Arial" w:hAnsi="Arial"/>
      <w:snapToGrid w:val="0"/>
      <w:spacing w:val="-2"/>
      <w:lang w:val="nl-NL"/>
    </w:rPr>
  </w:style>
  <w:style w:type="character" w:customStyle="1" w:styleId="BodyTextIndentChar">
    <w:name w:val="Body Text Indent Char"/>
    <w:basedOn w:val="DefaultParagraphFont"/>
    <w:link w:val="BodyTextIndent"/>
    <w:rsid w:val="006E14BA"/>
    <w:rPr>
      <w:rFonts w:ascii="Arial" w:hAnsi="Arial"/>
      <w:snapToGrid w:val="0"/>
      <w:spacing w:val="-2"/>
      <w:lang w:val="nl-NL"/>
    </w:rPr>
  </w:style>
  <w:style w:type="character" w:customStyle="1" w:styleId="FooterChar">
    <w:name w:val="Footer Char"/>
    <w:basedOn w:val="DefaultParagraphFont"/>
    <w:link w:val="Footer"/>
    <w:rsid w:val="006E14BA"/>
    <w:rPr>
      <w:rFonts w:ascii="Courier" w:hAnsi="Courier"/>
      <w:snapToGrid w:val="0"/>
      <w:lang w:val="en-GB"/>
    </w:rPr>
  </w:style>
  <w:style w:type="table" w:customStyle="1" w:styleId="TableGrid12">
    <w:name w:val="Table Grid12"/>
    <w:basedOn w:val="TableNormal"/>
    <w:next w:val="TableGrid"/>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4273"/>
    <w:rPr>
      <w:sz w:val="16"/>
      <w:szCs w:val="16"/>
    </w:rPr>
  </w:style>
  <w:style w:type="paragraph" w:styleId="CommentText">
    <w:name w:val="annotation text"/>
    <w:basedOn w:val="Normal"/>
    <w:link w:val="CommentTextChar"/>
    <w:semiHidden/>
    <w:unhideWhenUsed/>
    <w:rsid w:val="00784273"/>
  </w:style>
  <w:style w:type="character" w:customStyle="1" w:styleId="CommentTextChar">
    <w:name w:val="Comment Text Char"/>
    <w:basedOn w:val="DefaultParagraphFont"/>
    <w:link w:val="CommentText"/>
    <w:semiHidden/>
    <w:rsid w:val="00784273"/>
    <w:rPr>
      <w:rFonts w:ascii="Courier" w:hAnsi="Courier"/>
      <w:snapToGrid w:val="0"/>
      <w:lang w:val="en-GB"/>
    </w:rPr>
  </w:style>
  <w:style w:type="paragraph" w:styleId="CommentSubject">
    <w:name w:val="annotation subject"/>
    <w:basedOn w:val="CommentText"/>
    <w:next w:val="CommentText"/>
    <w:link w:val="CommentSubjectChar"/>
    <w:semiHidden/>
    <w:unhideWhenUsed/>
    <w:rsid w:val="00784273"/>
    <w:rPr>
      <w:b/>
      <w:bCs/>
    </w:rPr>
  </w:style>
  <w:style w:type="character" w:customStyle="1" w:styleId="CommentSubjectChar">
    <w:name w:val="Comment Subject Char"/>
    <w:basedOn w:val="CommentTextChar"/>
    <w:link w:val="CommentSubject"/>
    <w:semiHidden/>
    <w:rsid w:val="00784273"/>
    <w:rPr>
      <w:rFonts w:ascii="Courier" w:hAnsi="Courier"/>
      <w:b/>
      <w:bCs/>
      <w:snapToGrid w:val="0"/>
      <w:lang w:val="en-GB"/>
    </w:rPr>
  </w:style>
  <w:style w:type="table" w:customStyle="1" w:styleId="Grilledutableau1">
    <w:name w:val="Grille du tableau1"/>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Normal"/>
    <w:next w:val="TableGrid"/>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ziv.fgov.be/SiteCollectionDocuments/overeenkomst_apothekers_bijlage07.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customXml/itemProps2.xml><?xml version="1.0" encoding="utf-8"?>
<ds:datastoreItem xmlns:ds="http://schemas.openxmlformats.org/officeDocument/2006/customXml" ds:itemID="{F80BFDD2-5E05-4B21-B71D-DD7F0D06A74C}"/>
</file>

<file path=customXml/itemProps3.xml><?xml version="1.0" encoding="utf-8"?>
<ds:datastoreItem xmlns:ds="http://schemas.openxmlformats.org/officeDocument/2006/customXml" ds:itemID="{DF0B392C-94B6-429B-BFCF-77E7FA0C33FB}"/>
</file>

<file path=customXml/itemProps4.xml><?xml version="1.0" encoding="utf-8"?>
<ds:datastoreItem xmlns:ds="http://schemas.openxmlformats.org/officeDocument/2006/customXml" ds:itemID="{A68AABCB-9E03-4128-B1BA-A521986DECFF}"/>
</file>

<file path=docProps/app.xml><?xml version="1.0" encoding="utf-8"?>
<Properties xmlns="http://schemas.openxmlformats.org/officeDocument/2006/extended-properties" xmlns:vt="http://schemas.openxmlformats.org/officeDocument/2006/docPropsVTypes">
  <Template>Normal.dotm</Template>
  <TotalTime>0</TotalTime>
  <Pages>11</Pages>
  <Words>3643</Words>
  <Characters>20689</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24284</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III : BUM - Document 1 - Description projet « Entretien d’accompagnement Bon usage des médicaments »</dc:title>
  <dc:creator>bd2341</dc:creator>
  <cp:lastModifiedBy>Blandine Divry (RIZIV-INAMI)</cp:lastModifiedBy>
  <cp:revision>4</cp:revision>
  <cp:lastPrinted>2021-08-30T13:50:00Z</cp:lastPrinted>
  <dcterms:created xsi:type="dcterms:W3CDTF">2022-06-09T09:33:00Z</dcterms:created>
  <dcterms:modified xsi:type="dcterms:W3CDTF">2022-06-20T13:01:00Z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8;#Français|aa2269b8-11bd-4cc9-9267-801806817e60</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