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FE3C6" w14:textId="213195D3" w:rsidR="005D5CEA" w:rsidRPr="002553CC" w:rsidRDefault="00453B8C" w:rsidP="002C52DA">
      <w:pPr>
        <w:jc w:val="both"/>
        <w:rPr>
          <w:b/>
          <w:lang w:val="fr-BE"/>
        </w:rPr>
      </w:pPr>
      <w:r w:rsidRPr="00B44928">
        <w:rPr>
          <w:b/>
          <w:u w:val="single"/>
          <w:lang w:val="fr-BE"/>
        </w:rPr>
        <w:t xml:space="preserve">Convention entre le Comité de l’assurance </w:t>
      </w:r>
      <w:r w:rsidR="002117FB">
        <w:rPr>
          <w:b/>
          <w:u w:val="single"/>
          <w:lang w:val="fr-BE"/>
        </w:rPr>
        <w:t xml:space="preserve">du Service </w:t>
      </w:r>
      <w:r w:rsidRPr="00B44928">
        <w:rPr>
          <w:b/>
          <w:u w:val="single"/>
          <w:lang w:val="fr-BE"/>
        </w:rPr>
        <w:t xml:space="preserve">des Soins de santé et </w:t>
      </w:r>
      <w:r w:rsidR="00A30DD1" w:rsidRPr="00B44928">
        <w:rPr>
          <w:b/>
          <w:u w:val="single"/>
          <w:lang w:val="fr-BE"/>
        </w:rPr>
        <w:t>l’établissement hospitalier pour le</w:t>
      </w:r>
      <w:r w:rsidR="00A30DD1">
        <w:rPr>
          <w:b/>
          <w:u w:val="single"/>
          <w:lang w:val="fr-BE"/>
        </w:rPr>
        <w:t xml:space="preserve"> financement de la thrombectomie mécanique en cas de rupture de </w:t>
      </w:r>
      <w:r w:rsidR="00823289">
        <w:rPr>
          <w:b/>
          <w:u w:val="single"/>
          <w:lang w:val="fr-BE"/>
        </w:rPr>
        <w:t xml:space="preserve">stock de </w:t>
      </w:r>
      <w:r w:rsidR="00A30DD1">
        <w:rPr>
          <w:b/>
          <w:u w:val="single"/>
          <w:lang w:val="fr-BE"/>
        </w:rPr>
        <w:t>thrombolytiques</w:t>
      </w:r>
    </w:p>
    <w:p w14:paraId="2531EAF0" w14:textId="0907033D" w:rsidR="00453B8C" w:rsidRDefault="00453B8C" w:rsidP="002C52DA">
      <w:pPr>
        <w:spacing w:after="0" w:line="240" w:lineRule="auto"/>
        <w:jc w:val="both"/>
        <w:rPr>
          <w:lang w:val="fr-BE"/>
        </w:rPr>
      </w:pPr>
      <w:r w:rsidRPr="00453B8C">
        <w:rPr>
          <w:lang w:val="fr-BE"/>
        </w:rPr>
        <w:t>Vu la loi relative à l'assurance obligatoire soins de santé et indemnités, coordonnée le 14 juillet 1994,</w:t>
      </w:r>
      <w:r>
        <w:rPr>
          <w:lang w:val="fr-BE"/>
        </w:rPr>
        <w:t xml:space="preserve"> en particulier article 56 §1 et conformément l’avis du Comi</w:t>
      </w:r>
      <w:r w:rsidR="00B91817">
        <w:rPr>
          <w:lang w:val="fr-BE"/>
        </w:rPr>
        <w:t>té de l’assurance soins de santé</w:t>
      </w:r>
      <w:r>
        <w:rPr>
          <w:lang w:val="fr-BE"/>
        </w:rPr>
        <w:t xml:space="preserve">, donné le </w:t>
      </w:r>
      <w:r w:rsidR="004A129B">
        <w:rPr>
          <w:lang w:val="fr-BE"/>
        </w:rPr>
        <w:t>5 juin 2023</w:t>
      </w:r>
      <w:r>
        <w:rPr>
          <w:lang w:val="fr-BE"/>
        </w:rPr>
        <w:t>, il est convenu ce qui suit :</w:t>
      </w:r>
    </w:p>
    <w:p w14:paraId="070EC206" w14:textId="77777777" w:rsidR="00453B8C" w:rsidRDefault="00453B8C" w:rsidP="002C52DA">
      <w:pPr>
        <w:spacing w:after="0" w:line="240" w:lineRule="auto"/>
        <w:jc w:val="both"/>
        <w:rPr>
          <w:lang w:val="fr-BE"/>
        </w:rPr>
      </w:pPr>
    </w:p>
    <w:p w14:paraId="5C360292" w14:textId="77777777" w:rsidR="00453B8C" w:rsidRDefault="00453B8C" w:rsidP="002C52DA">
      <w:pPr>
        <w:spacing w:after="0" w:line="240" w:lineRule="auto"/>
        <w:jc w:val="both"/>
        <w:rPr>
          <w:lang w:val="fr-BE"/>
        </w:rPr>
      </w:pPr>
      <w:r>
        <w:rPr>
          <w:lang w:val="fr-BE"/>
        </w:rPr>
        <w:t xml:space="preserve">Entre d’une part, </w:t>
      </w:r>
    </w:p>
    <w:p w14:paraId="1F0D8331" w14:textId="77777777" w:rsidR="00453B8C" w:rsidRDefault="00453B8C" w:rsidP="002C52DA">
      <w:pPr>
        <w:spacing w:after="0" w:line="240" w:lineRule="auto"/>
        <w:jc w:val="both"/>
        <w:rPr>
          <w:lang w:val="fr-BE"/>
        </w:rPr>
      </w:pPr>
    </w:p>
    <w:p w14:paraId="646EB4B5" w14:textId="14281408" w:rsidR="00453B8C" w:rsidRDefault="00453B8C" w:rsidP="002C52DA">
      <w:pPr>
        <w:spacing w:after="0" w:line="240" w:lineRule="auto"/>
        <w:jc w:val="both"/>
        <w:rPr>
          <w:lang w:val="fr-BE"/>
        </w:rPr>
      </w:pPr>
      <w:r>
        <w:rPr>
          <w:lang w:val="fr-BE"/>
        </w:rPr>
        <w:t xml:space="preserve">Le Comité de l’assurance des Soins de santé de l’INAMI, représenté par </w:t>
      </w:r>
      <w:r w:rsidR="00F54D16">
        <w:rPr>
          <w:lang w:val="fr-BE"/>
        </w:rPr>
        <w:t>Mickael Daubie</w:t>
      </w:r>
      <w:r>
        <w:rPr>
          <w:lang w:val="fr-BE"/>
        </w:rPr>
        <w:t>, Directeur</w:t>
      </w:r>
      <w:r w:rsidR="00D02D7D">
        <w:rPr>
          <w:lang w:val="fr-BE"/>
        </w:rPr>
        <w:t>-</w:t>
      </w:r>
      <w:r>
        <w:rPr>
          <w:lang w:val="fr-BE"/>
        </w:rPr>
        <w:t xml:space="preserve">général </w:t>
      </w:r>
      <w:r w:rsidR="00D02D7D">
        <w:rPr>
          <w:lang w:val="fr-BE"/>
        </w:rPr>
        <w:t>des</w:t>
      </w:r>
      <w:r>
        <w:rPr>
          <w:lang w:val="fr-BE"/>
        </w:rPr>
        <w:t xml:space="preserve"> Soins de Santé, </w:t>
      </w:r>
      <w:r w:rsidR="00F54D16">
        <w:rPr>
          <w:lang w:val="fr-BE"/>
        </w:rPr>
        <w:t>dénommé ci-après le premier contractant ou l’INAMI</w:t>
      </w:r>
    </w:p>
    <w:p w14:paraId="06176FA8" w14:textId="6A795CA8" w:rsidR="00453B8C" w:rsidRDefault="00453B8C" w:rsidP="002C52DA">
      <w:pPr>
        <w:spacing w:after="0" w:line="240" w:lineRule="auto"/>
        <w:jc w:val="both"/>
        <w:rPr>
          <w:lang w:val="fr-BE"/>
        </w:rPr>
      </w:pPr>
    </w:p>
    <w:p w14:paraId="5587C346" w14:textId="033029BC" w:rsidR="00AA46D9" w:rsidRDefault="00453B8C" w:rsidP="002C52DA">
      <w:pPr>
        <w:spacing w:after="0" w:line="240" w:lineRule="auto"/>
        <w:jc w:val="both"/>
        <w:rPr>
          <w:lang w:val="fr-BE"/>
        </w:rPr>
      </w:pPr>
      <w:r>
        <w:rPr>
          <w:lang w:val="fr-BE"/>
        </w:rPr>
        <w:t>Et d’autre part,</w:t>
      </w:r>
    </w:p>
    <w:p w14:paraId="69BDCBD0" w14:textId="77777777" w:rsidR="00AA46D9" w:rsidRDefault="00AA46D9" w:rsidP="002C52DA">
      <w:pPr>
        <w:spacing w:after="0" w:line="240" w:lineRule="auto"/>
        <w:jc w:val="both"/>
        <w:rPr>
          <w:lang w:val="fr-BE"/>
        </w:rPr>
      </w:pPr>
    </w:p>
    <w:p w14:paraId="4C2322B9" w14:textId="2B6956B5" w:rsidR="00453B8C" w:rsidRDefault="00AA46D9" w:rsidP="002C52DA">
      <w:pPr>
        <w:spacing w:after="0" w:line="240" w:lineRule="auto"/>
        <w:jc w:val="both"/>
        <w:rPr>
          <w:lang w:val="fr-BE"/>
        </w:rPr>
      </w:pPr>
      <w:r>
        <w:rPr>
          <w:lang w:val="fr-BE"/>
        </w:rPr>
        <w:t>L</w:t>
      </w:r>
      <w:r w:rsidR="00A30DD1">
        <w:rPr>
          <w:lang w:val="fr-BE"/>
        </w:rPr>
        <w:t>’établissement hospitalier, dénommé ci-après le deuxième contractant ou l’établissement hospitalier</w:t>
      </w:r>
    </w:p>
    <w:p w14:paraId="2308DE0A" w14:textId="7E6AB61F" w:rsidR="00E90BF4" w:rsidRPr="00D12E03" w:rsidRDefault="004F0571" w:rsidP="002C52DA">
      <w:pPr>
        <w:pStyle w:val="Paragraphedeliste"/>
        <w:numPr>
          <w:ilvl w:val="0"/>
          <w:numId w:val="11"/>
        </w:numPr>
        <w:tabs>
          <w:tab w:val="left" w:pos="3544"/>
        </w:tabs>
        <w:spacing w:after="0"/>
        <w:jc w:val="both"/>
        <w:rPr>
          <w:rFonts w:cstheme="minorHAnsi"/>
          <w:color w:val="000000" w:themeColor="text1"/>
          <w:lang w:val="en-GB"/>
        </w:rPr>
      </w:pPr>
      <w:proofErr w:type="spellStart"/>
      <w:r>
        <w:rPr>
          <w:rFonts w:cstheme="minorHAnsi"/>
          <w:color w:val="000000" w:themeColor="text1"/>
          <w:lang w:val="en-GB"/>
        </w:rPr>
        <w:t>Etablissement</w:t>
      </w:r>
      <w:proofErr w:type="spellEnd"/>
      <w:r>
        <w:rPr>
          <w:rFonts w:cstheme="minorHAnsi"/>
          <w:color w:val="000000" w:themeColor="text1"/>
          <w:lang w:val="en-GB"/>
        </w:rPr>
        <w:t xml:space="preserve"> </w:t>
      </w:r>
      <w:proofErr w:type="spellStart"/>
      <w:r>
        <w:rPr>
          <w:rFonts w:cstheme="minorHAnsi"/>
          <w:color w:val="000000" w:themeColor="text1"/>
          <w:lang w:val="en-GB"/>
        </w:rPr>
        <w:t>hospitalier</w:t>
      </w:r>
      <w:proofErr w:type="spellEnd"/>
      <w:r w:rsidR="00E90BF4" w:rsidRPr="00D12E03">
        <w:rPr>
          <w:rFonts w:cstheme="minorHAnsi"/>
          <w:color w:val="000000" w:themeColor="text1"/>
          <w:lang w:val="en-GB"/>
        </w:rPr>
        <w:t xml:space="preserve">: </w:t>
      </w:r>
      <w:r w:rsidR="00E90BF4" w:rsidRPr="00D12E03">
        <w:rPr>
          <w:rFonts w:cstheme="minorHAnsi"/>
          <w:color w:val="000000" w:themeColor="text1"/>
          <w:lang w:val="en-GB"/>
        </w:rPr>
        <w:tab/>
      </w:r>
      <w:sdt>
        <w:sdtPr>
          <w:rPr>
            <w:rFonts w:cstheme="minorHAnsi"/>
            <w:color w:val="000000" w:themeColor="text1"/>
          </w:rPr>
          <w:id w:val="-2117509506"/>
          <w:placeholder>
            <w:docPart w:val="BCB5711A66EB45DCB3DE727D639F6910"/>
          </w:placeholder>
          <w:showingPlcHdr/>
        </w:sdtPr>
        <w:sdtEndPr/>
        <w:sdtContent>
          <w:r w:rsidR="00E90BF4" w:rsidRPr="00D12E03">
            <w:rPr>
              <w:rStyle w:val="Textedelespacerserv"/>
              <w:rFonts w:cstheme="minorHAnsi"/>
              <w:color w:val="0070C0"/>
              <w:sz w:val="20"/>
              <w:szCs w:val="20"/>
              <w:lang w:val="en-GB"/>
            </w:rPr>
            <w:t>Click or tap here to enter text.</w:t>
          </w:r>
        </w:sdtContent>
      </w:sdt>
    </w:p>
    <w:p w14:paraId="263AE1CE" w14:textId="77777777" w:rsidR="00E90BF4" w:rsidRPr="00D12E03" w:rsidRDefault="00E90BF4" w:rsidP="002C52DA">
      <w:pPr>
        <w:pStyle w:val="Paragraphedeliste"/>
        <w:numPr>
          <w:ilvl w:val="0"/>
          <w:numId w:val="11"/>
        </w:numPr>
        <w:tabs>
          <w:tab w:val="left" w:pos="3544"/>
        </w:tabs>
        <w:spacing w:after="0"/>
        <w:jc w:val="both"/>
        <w:rPr>
          <w:rFonts w:cstheme="minorHAnsi"/>
          <w:color w:val="000000" w:themeColor="text1"/>
          <w:lang w:val="en-GB"/>
        </w:rPr>
      </w:pPr>
      <w:proofErr w:type="spellStart"/>
      <w:r w:rsidRPr="00D12E03">
        <w:rPr>
          <w:rFonts w:cstheme="minorHAnsi"/>
          <w:color w:val="000000" w:themeColor="text1"/>
          <w:lang w:val="en-GB"/>
        </w:rPr>
        <w:t>Numéro</w:t>
      </w:r>
      <w:proofErr w:type="spellEnd"/>
      <w:r w:rsidRPr="00D12E03">
        <w:rPr>
          <w:rFonts w:cstheme="minorHAnsi"/>
          <w:color w:val="000000" w:themeColor="text1"/>
          <w:lang w:val="en-GB"/>
        </w:rPr>
        <w:t xml:space="preserve"> INAMI: </w:t>
      </w:r>
      <w:r w:rsidRPr="00D12E03">
        <w:rPr>
          <w:rFonts w:cstheme="minorHAnsi"/>
          <w:color w:val="000000" w:themeColor="text1"/>
          <w:lang w:val="en-GB"/>
        </w:rPr>
        <w:tab/>
      </w:r>
      <w:bookmarkStart w:id="0" w:name="_Hlk133328194"/>
      <w:sdt>
        <w:sdtPr>
          <w:rPr>
            <w:rFonts w:cstheme="minorHAnsi"/>
            <w:color w:val="000000" w:themeColor="text1"/>
          </w:rPr>
          <w:id w:val="-433982065"/>
          <w:placeholder>
            <w:docPart w:val="0D1AD98648D54E2D9A0804279516804B"/>
          </w:placeholder>
          <w:showingPlcHdr/>
        </w:sdtPr>
        <w:sdtEndPr/>
        <w:sdtContent>
          <w:r w:rsidRPr="00D12E03">
            <w:rPr>
              <w:rStyle w:val="Textedelespacerserv"/>
              <w:rFonts w:cstheme="minorHAnsi"/>
              <w:color w:val="0070C0"/>
              <w:sz w:val="20"/>
              <w:szCs w:val="20"/>
              <w:lang w:val="en-GB"/>
            </w:rPr>
            <w:t>Click or tap here to enter text.</w:t>
          </w:r>
        </w:sdtContent>
      </w:sdt>
      <w:bookmarkEnd w:id="0"/>
    </w:p>
    <w:p w14:paraId="6ED22EEB" w14:textId="471C06D1" w:rsidR="00E90BF4" w:rsidRPr="00D12E03" w:rsidRDefault="00E90BF4" w:rsidP="002C52DA">
      <w:pPr>
        <w:tabs>
          <w:tab w:val="left" w:pos="3544"/>
        </w:tabs>
        <w:spacing w:before="120" w:after="0"/>
        <w:ind w:left="357"/>
        <w:jc w:val="both"/>
        <w:rPr>
          <w:rFonts w:cstheme="minorHAnsi"/>
          <w:color w:val="000000" w:themeColor="text1"/>
        </w:rPr>
      </w:pPr>
      <w:proofErr w:type="spellStart"/>
      <w:r w:rsidRPr="00D12E03">
        <w:rPr>
          <w:rFonts w:cstheme="minorHAnsi"/>
          <w:color w:val="000000" w:themeColor="text1"/>
        </w:rPr>
        <w:t>Représenté</w:t>
      </w:r>
      <w:proofErr w:type="spellEnd"/>
      <w:r w:rsidRPr="00D12E03">
        <w:rPr>
          <w:rFonts w:cstheme="minorHAnsi"/>
          <w:color w:val="000000" w:themeColor="text1"/>
        </w:rPr>
        <w:t>(e) par:</w:t>
      </w:r>
    </w:p>
    <w:p w14:paraId="105EF06D" w14:textId="77777777" w:rsidR="00E90BF4" w:rsidRPr="00D12E03" w:rsidRDefault="00E90BF4" w:rsidP="002C52DA">
      <w:pPr>
        <w:pStyle w:val="Paragraphedeliste"/>
        <w:numPr>
          <w:ilvl w:val="0"/>
          <w:numId w:val="11"/>
        </w:numPr>
        <w:tabs>
          <w:tab w:val="left" w:pos="3544"/>
        </w:tabs>
        <w:spacing w:after="0"/>
        <w:jc w:val="both"/>
        <w:rPr>
          <w:rFonts w:cstheme="minorHAnsi"/>
          <w:color w:val="000000" w:themeColor="text1"/>
          <w:lang w:val="en-GB"/>
        </w:rPr>
      </w:pPr>
      <w:r w:rsidRPr="00D12E03">
        <w:rPr>
          <w:rFonts w:cstheme="minorHAnsi"/>
          <w:color w:val="000000" w:themeColor="text1"/>
          <w:lang w:val="en-GB"/>
        </w:rPr>
        <w:t xml:space="preserve">Nom: </w:t>
      </w:r>
      <w:r w:rsidRPr="00D12E03">
        <w:rPr>
          <w:rFonts w:cstheme="minorHAnsi"/>
          <w:color w:val="000000" w:themeColor="text1"/>
          <w:lang w:val="en-GB"/>
        </w:rPr>
        <w:tab/>
      </w:r>
      <w:sdt>
        <w:sdtPr>
          <w:rPr>
            <w:rFonts w:cstheme="minorHAnsi"/>
            <w:color w:val="000000" w:themeColor="text1"/>
          </w:rPr>
          <w:id w:val="1249541637"/>
          <w:placeholder>
            <w:docPart w:val="6912C5C60208493CBEFB666B2C58B030"/>
          </w:placeholder>
          <w:showingPlcHdr/>
        </w:sdtPr>
        <w:sdtEndPr/>
        <w:sdtContent>
          <w:r w:rsidRPr="00D12E03">
            <w:rPr>
              <w:rStyle w:val="Textedelespacerserv"/>
              <w:rFonts w:cstheme="minorHAnsi"/>
              <w:color w:val="0070C0"/>
              <w:sz w:val="20"/>
              <w:szCs w:val="20"/>
              <w:lang w:val="en-GB"/>
            </w:rPr>
            <w:t>Click or tap here to enter text.</w:t>
          </w:r>
        </w:sdtContent>
      </w:sdt>
      <w:r w:rsidRPr="00D12E03">
        <w:rPr>
          <w:rFonts w:cstheme="minorHAnsi"/>
          <w:color w:val="000000" w:themeColor="text1"/>
          <w:lang w:val="en-GB"/>
        </w:rPr>
        <w:t xml:space="preserve"> </w:t>
      </w:r>
    </w:p>
    <w:p w14:paraId="253A2D3D" w14:textId="77777777" w:rsidR="00E90BF4" w:rsidRPr="00D12E03" w:rsidRDefault="00E90BF4" w:rsidP="002C52DA">
      <w:pPr>
        <w:pStyle w:val="Paragraphedeliste"/>
        <w:numPr>
          <w:ilvl w:val="0"/>
          <w:numId w:val="11"/>
        </w:numPr>
        <w:tabs>
          <w:tab w:val="left" w:pos="3544"/>
        </w:tabs>
        <w:spacing w:after="0"/>
        <w:jc w:val="both"/>
        <w:rPr>
          <w:rFonts w:cstheme="minorHAnsi"/>
          <w:color w:val="000000" w:themeColor="text1"/>
          <w:lang w:val="en-GB"/>
        </w:rPr>
      </w:pPr>
      <w:proofErr w:type="spellStart"/>
      <w:r w:rsidRPr="00D12E03">
        <w:rPr>
          <w:rFonts w:cstheme="minorHAnsi"/>
          <w:color w:val="000000" w:themeColor="text1"/>
          <w:lang w:val="en-GB"/>
        </w:rPr>
        <w:t>Fonction</w:t>
      </w:r>
      <w:proofErr w:type="spellEnd"/>
      <w:r w:rsidRPr="00D12E03">
        <w:rPr>
          <w:rFonts w:cstheme="minorHAnsi"/>
          <w:color w:val="000000" w:themeColor="text1"/>
          <w:lang w:val="en-GB"/>
        </w:rPr>
        <w:t xml:space="preserve">: </w:t>
      </w:r>
      <w:r w:rsidRPr="00D12E03">
        <w:rPr>
          <w:rFonts w:cstheme="minorHAnsi"/>
          <w:color w:val="000000" w:themeColor="text1"/>
          <w:lang w:val="en-GB"/>
        </w:rPr>
        <w:tab/>
      </w:r>
      <w:sdt>
        <w:sdtPr>
          <w:rPr>
            <w:rFonts w:cstheme="minorHAnsi"/>
            <w:color w:val="000000" w:themeColor="text1"/>
          </w:rPr>
          <w:id w:val="-694699806"/>
          <w:placeholder>
            <w:docPart w:val="4234ED1769AC4C1AB979F109F546225E"/>
          </w:placeholder>
          <w:showingPlcHdr/>
        </w:sdtPr>
        <w:sdtEndPr/>
        <w:sdtContent>
          <w:r w:rsidRPr="00D12E03">
            <w:rPr>
              <w:rStyle w:val="Textedelespacerserv"/>
              <w:rFonts w:cstheme="minorHAnsi"/>
              <w:color w:val="0070C0"/>
              <w:sz w:val="20"/>
              <w:szCs w:val="20"/>
              <w:lang w:val="en-GB"/>
            </w:rPr>
            <w:t>Click or tap here to enter text.</w:t>
          </w:r>
        </w:sdtContent>
      </w:sdt>
    </w:p>
    <w:p w14:paraId="43E63402" w14:textId="77777777" w:rsidR="00E90BF4" w:rsidRPr="00D12E03" w:rsidRDefault="00E90BF4" w:rsidP="002C52DA">
      <w:pPr>
        <w:tabs>
          <w:tab w:val="left" w:pos="3544"/>
        </w:tabs>
        <w:spacing w:before="120" w:after="0"/>
        <w:ind w:left="357"/>
        <w:jc w:val="both"/>
        <w:rPr>
          <w:rFonts w:cstheme="minorHAnsi"/>
          <w:color w:val="000000" w:themeColor="text1"/>
        </w:rPr>
      </w:pPr>
      <w:proofErr w:type="spellStart"/>
      <w:r w:rsidRPr="00D12E03">
        <w:rPr>
          <w:rFonts w:cstheme="minorHAnsi"/>
          <w:color w:val="000000" w:themeColor="text1"/>
        </w:rPr>
        <w:t>Personne</w:t>
      </w:r>
      <w:proofErr w:type="spellEnd"/>
      <w:r w:rsidRPr="00D12E03">
        <w:rPr>
          <w:rFonts w:cstheme="minorHAnsi"/>
          <w:color w:val="000000" w:themeColor="text1"/>
        </w:rPr>
        <w:t xml:space="preserve"> de contact:</w:t>
      </w:r>
    </w:p>
    <w:p w14:paraId="71660910" w14:textId="77777777" w:rsidR="00E90BF4" w:rsidRPr="00D12E03" w:rsidRDefault="00E90BF4" w:rsidP="002C52DA">
      <w:pPr>
        <w:pStyle w:val="Paragraphedeliste"/>
        <w:numPr>
          <w:ilvl w:val="0"/>
          <w:numId w:val="11"/>
        </w:numPr>
        <w:tabs>
          <w:tab w:val="left" w:pos="3544"/>
        </w:tabs>
        <w:spacing w:after="0"/>
        <w:jc w:val="both"/>
        <w:rPr>
          <w:rFonts w:cstheme="minorHAnsi"/>
          <w:color w:val="000000" w:themeColor="text1"/>
          <w:lang w:val="en-GB"/>
        </w:rPr>
      </w:pPr>
      <w:r w:rsidRPr="00D12E03">
        <w:rPr>
          <w:rFonts w:cstheme="minorHAnsi"/>
          <w:color w:val="000000" w:themeColor="text1"/>
          <w:lang w:val="en-GB"/>
        </w:rPr>
        <w:t xml:space="preserve">Nom: </w:t>
      </w:r>
      <w:r w:rsidRPr="00D12E03">
        <w:rPr>
          <w:rFonts w:cstheme="minorHAnsi"/>
          <w:color w:val="000000" w:themeColor="text1"/>
          <w:lang w:val="en-GB"/>
        </w:rPr>
        <w:tab/>
      </w:r>
      <w:sdt>
        <w:sdtPr>
          <w:rPr>
            <w:rFonts w:cstheme="minorHAnsi"/>
            <w:color w:val="000000" w:themeColor="text1"/>
          </w:rPr>
          <w:id w:val="2060508265"/>
          <w:placeholder>
            <w:docPart w:val="B742985FD4CC43C1B9BC2AA0206C3E5A"/>
          </w:placeholder>
          <w:showingPlcHdr/>
        </w:sdtPr>
        <w:sdtEndPr/>
        <w:sdtContent>
          <w:r w:rsidRPr="00D12E03">
            <w:rPr>
              <w:rStyle w:val="Textedelespacerserv"/>
              <w:rFonts w:cstheme="minorHAnsi"/>
              <w:color w:val="0070C0"/>
              <w:sz w:val="20"/>
              <w:szCs w:val="20"/>
              <w:lang w:val="en-GB"/>
            </w:rPr>
            <w:t>Click or tap here to enter text.</w:t>
          </w:r>
        </w:sdtContent>
      </w:sdt>
      <w:r w:rsidRPr="00D12E03">
        <w:rPr>
          <w:rFonts w:cstheme="minorHAnsi"/>
          <w:color w:val="000000" w:themeColor="text1"/>
          <w:lang w:val="en-GB"/>
        </w:rPr>
        <w:t xml:space="preserve"> </w:t>
      </w:r>
    </w:p>
    <w:p w14:paraId="7276B0EE" w14:textId="77777777" w:rsidR="00E90BF4" w:rsidRPr="00D12E03" w:rsidRDefault="00E90BF4" w:rsidP="002C52DA">
      <w:pPr>
        <w:pStyle w:val="Paragraphedeliste"/>
        <w:numPr>
          <w:ilvl w:val="0"/>
          <w:numId w:val="11"/>
        </w:numPr>
        <w:tabs>
          <w:tab w:val="left" w:pos="3544"/>
        </w:tabs>
        <w:spacing w:after="0"/>
        <w:jc w:val="both"/>
        <w:rPr>
          <w:rFonts w:cstheme="minorHAnsi"/>
          <w:color w:val="000000" w:themeColor="text1"/>
          <w:lang w:val="en-GB"/>
        </w:rPr>
      </w:pPr>
      <w:proofErr w:type="spellStart"/>
      <w:r w:rsidRPr="00D12E03">
        <w:rPr>
          <w:rFonts w:cstheme="minorHAnsi"/>
          <w:color w:val="000000" w:themeColor="text1"/>
          <w:lang w:val="en-GB"/>
        </w:rPr>
        <w:t>Fonction</w:t>
      </w:r>
      <w:proofErr w:type="spellEnd"/>
      <w:r w:rsidRPr="00D12E03">
        <w:rPr>
          <w:rFonts w:cstheme="minorHAnsi"/>
          <w:color w:val="000000" w:themeColor="text1"/>
          <w:lang w:val="en-GB"/>
        </w:rPr>
        <w:t xml:space="preserve">: </w:t>
      </w:r>
      <w:r w:rsidRPr="00D12E03">
        <w:rPr>
          <w:rFonts w:cstheme="minorHAnsi"/>
          <w:color w:val="000000" w:themeColor="text1"/>
          <w:lang w:val="en-GB"/>
        </w:rPr>
        <w:tab/>
      </w:r>
      <w:sdt>
        <w:sdtPr>
          <w:rPr>
            <w:rFonts w:cstheme="minorHAnsi"/>
            <w:color w:val="000000" w:themeColor="text1"/>
          </w:rPr>
          <w:id w:val="529151940"/>
          <w:placeholder>
            <w:docPart w:val="F0F1C39B3E0B4C93BBAFAF3804314A73"/>
          </w:placeholder>
          <w:showingPlcHdr/>
        </w:sdtPr>
        <w:sdtEndPr/>
        <w:sdtContent>
          <w:r w:rsidRPr="00D12E03">
            <w:rPr>
              <w:rStyle w:val="Textedelespacerserv"/>
              <w:rFonts w:cstheme="minorHAnsi"/>
              <w:color w:val="0070C0"/>
              <w:sz w:val="20"/>
              <w:szCs w:val="20"/>
              <w:lang w:val="en-GB"/>
            </w:rPr>
            <w:t>Click or tap here to enter text.</w:t>
          </w:r>
        </w:sdtContent>
      </w:sdt>
    </w:p>
    <w:p w14:paraId="4E6EA00F" w14:textId="77777777" w:rsidR="00E90BF4" w:rsidRPr="00D12E03" w:rsidRDefault="00E90BF4" w:rsidP="002C52DA">
      <w:pPr>
        <w:pStyle w:val="Paragraphedeliste"/>
        <w:numPr>
          <w:ilvl w:val="0"/>
          <w:numId w:val="11"/>
        </w:numPr>
        <w:tabs>
          <w:tab w:val="left" w:pos="3544"/>
        </w:tabs>
        <w:spacing w:after="0"/>
        <w:jc w:val="both"/>
        <w:rPr>
          <w:rFonts w:cstheme="minorHAnsi"/>
          <w:color w:val="000000" w:themeColor="text1"/>
          <w:lang w:val="en-GB"/>
        </w:rPr>
      </w:pPr>
      <w:proofErr w:type="spellStart"/>
      <w:r w:rsidRPr="00D12E03">
        <w:rPr>
          <w:rFonts w:cstheme="minorHAnsi"/>
          <w:color w:val="000000" w:themeColor="text1"/>
          <w:lang w:val="en-GB"/>
        </w:rPr>
        <w:t>Téléphone</w:t>
      </w:r>
      <w:proofErr w:type="spellEnd"/>
      <w:r w:rsidRPr="00D12E03">
        <w:rPr>
          <w:rFonts w:cstheme="minorHAnsi"/>
          <w:color w:val="000000" w:themeColor="text1"/>
          <w:lang w:val="en-GB"/>
        </w:rPr>
        <w:t xml:space="preserve">: </w:t>
      </w:r>
      <w:r w:rsidRPr="00D12E03">
        <w:rPr>
          <w:rFonts w:cstheme="minorHAnsi"/>
          <w:color w:val="000000" w:themeColor="text1"/>
          <w:lang w:val="en-GB"/>
        </w:rPr>
        <w:tab/>
      </w:r>
      <w:sdt>
        <w:sdtPr>
          <w:rPr>
            <w:rFonts w:cstheme="minorHAnsi"/>
            <w:color w:val="000000" w:themeColor="text1"/>
          </w:rPr>
          <w:id w:val="483358151"/>
          <w:placeholder>
            <w:docPart w:val="5CA34765B75B43979FFEBDDB8E649D95"/>
          </w:placeholder>
          <w:showingPlcHdr/>
        </w:sdtPr>
        <w:sdtEndPr/>
        <w:sdtContent>
          <w:r w:rsidRPr="000369FF">
            <w:rPr>
              <w:rStyle w:val="Textedelespacerserv"/>
              <w:rFonts w:cstheme="minorHAnsi"/>
              <w:color w:val="0070C0"/>
              <w:sz w:val="20"/>
              <w:szCs w:val="20"/>
              <w:lang w:val="en-GB"/>
            </w:rPr>
            <w:t>Click or tap here to enter text.</w:t>
          </w:r>
        </w:sdtContent>
      </w:sdt>
    </w:p>
    <w:p w14:paraId="04FF3432" w14:textId="77777777" w:rsidR="00E90BF4" w:rsidRPr="00D12E03" w:rsidRDefault="00E90BF4" w:rsidP="002C52DA">
      <w:pPr>
        <w:pStyle w:val="Paragraphedeliste"/>
        <w:numPr>
          <w:ilvl w:val="0"/>
          <w:numId w:val="11"/>
        </w:numPr>
        <w:tabs>
          <w:tab w:val="left" w:pos="3544"/>
        </w:tabs>
        <w:spacing w:after="0"/>
        <w:jc w:val="both"/>
        <w:rPr>
          <w:rFonts w:cstheme="minorHAnsi"/>
          <w:color w:val="000000" w:themeColor="text1"/>
          <w:lang w:val="en-GB"/>
        </w:rPr>
      </w:pPr>
      <w:proofErr w:type="spellStart"/>
      <w:r w:rsidRPr="00D12E03">
        <w:rPr>
          <w:rFonts w:cstheme="minorHAnsi"/>
          <w:color w:val="000000" w:themeColor="text1"/>
          <w:lang w:val="en-GB"/>
        </w:rPr>
        <w:t>Adresse</w:t>
      </w:r>
      <w:proofErr w:type="spellEnd"/>
      <w:r w:rsidRPr="00D12E03">
        <w:rPr>
          <w:rFonts w:cstheme="minorHAnsi"/>
          <w:color w:val="000000" w:themeColor="text1"/>
          <w:lang w:val="en-GB"/>
        </w:rPr>
        <w:t xml:space="preserve"> de </w:t>
      </w:r>
      <w:proofErr w:type="spellStart"/>
      <w:r w:rsidRPr="00D12E03">
        <w:rPr>
          <w:rFonts w:cstheme="minorHAnsi"/>
          <w:color w:val="000000" w:themeColor="text1"/>
          <w:lang w:val="en-GB"/>
        </w:rPr>
        <w:t>courriel</w:t>
      </w:r>
      <w:proofErr w:type="spellEnd"/>
      <w:r w:rsidRPr="00D12E03">
        <w:rPr>
          <w:rFonts w:cstheme="minorHAnsi"/>
          <w:color w:val="000000" w:themeColor="text1"/>
          <w:lang w:val="en-GB"/>
        </w:rPr>
        <w:t xml:space="preserve">: </w:t>
      </w:r>
      <w:r w:rsidRPr="00D12E03">
        <w:rPr>
          <w:rFonts w:cstheme="minorHAnsi"/>
          <w:color w:val="000000" w:themeColor="text1"/>
          <w:lang w:val="en-GB"/>
        </w:rPr>
        <w:tab/>
      </w:r>
      <w:sdt>
        <w:sdtPr>
          <w:rPr>
            <w:rFonts w:cstheme="minorHAnsi"/>
            <w:color w:val="000000" w:themeColor="text1"/>
          </w:rPr>
          <w:id w:val="114576774"/>
          <w:placeholder>
            <w:docPart w:val="13829A288C8A439787726407CCB43878"/>
          </w:placeholder>
          <w:showingPlcHdr/>
        </w:sdtPr>
        <w:sdtEndPr/>
        <w:sdtContent>
          <w:r w:rsidRPr="00D12E03">
            <w:rPr>
              <w:rStyle w:val="Textedelespacerserv"/>
              <w:rFonts w:cstheme="minorHAnsi"/>
              <w:color w:val="0070C0"/>
              <w:sz w:val="20"/>
              <w:szCs w:val="20"/>
              <w:lang w:val="en-GB"/>
            </w:rPr>
            <w:t>Click or tap here to enter text.</w:t>
          </w:r>
        </w:sdtContent>
      </w:sdt>
    </w:p>
    <w:p w14:paraId="3BE179A7" w14:textId="755C054E" w:rsidR="00D12E03" w:rsidRPr="00D12E03" w:rsidRDefault="00D12E03" w:rsidP="002C52DA">
      <w:pPr>
        <w:spacing w:after="0" w:line="240" w:lineRule="auto"/>
        <w:jc w:val="both"/>
        <w:rPr>
          <w:rFonts w:cstheme="minorHAnsi"/>
          <w:color w:val="000000" w:themeColor="text1"/>
          <w:lang w:val="en-GB"/>
        </w:rPr>
      </w:pPr>
    </w:p>
    <w:p w14:paraId="7AF7F0DD" w14:textId="77777777" w:rsidR="00453B8C" w:rsidRPr="00D12E03" w:rsidRDefault="00453B8C" w:rsidP="002C52DA">
      <w:pPr>
        <w:spacing w:after="0" w:line="240" w:lineRule="auto"/>
        <w:jc w:val="both"/>
        <w:rPr>
          <w:lang w:val="en-GB"/>
        </w:rPr>
      </w:pPr>
    </w:p>
    <w:p w14:paraId="7C7A9FCB" w14:textId="77777777" w:rsidR="00453B8C" w:rsidRPr="00E90BF4" w:rsidRDefault="00453B8C" w:rsidP="002C52DA">
      <w:pPr>
        <w:spacing w:after="0" w:line="240" w:lineRule="auto"/>
        <w:jc w:val="both"/>
        <w:rPr>
          <w:lang w:val="en-GB"/>
        </w:rPr>
      </w:pPr>
    </w:p>
    <w:p w14:paraId="4CEDFB34" w14:textId="77777777" w:rsidR="00453B8C" w:rsidRPr="004A129B" w:rsidRDefault="00453B8C" w:rsidP="002C52DA">
      <w:pPr>
        <w:spacing w:after="0" w:line="240" w:lineRule="auto"/>
        <w:jc w:val="both"/>
        <w:rPr>
          <w:b/>
          <w:u w:val="single"/>
          <w:lang w:val="en-GB"/>
        </w:rPr>
      </w:pPr>
    </w:p>
    <w:p w14:paraId="221B34BD" w14:textId="1609D4F6" w:rsidR="007357BD" w:rsidRDefault="00AA46D9" w:rsidP="002C52DA">
      <w:pPr>
        <w:jc w:val="both"/>
        <w:rPr>
          <w:b/>
          <w:lang w:val="fr-BE"/>
        </w:rPr>
      </w:pPr>
      <w:r>
        <w:rPr>
          <w:b/>
          <w:lang w:val="fr-BE"/>
        </w:rPr>
        <w:t>Préambule</w:t>
      </w:r>
    </w:p>
    <w:p w14:paraId="77EAA1D1" w14:textId="114EAB6B" w:rsidR="00A30DD1" w:rsidRDefault="00A30DD1" w:rsidP="002C52DA">
      <w:pPr>
        <w:jc w:val="both"/>
        <w:rPr>
          <w:bCs/>
          <w:lang w:val="fr-FR"/>
        </w:rPr>
      </w:pPr>
      <w:r w:rsidRPr="00A30DD1">
        <w:rPr>
          <w:bCs/>
          <w:lang w:val="fr-BE"/>
        </w:rPr>
        <w:t>La Belgique est confrontée à des problèmes de disponibilité critique de thrombolytiques</w:t>
      </w:r>
      <w:r>
        <w:rPr>
          <w:bCs/>
          <w:lang w:val="fr-BE"/>
        </w:rPr>
        <w:t xml:space="preserve">. </w:t>
      </w:r>
      <w:r>
        <w:rPr>
          <w:bCs/>
          <w:lang w:val="fr-FR"/>
        </w:rPr>
        <w:t>L</w:t>
      </w:r>
      <w:r w:rsidRPr="00A30DD1">
        <w:rPr>
          <w:bCs/>
          <w:lang w:val="fr-FR"/>
        </w:rPr>
        <w:t xml:space="preserve">’Agence fédérale des médicaments et des produits de santé (AFMPS) a mis sur pied une </w:t>
      </w:r>
      <w:proofErr w:type="spellStart"/>
      <w:r w:rsidRPr="00A30DD1">
        <w:rPr>
          <w:bCs/>
          <w:lang w:val="fr-FR"/>
        </w:rPr>
        <w:t>task</w:t>
      </w:r>
      <w:proofErr w:type="spellEnd"/>
      <w:r w:rsidRPr="00A30DD1">
        <w:rPr>
          <w:bCs/>
          <w:lang w:val="fr-FR"/>
        </w:rPr>
        <w:t xml:space="preserve"> force réunissant médecins (spécialistes), pharmaciens (hospitaliers), associations de patients et autorités compétentes. La </w:t>
      </w:r>
      <w:proofErr w:type="spellStart"/>
      <w:r w:rsidRPr="00A30DD1">
        <w:rPr>
          <w:bCs/>
          <w:lang w:val="fr-FR"/>
        </w:rPr>
        <w:t>task</w:t>
      </w:r>
      <w:proofErr w:type="spellEnd"/>
      <w:r w:rsidRPr="00A30DD1">
        <w:rPr>
          <w:bCs/>
          <w:lang w:val="fr-FR"/>
        </w:rPr>
        <w:t xml:space="preserve"> force Thrombolytiques recommande aux hôpitaux de n’utiliser ces médicaments qu’en cas </w:t>
      </w:r>
      <w:r w:rsidRPr="00A30DD1">
        <w:rPr>
          <w:lang w:val="fr-FR"/>
        </w:rPr>
        <w:t>d’extrême nécessité</w:t>
      </w:r>
      <w:r w:rsidR="00A67D2A">
        <w:rPr>
          <w:lang w:val="fr-FR"/>
        </w:rPr>
        <w:t xml:space="preserve"> </w:t>
      </w:r>
      <w:r w:rsidR="00A67D2A" w:rsidRPr="00A67D2A">
        <w:rPr>
          <w:lang w:val="fr-FR"/>
        </w:rPr>
        <w:t>et a défini les indications qui doivent être traitées en priorité par des thrombolytiques</w:t>
      </w:r>
      <w:r w:rsidRPr="00A30DD1">
        <w:rPr>
          <w:bCs/>
          <w:lang w:val="fr-FR"/>
        </w:rPr>
        <w:t>. En cette période d’indisponibilité critique, toute utilisation de ces médicaments doit être réfléchie et conforme aux recommandations</w:t>
      </w:r>
      <w:r>
        <w:rPr>
          <w:rStyle w:val="Appelnotedebasdep"/>
          <w:bCs/>
          <w:lang w:val="fr-FR"/>
        </w:rPr>
        <w:footnoteReference w:id="1"/>
      </w:r>
      <w:r w:rsidRPr="00A30DD1">
        <w:rPr>
          <w:bCs/>
          <w:lang w:val="fr-FR"/>
        </w:rPr>
        <w:t xml:space="preserve"> </w:t>
      </w:r>
      <w:r>
        <w:rPr>
          <w:bCs/>
          <w:lang w:val="fr-FR"/>
        </w:rPr>
        <w:t>émanant de l’AFMPS.</w:t>
      </w:r>
    </w:p>
    <w:p w14:paraId="16FFE3A5" w14:textId="77777777" w:rsidR="00AA46D9" w:rsidRDefault="00AA46D9" w:rsidP="002C52DA">
      <w:pPr>
        <w:jc w:val="both"/>
        <w:rPr>
          <w:bCs/>
          <w:lang w:val="fr-FR"/>
        </w:rPr>
      </w:pPr>
    </w:p>
    <w:p w14:paraId="62FCB36D" w14:textId="77777777" w:rsidR="00AA46D9" w:rsidRPr="00AA46D9" w:rsidRDefault="00AA46D9" w:rsidP="002C52DA">
      <w:pPr>
        <w:jc w:val="both"/>
        <w:rPr>
          <w:b/>
          <w:lang w:val="fr-FR"/>
        </w:rPr>
      </w:pPr>
      <w:r w:rsidRPr="00AA46D9">
        <w:rPr>
          <w:b/>
          <w:lang w:val="fr-FR"/>
        </w:rPr>
        <w:lastRenderedPageBreak/>
        <w:t>Article 1</w:t>
      </w:r>
      <w:r w:rsidRPr="00AA46D9">
        <w:rPr>
          <w:b/>
          <w:vertAlign w:val="superscript"/>
          <w:lang w:val="fr-FR"/>
        </w:rPr>
        <w:t>er</w:t>
      </w:r>
      <w:r w:rsidRPr="00AA46D9">
        <w:rPr>
          <w:b/>
          <w:lang w:val="fr-FR"/>
        </w:rPr>
        <w:t>. Objet de la convention</w:t>
      </w:r>
    </w:p>
    <w:p w14:paraId="77C49AF2" w14:textId="63698ABF" w:rsidR="00A30DD1" w:rsidRPr="00A30DD1" w:rsidRDefault="00A30DD1" w:rsidP="002C52DA">
      <w:pPr>
        <w:jc w:val="both"/>
        <w:rPr>
          <w:bCs/>
          <w:lang w:val="fr-FR"/>
        </w:rPr>
      </w:pPr>
      <w:r>
        <w:rPr>
          <w:bCs/>
          <w:lang w:val="fr-FR"/>
        </w:rPr>
        <w:t xml:space="preserve">La présente convention a pour but d’assurer un financement pour la thrombectomie mécanique </w:t>
      </w:r>
      <w:r w:rsidR="00E75FD3">
        <w:rPr>
          <w:bCs/>
          <w:lang w:val="fr-FR"/>
        </w:rPr>
        <w:t xml:space="preserve">pour des indications spécifiques </w:t>
      </w:r>
      <w:r>
        <w:rPr>
          <w:bCs/>
          <w:lang w:val="fr-FR"/>
        </w:rPr>
        <w:t>réalisée en cas de rupture de stock de thrombolytiques au sein de la Belgique.</w:t>
      </w:r>
    </w:p>
    <w:p w14:paraId="58E23408" w14:textId="1D5A3DA5" w:rsidR="00FD7589" w:rsidRPr="004432EF" w:rsidRDefault="00B57181" w:rsidP="002C52DA">
      <w:pPr>
        <w:jc w:val="both"/>
        <w:rPr>
          <w:b/>
          <w:lang w:val="fr-BE"/>
        </w:rPr>
      </w:pPr>
      <w:r w:rsidRPr="004432EF">
        <w:rPr>
          <w:b/>
          <w:lang w:val="fr-BE"/>
        </w:rPr>
        <w:t xml:space="preserve">Article 2. </w:t>
      </w:r>
      <w:r w:rsidR="00AA46D9">
        <w:rPr>
          <w:b/>
          <w:lang w:val="fr-BE"/>
        </w:rPr>
        <w:t>Parties concernées</w:t>
      </w:r>
    </w:p>
    <w:p w14:paraId="3545658D" w14:textId="7E0AFD1F" w:rsidR="00AA46D9" w:rsidRDefault="00AA46D9" w:rsidP="002C52DA">
      <w:pPr>
        <w:jc w:val="both"/>
        <w:rPr>
          <w:bCs/>
          <w:lang w:val="fr-BE"/>
        </w:rPr>
      </w:pPr>
      <w:r>
        <w:rPr>
          <w:bCs/>
          <w:lang w:val="fr-BE"/>
        </w:rPr>
        <w:t xml:space="preserve">L’établissement hospitalier confirme avoir l’infrastructure </w:t>
      </w:r>
      <w:r w:rsidR="002117FB">
        <w:rPr>
          <w:bCs/>
          <w:lang w:val="fr-BE"/>
        </w:rPr>
        <w:t xml:space="preserve">et l’expertise </w:t>
      </w:r>
      <w:r>
        <w:rPr>
          <w:bCs/>
          <w:lang w:val="fr-BE"/>
        </w:rPr>
        <w:t>nécessaire pour réaliser des thrombectomies mécaniques</w:t>
      </w:r>
      <w:r w:rsidR="002117FB">
        <w:rPr>
          <w:bCs/>
          <w:lang w:val="fr-BE"/>
        </w:rPr>
        <w:t>.</w:t>
      </w:r>
    </w:p>
    <w:p w14:paraId="42BCD8D9" w14:textId="4A90EF9E" w:rsidR="00BE7199" w:rsidRDefault="00BE7199" w:rsidP="002C52DA">
      <w:pPr>
        <w:jc w:val="both"/>
        <w:rPr>
          <w:bCs/>
          <w:lang w:val="fr-BE"/>
        </w:rPr>
      </w:pPr>
      <w:r>
        <w:rPr>
          <w:bCs/>
          <w:lang w:val="fr-BE"/>
        </w:rPr>
        <w:t>L’établissement hospitalier s’engage à respecter les recommandations émanant de l’AFMPS.</w:t>
      </w:r>
    </w:p>
    <w:p w14:paraId="20F30961" w14:textId="02F05834" w:rsidR="00DE2282" w:rsidRDefault="00DE2282" w:rsidP="002C52DA">
      <w:pPr>
        <w:jc w:val="both"/>
        <w:rPr>
          <w:b/>
          <w:u w:val="single"/>
          <w:lang w:val="fr-BE"/>
        </w:rPr>
      </w:pPr>
      <w:r>
        <w:rPr>
          <w:b/>
          <w:u w:val="single"/>
          <w:lang w:val="fr-BE"/>
        </w:rPr>
        <w:t xml:space="preserve">SUIVI DE LA CONVENTION : </w:t>
      </w:r>
    </w:p>
    <w:p w14:paraId="26BB80D1" w14:textId="5E8222DC" w:rsidR="00DE2282" w:rsidRPr="004432EF" w:rsidRDefault="00DE2282" w:rsidP="002C52DA">
      <w:pPr>
        <w:jc w:val="both"/>
        <w:rPr>
          <w:b/>
          <w:lang w:val="fr-BE"/>
        </w:rPr>
      </w:pPr>
      <w:r w:rsidRPr="004432EF">
        <w:rPr>
          <w:b/>
          <w:lang w:val="fr-BE"/>
        </w:rPr>
        <w:t>Article 3. Comité d’accompagnement</w:t>
      </w:r>
    </w:p>
    <w:p w14:paraId="41804324" w14:textId="1F6095C0" w:rsidR="00826FA5" w:rsidRDefault="00826FA5" w:rsidP="002C52DA">
      <w:pPr>
        <w:jc w:val="both"/>
        <w:rPr>
          <w:bCs/>
          <w:lang w:val="fr-BE"/>
        </w:rPr>
      </w:pPr>
      <w:r>
        <w:rPr>
          <w:bCs/>
          <w:lang w:val="fr-BE"/>
        </w:rPr>
        <w:t>Le suivi de la convention est assuré par le Comité d’accompagnement composé de représentants du Comité de l’assurance de l’INAMI, de l’AFMPS, de la</w:t>
      </w:r>
      <w:r w:rsidR="000369FF">
        <w:rPr>
          <w:bCs/>
          <w:lang w:val="fr-BE"/>
        </w:rPr>
        <w:t xml:space="preserve"> </w:t>
      </w:r>
      <w:proofErr w:type="spellStart"/>
      <w:r w:rsidR="000369FF" w:rsidRPr="000369FF">
        <w:rPr>
          <w:bCs/>
          <w:lang w:val="fr-FR"/>
        </w:rPr>
        <w:t>Belgisch</w:t>
      </w:r>
      <w:proofErr w:type="spellEnd"/>
      <w:r w:rsidR="000369FF" w:rsidRPr="000369FF">
        <w:rPr>
          <w:bCs/>
          <w:lang w:val="fr-FR"/>
        </w:rPr>
        <w:t xml:space="preserve"> </w:t>
      </w:r>
      <w:proofErr w:type="spellStart"/>
      <w:r w:rsidR="000369FF" w:rsidRPr="000369FF">
        <w:rPr>
          <w:bCs/>
          <w:lang w:val="fr-FR"/>
        </w:rPr>
        <w:t>Genootschap</w:t>
      </w:r>
      <w:proofErr w:type="spellEnd"/>
      <w:r w:rsidR="000369FF" w:rsidRPr="000369FF">
        <w:rPr>
          <w:bCs/>
          <w:lang w:val="fr-FR"/>
        </w:rPr>
        <w:t xml:space="preserve"> </w:t>
      </w:r>
      <w:proofErr w:type="spellStart"/>
      <w:r w:rsidR="000369FF" w:rsidRPr="000369FF">
        <w:rPr>
          <w:bCs/>
          <w:lang w:val="fr-FR"/>
        </w:rPr>
        <w:t>voor</w:t>
      </w:r>
      <w:proofErr w:type="spellEnd"/>
      <w:r w:rsidR="000369FF" w:rsidRPr="000369FF">
        <w:rPr>
          <w:bCs/>
          <w:lang w:val="fr-FR"/>
        </w:rPr>
        <w:t xml:space="preserve"> </w:t>
      </w:r>
      <w:proofErr w:type="spellStart"/>
      <w:r w:rsidR="000369FF" w:rsidRPr="000369FF">
        <w:rPr>
          <w:bCs/>
          <w:lang w:val="fr-FR"/>
        </w:rPr>
        <w:t>Vaatheelkunde</w:t>
      </w:r>
      <w:proofErr w:type="spellEnd"/>
      <w:r w:rsidR="000369FF" w:rsidRPr="000369FF">
        <w:rPr>
          <w:bCs/>
          <w:lang w:val="fr-FR"/>
        </w:rPr>
        <w:t xml:space="preserve"> - Société belge de Chirurgie vasculaire</w:t>
      </w:r>
      <w:r w:rsidR="00F06602">
        <w:rPr>
          <w:bCs/>
          <w:lang w:val="fr-FR"/>
        </w:rPr>
        <w:t xml:space="preserve"> (BSVS)</w:t>
      </w:r>
      <w:r>
        <w:rPr>
          <w:bCs/>
          <w:lang w:val="fr-BE"/>
        </w:rPr>
        <w:t xml:space="preserve"> et des établissements hospitaliers ayant adhérés à la convention.</w:t>
      </w:r>
    </w:p>
    <w:p w14:paraId="4A714124" w14:textId="0FF8CE8C" w:rsidR="00826FA5" w:rsidRPr="00AA5402" w:rsidRDefault="00826FA5" w:rsidP="002C52DA">
      <w:pPr>
        <w:jc w:val="both"/>
        <w:rPr>
          <w:bCs/>
          <w:lang w:val="fr-BE"/>
        </w:rPr>
      </w:pPr>
      <w:r>
        <w:rPr>
          <w:bCs/>
          <w:lang w:val="fr-BE"/>
        </w:rPr>
        <w:t>Ce Comité d’accompagnement se réunit à la demande de l’un de ses représentants.</w:t>
      </w:r>
    </w:p>
    <w:p w14:paraId="6BC414FB" w14:textId="49ACA628" w:rsidR="00C61B5B" w:rsidRPr="004432EF" w:rsidRDefault="004432EF" w:rsidP="002C52DA">
      <w:pPr>
        <w:jc w:val="both"/>
        <w:rPr>
          <w:b/>
          <w:u w:val="single"/>
          <w:lang w:val="fr-BE"/>
        </w:rPr>
      </w:pPr>
      <w:r>
        <w:rPr>
          <w:b/>
          <w:u w:val="single"/>
          <w:lang w:val="fr-BE"/>
        </w:rPr>
        <w:t>MODALITES DE PAIEMENT</w:t>
      </w:r>
    </w:p>
    <w:p w14:paraId="1B6FD4AE" w14:textId="48CAD5BD" w:rsidR="009474F9" w:rsidRPr="004432EF" w:rsidRDefault="009474F9" w:rsidP="002C52DA">
      <w:pPr>
        <w:jc w:val="both"/>
        <w:rPr>
          <w:b/>
          <w:lang w:val="fr-BE"/>
        </w:rPr>
      </w:pPr>
      <w:r w:rsidRPr="004432EF" w:rsidDel="00FD7589">
        <w:rPr>
          <w:b/>
          <w:lang w:val="fr-BE"/>
        </w:rPr>
        <w:t xml:space="preserve">Article </w:t>
      </w:r>
      <w:r w:rsidR="00A75258">
        <w:rPr>
          <w:b/>
          <w:lang w:val="fr-BE"/>
        </w:rPr>
        <w:t>4</w:t>
      </w:r>
      <w:r w:rsidRPr="004432EF" w:rsidDel="00FD7589">
        <w:rPr>
          <w:b/>
          <w:lang w:val="fr-BE"/>
        </w:rPr>
        <w:t>.</w:t>
      </w:r>
      <w:r w:rsidR="002C52DA">
        <w:rPr>
          <w:b/>
          <w:lang w:val="fr-BE"/>
        </w:rPr>
        <w:t xml:space="preserve"> Prestations concernées</w:t>
      </w:r>
    </w:p>
    <w:p w14:paraId="5B2E315F" w14:textId="5009A1D8" w:rsidR="00D872F7" w:rsidRDefault="0018135C" w:rsidP="002C52DA">
      <w:pPr>
        <w:spacing w:after="0"/>
        <w:jc w:val="both"/>
        <w:rPr>
          <w:lang w:val="fr-BE"/>
        </w:rPr>
      </w:pPr>
      <w:r>
        <w:rPr>
          <w:lang w:val="fr-BE"/>
        </w:rPr>
        <w:t xml:space="preserve">Les cathéters </w:t>
      </w:r>
      <w:r w:rsidR="00ED241A">
        <w:rPr>
          <w:lang w:val="fr-BE"/>
        </w:rPr>
        <w:t xml:space="preserve">d’aspiration ou </w:t>
      </w:r>
      <w:r>
        <w:rPr>
          <w:lang w:val="fr-BE"/>
        </w:rPr>
        <w:t>de thrombectomie</w:t>
      </w:r>
      <w:r w:rsidR="00A80A7F">
        <w:rPr>
          <w:lang w:val="fr-BE"/>
        </w:rPr>
        <w:t xml:space="preserve"> mécanique</w:t>
      </w:r>
      <w:r>
        <w:rPr>
          <w:lang w:val="fr-BE"/>
        </w:rPr>
        <w:t xml:space="preserve"> sont facturés par les établissements hospitaliers au premier contractant</w:t>
      </w:r>
      <w:r w:rsidR="00193ADC">
        <w:rPr>
          <w:lang w:val="fr-BE"/>
        </w:rPr>
        <w:t xml:space="preserve"> via les organismes assureurs </w:t>
      </w:r>
      <w:r>
        <w:rPr>
          <w:lang w:val="fr-BE"/>
        </w:rPr>
        <w:t xml:space="preserve"> via les prestations suivantes :</w:t>
      </w:r>
    </w:p>
    <w:p w14:paraId="16997E31" w14:textId="32DCC9BF" w:rsidR="0018135C" w:rsidRDefault="0018135C" w:rsidP="002C52DA">
      <w:pPr>
        <w:spacing w:after="0"/>
        <w:jc w:val="both"/>
        <w:rPr>
          <w:lang w:val="fr-BE"/>
        </w:rPr>
      </w:pPr>
    </w:p>
    <w:tbl>
      <w:tblPr>
        <w:tblStyle w:val="Grilledutableau"/>
        <w:tblW w:w="9351" w:type="dxa"/>
        <w:tblLook w:val="04A0" w:firstRow="1" w:lastRow="0" w:firstColumn="1" w:lastColumn="0" w:noHBand="0" w:noVBand="1"/>
      </w:tblPr>
      <w:tblGrid>
        <w:gridCol w:w="1250"/>
        <w:gridCol w:w="5677"/>
        <w:gridCol w:w="2424"/>
      </w:tblGrid>
      <w:tr w:rsidR="002C52DA" w14:paraId="6C577214" w14:textId="77777777" w:rsidTr="004A129B">
        <w:tc>
          <w:tcPr>
            <w:tcW w:w="1250" w:type="dxa"/>
          </w:tcPr>
          <w:p w14:paraId="25C03A6A" w14:textId="19D227F4" w:rsidR="002C52DA" w:rsidRDefault="002C52DA" w:rsidP="002C52DA">
            <w:pPr>
              <w:jc w:val="both"/>
              <w:rPr>
                <w:lang w:val="fr-BE"/>
              </w:rPr>
            </w:pPr>
            <w:r>
              <w:rPr>
                <w:lang w:val="fr-BE"/>
              </w:rPr>
              <w:t>Pseudo-code</w:t>
            </w:r>
          </w:p>
        </w:tc>
        <w:tc>
          <w:tcPr>
            <w:tcW w:w="5677" w:type="dxa"/>
          </w:tcPr>
          <w:p w14:paraId="5A8DAD3A" w14:textId="3C23B938" w:rsidR="002C52DA" w:rsidRDefault="002C52DA" w:rsidP="002C52DA">
            <w:pPr>
              <w:jc w:val="both"/>
              <w:rPr>
                <w:lang w:val="fr-BE"/>
              </w:rPr>
            </w:pPr>
            <w:r>
              <w:rPr>
                <w:lang w:val="fr-BE"/>
              </w:rPr>
              <w:t>Libellé</w:t>
            </w:r>
          </w:p>
        </w:tc>
        <w:tc>
          <w:tcPr>
            <w:tcW w:w="2424" w:type="dxa"/>
          </w:tcPr>
          <w:p w14:paraId="083B772B" w14:textId="5331BF89" w:rsidR="002C52DA" w:rsidRDefault="002C52DA" w:rsidP="002C52DA">
            <w:pPr>
              <w:jc w:val="both"/>
              <w:rPr>
                <w:lang w:val="fr-BE"/>
              </w:rPr>
            </w:pPr>
            <w:r>
              <w:rPr>
                <w:lang w:val="fr-BE"/>
              </w:rPr>
              <w:t>Montant de l’intervention</w:t>
            </w:r>
          </w:p>
        </w:tc>
      </w:tr>
      <w:tr w:rsidR="00AA5402" w:rsidRPr="00252186" w14:paraId="6C6824D2" w14:textId="77777777" w:rsidTr="004A129B">
        <w:tc>
          <w:tcPr>
            <w:tcW w:w="1250" w:type="dxa"/>
          </w:tcPr>
          <w:p w14:paraId="7731E062" w14:textId="77777777" w:rsidR="00582E3F" w:rsidRDefault="00582E3F" w:rsidP="00582E3F">
            <w:pPr>
              <w:rPr>
                <w:lang w:val="nl-NL"/>
              </w:rPr>
            </w:pPr>
            <w:r>
              <w:rPr>
                <w:lang w:val="nl-NL"/>
              </w:rPr>
              <w:t>184693 - 184704</w:t>
            </w:r>
          </w:p>
          <w:p w14:paraId="087E42F4" w14:textId="35E39758" w:rsidR="00AA5402" w:rsidRPr="00252186" w:rsidRDefault="00AA5402" w:rsidP="00582E3F">
            <w:pPr>
              <w:rPr>
                <w:lang w:val="fr-BE"/>
              </w:rPr>
            </w:pPr>
          </w:p>
        </w:tc>
        <w:tc>
          <w:tcPr>
            <w:tcW w:w="5677" w:type="dxa"/>
          </w:tcPr>
          <w:p w14:paraId="6EDB35B9" w14:textId="5B409FD2" w:rsidR="00AA5402" w:rsidRPr="00252186" w:rsidRDefault="00AA5402" w:rsidP="002C52DA">
            <w:pPr>
              <w:jc w:val="both"/>
              <w:rPr>
                <w:lang w:val="fr-BE"/>
              </w:rPr>
            </w:pPr>
            <w:r w:rsidRPr="00252186">
              <w:rPr>
                <w:lang w:val="fr-BE"/>
              </w:rPr>
              <w:t xml:space="preserve">ensemble du matériel nécessaire à l’extraction endovasculaire d’un thrombus par </w:t>
            </w:r>
            <w:r w:rsidR="001D3854" w:rsidRPr="00252186">
              <w:rPr>
                <w:lang w:val="fr-BE"/>
              </w:rPr>
              <w:t xml:space="preserve">aspiration </w:t>
            </w:r>
            <w:r w:rsidR="002C52DA" w:rsidRPr="00252186">
              <w:rPr>
                <w:lang w:val="fr-BE"/>
              </w:rPr>
              <w:t>et/</w:t>
            </w:r>
            <w:r w:rsidR="001D3854" w:rsidRPr="00252186">
              <w:rPr>
                <w:lang w:val="fr-BE"/>
              </w:rPr>
              <w:t xml:space="preserve">ou </w:t>
            </w:r>
            <w:r w:rsidRPr="00252186">
              <w:rPr>
                <w:lang w:val="fr-BE"/>
              </w:rPr>
              <w:t>thrombectomie mécanique, en cas de thrombose artérielle</w:t>
            </w:r>
          </w:p>
        </w:tc>
        <w:tc>
          <w:tcPr>
            <w:tcW w:w="2424" w:type="dxa"/>
          </w:tcPr>
          <w:p w14:paraId="6AA8E50D" w14:textId="571FF03A" w:rsidR="00AA5402" w:rsidRPr="00252186" w:rsidRDefault="00AA5402" w:rsidP="002C52DA">
            <w:pPr>
              <w:jc w:val="both"/>
              <w:rPr>
                <w:lang w:val="fr-BE"/>
              </w:rPr>
            </w:pPr>
            <w:r w:rsidRPr="00252186">
              <w:rPr>
                <w:lang w:val="fr-BE"/>
              </w:rPr>
              <w:t>1</w:t>
            </w:r>
            <w:r w:rsidR="00F26D13" w:rsidRPr="00252186">
              <w:rPr>
                <w:lang w:val="fr-BE"/>
              </w:rPr>
              <w:t>5</w:t>
            </w:r>
            <w:r w:rsidRPr="00252186">
              <w:rPr>
                <w:lang w:val="fr-BE"/>
              </w:rPr>
              <w:t>00 EUR</w:t>
            </w:r>
          </w:p>
        </w:tc>
      </w:tr>
      <w:tr w:rsidR="00AA5402" w:rsidRPr="00252186" w14:paraId="6007CA57" w14:textId="77777777" w:rsidTr="004A129B">
        <w:tc>
          <w:tcPr>
            <w:tcW w:w="1250" w:type="dxa"/>
          </w:tcPr>
          <w:p w14:paraId="328973BC" w14:textId="77777777" w:rsidR="00582E3F" w:rsidRDefault="00582E3F" w:rsidP="00582E3F">
            <w:pPr>
              <w:rPr>
                <w:lang w:val="nl-NL"/>
              </w:rPr>
            </w:pPr>
            <w:r>
              <w:rPr>
                <w:lang w:val="nl-NL"/>
              </w:rPr>
              <w:t>184715 - 184726</w:t>
            </w:r>
          </w:p>
          <w:p w14:paraId="72598B37" w14:textId="5E29D4A1" w:rsidR="00AA5402" w:rsidRPr="00252186" w:rsidRDefault="00AA5402" w:rsidP="002C52DA">
            <w:pPr>
              <w:jc w:val="both"/>
              <w:rPr>
                <w:lang w:val="fr-BE"/>
              </w:rPr>
            </w:pPr>
          </w:p>
        </w:tc>
        <w:tc>
          <w:tcPr>
            <w:tcW w:w="5677" w:type="dxa"/>
          </w:tcPr>
          <w:p w14:paraId="703EB1CB" w14:textId="61F39B7E" w:rsidR="00AA5402" w:rsidRPr="00252186" w:rsidRDefault="00AA5402" w:rsidP="002C52DA">
            <w:pPr>
              <w:jc w:val="both"/>
              <w:rPr>
                <w:lang w:val="fr-BE"/>
              </w:rPr>
            </w:pPr>
            <w:r w:rsidRPr="00252186">
              <w:rPr>
                <w:lang w:val="fr-BE"/>
              </w:rPr>
              <w:t xml:space="preserve">ensemble du matériel nécessaire à l’extraction endovasculaire d’un thrombus par </w:t>
            </w:r>
            <w:r w:rsidR="001D3854" w:rsidRPr="00252186">
              <w:rPr>
                <w:lang w:val="fr-BE"/>
              </w:rPr>
              <w:t xml:space="preserve">aspiration </w:t>
            </w:r>
            <w:r w:rsidR="002C52DA" w:rsidRPr="00252186">
              <w:rPr>
                <w:lang w:val="fr-BE"/>
              </w:rPr>
              <w:t>et/</w:t>
            </w:r>
            <w:r w:rsidR="001D3854" w:rsidRPr="00252186">
              <w:rPr>
                <w:lang w:val="fr-BE"/>
              </w:rPr>
              <w:t xml:space="preserve">ou </w:t>
            </w:r>
            <w:r w:rsidRPr="00252186">
              <w:rPr>
                <w:lang w:val="fr-BE"/>
              </w:rPr>
              <w:t>thrombectomie mécanique, en cas de thrombose veineuse profonde</w:t>
            </w:r>
          </w:p>
        </w:tc>
        <w:tc>
          <w:tcPr>
            <w:tcW w:w="2424" w:type="dxa"/>
          </w:tcPr>
          <w:p w14:paraId="3037997B" w14:textId="750DF7F3" w:rsidR="00AA5402" w:rsidRPr="00252186" w:rsidRDefault="00AA5402" w:rsidP="002C52DA">
            <w:pPr>
              <w:jc w:val="both"/>
              <w:rPr>
                <w:lang w:val="fr-BE"/>
              </w:rPr>
            </w:pPr>
            <w:r w:rsidRPr="00252186">
              <w:rPr>
                <w:lang w:val="fr-BE"/>
              </w:rPr>
              <w:t>500 EUR</w:t>
            </w:r>
          </w:p>
        </w:tc>
      </w:tr>
      <w:tr w:rsidR="00086F13" w:rsidRPr="00252186" w14:paraId="0AEB0356" w14:textId="77777777" w:rsidTr="002C52DA">
        <w:tc>
          <w:tcPr>
            <w:tcW w:w="1250" w:type="dxa"/>
          </w:tcPr>
          <w:p w14:paraId="6218EFF8" w14:textId="77777777" w:rsidR="00582E3F" w:rsidRDefault="00582E3F" w:rsidP="00582E3F">
            <w:pPr>
              <w:rPr>
                <w:lang w:val="nl-NL"/>
              </w:rPr>
            </w:pPr>
            <w:r>
              <w:rPr>
                <w:lang w:val="nl-NL"/>
              </w:rPr>
              <w:t>184730 - 184741</w:t>
            </w:r>
          </w:p>
          <w:p w14:paraId="72D1A292" w14:textId="71BAFA85" w:rsidR="00CF60EE" w:rsidRPr="00252186" w:rsidRDefault="00CF60EE" w:rsidP="002C52DA">
            <w:pPr>
              <w:jc w:val="both"/>
              <w:rPr>
                <w:lang w:val="fr-BE"/>
              </w:rPr>
            </w:pPr>
          </w:p>
        </w:tc>
        <w:tc>
          <w:tcPr>
            <w:tcW w:w="5677" w:type="dxa"/>
          </w:tcPr>
          <w:p w14:paraId="6F56BEC3" w14:textId="6FF7C701" w:rsidR="00CF60EE" w:rsidRPr="00252186" w:rsidRDefault="002C52DA" w:rsidP="002C52DA">
            <w:pPr>
              <w:jc w:val="both"/>
              <w:rPr>
                <w:lang w:val="fr-BE"/>
              </w:rPr>
            </w:pPr>
            <w:r w:rsidRPr="00252186">
              <w:rPr>
                <w:lang w:val="fr-BE"/>
              </w:rPr>
              <w:t>ensemble du matériel nécessaire à l’extraction endovasculaire d’un thrombus par aspiration et/ou thrombectomie mécanique, en cas de fistule artérioveineuse chez un patient hémodialysé</w:t>
            </w:r>
          </w:p>
        </w:tc>
        <w:tc>
          <w:tcPr>
            <w:tcW w:w="2424" w:type="dxa"/>
          </w:tcPr>
          <w:p w14:paraId="6DE12544" w14:textId="6BFE8BE0" w:rsidR="00CF60EE" w:rsidRPr="00252186" w:rsidRDefault="00AF322E" w:rsidP="002C52DA">
            <w:pPr>
              <w:jc w:val="both"/>
              <w:rPr>
                <w:lang w:val="fr-BE"/>
              </w:rPr>
            </w:pPr>
            <w:r w:rsidRPr="00252186">
              <w:rPr>
                <w:lang w:val="fr-BE"/>
              </w:rPr>
              <w:t>500 EUR</w:t>
            </w:r>
          </w:p>
        </w:tc>
      </w:tr>
      <w:tr w:rsidR="002C52DA" w:rsidRPr="002C52DA" w14:paraId="155FDCDF" w14:textId="77777777" w:rsidTr="002C52DA">
        <w:tc>
          <w:tcPr>
            <w:tcW w:w="1250" w:type="dxa"/>
          </w:tcPr>
          <w:p w14:paraId="0056D675" w14:textId="77777777" w:rsidR="00582E3F" w:rsidRDefault="00582E3F" w:rsidP="00582E3F">
            <w:pPr>
              <w:rPr>
                <w:lang w:val="nl-NL"/>
              </w:rPr>
            </w:pPr>
            <w:r>
              <w:rPr>
                <w:lang w:val="nl-NL"/>
              </w:rPr>
              <w:t>184752 - 184763</w:t>
            </w:r>
          </w:p>
          <w:p w14:paraId="21930E62" w14:textId="362D3BAB" w:rsidR="002C52DA" w:rsidRPr="00252186" w:rsidRDefault="002C52DA" w:rsidP="002C52DA">
            <w:pPr>
              <w:jc w:val="both"/>
              <w:rPr>
                <w:lang w:val="fr-BE"/>
              </w:rPr>
            </w:pPr>
          </w:p>
        </w:tc>
        <w:tc>
          <w:tcPr>
            <w:tcW w:w="5677" w:type="dxa"/>
          </w:tcPr>
          <w:p w14:paraId="219B8A03" w14:textId="31A7EB51" w:rsidR="002C52DA" w:rsidRPr="00252186" w:rsidRDefault="002C52DA" w:rsidP="002C52DA">
            <w:pPr>
              <w:jc w:val="both"/>
              <w:rPr>
                <w:lang w:val="fr-BE"/>
              </w:rPr>
            </w:pPr>
            <w:r w:rsidRPr="00252186">
              <w:rPr>
                <w:lang w:val="fr-BE"/>
              </w:rPr>
              <w:t>ensemble du matériel nécessaire à l’extraction endovasculaire d’un thrombus par aspiration et/ou thrombectomie mécanique, en cas d’embolie pulmonaire</w:t>
            </w:r>
          </w:p>
        </w:tc>
        <w:tc>
          <w:tcPr>
            <w:tcW w:w="2424" w:type="dxa"/>
          </w:tcPr>
          <w:p w14:paraId="670A68B5" w14:textId="1F491227" w:rsidR="002C52DA" w:rsidRPr="00252186" w:rsidRDefault="00AF322E" w:rsidP="002C52DA">
            <w:pPr>
              <w:jc w:val="both"/>
              <w:rPr>
                <w:lang w:val="fr-BE"/>
              </w:rPr>
            </w:pPr>
            <w:r w:rsidRPr="00252186">
              <w:rPr>
                <w:lang w:val="fr-BE"/>
              </w:rPr>
              <w:t>1</w:t>
            </w:r>
            <w:r w:rsidR="00F26D13" w:rsidRPr="00252186">
              <w:rPr>
                <w:lang w:val="fr-BE"/>
              </w:rPr>
              <w:t>5</w:t>
            </w:r>
            <w:r w:rsidRPr="00252186">
              <w:rPr>
                <w:lang w:val="fr-BE"/>
              </w:rPr>
              <w:t>00 EUR</w:t>
            </w:r>
          </w:p>
        </w:tc>
      </w:tr>
    </w:tbl>
    <w:p w14:paraId="20261052" w14:textId="77777777" w:rsidR="00AA5402" w:rsidRDefault="00AA5402" w:rsidP="002C52DA">
      <w:pPr>
        <w:spacing w:after="0"/>
        <w:jc w:val="both"/>
        <w:rPr>
          <w:lang w:val="fr-BE"/>
        </w:rPr>
      </w:pPr>
    </w:p>
    <w:p w14:paraId="6D9EF334" w14:textId="7F874570" w:rsidR="0018135C" w:rsidRDefault="0018135C" w:rsidP="002C52DA">
      <w:pPr>
        <w:spacing w:after="0"/>
        <w:jc w:val="both"/>
        <w:rPr>
          <w:lang w:val="fr-BE"/>
        </w:rPr>
      </w:pPr>
    </w:p>
    <w:p w14:paraId="037FD699" w14:textId="26477C30" w:rsidR="0018135C" w:rsidRDefault="0018135C" w:rsidP="002C52DA">
      <w:pPr>
        <w:spacing w:after="0"/>
        <w:jc w:val="both"/>
        <w:rPr>
          <w:lang w:val="fr-BE"/>
        </w:rPr>
      </w:pPr>
      <w:r>
        <w:rPr>
          <w:lang w:val="fr-BE"/>
        </w:rPr>
        <w:lastRenderedPageBreak/>
        <w:t xml:space="preserve">Pour l’intervention de l’assurance maladie obligatoire, les </w:t>
      </w:r>
      <w:r w:rsidR="00193ADC">
        <w:rPr>
          <w:lang w:val="fr-BE"/>
        </w:rPr>
        <w:t xml:space="preserve">règles d’application </w:t>
      </w:r>
      <w:r>
        <w:rPr>
          <w:lang w:val="fr-BE"/>
        </w:rPr>
        <w:t>sont les suivantes :</w:t>
      </w:r>
    </w:p>
    <w:p w14:paraId="1F740A2B" w14:textId="77777777" w:rsidR="00CC5757" w:rsidRDefault="00CC5757" w:rsidP="002C52DA">
      <w:pPr>
        <w:spacing w:after="0"/>
        <w:jc w:val="both"/>
        <w:rPr>
          <w:lang w:val="fr-BE"/>
        </w:rPr>
      </w:pPr>
    </w:p>
    <w:p w14:paraId="5733F385" w14:textId="5BF443E0" w:rsidR="00086F13" w:rsidRPr="00582E3F" w:rsidRDefault="001941C9" w:rsidP="00582E3F">
      <w:pPr>
        <w:pStyle w:val="Paragraphedeliste"/>
        <w:numPr>
          <w:ilvl w:val="0"/>
          <w:numId w:val="10"/>
        </w:numPr>
        <w:rPr>
          <w:lang w:val="fr-BE"/>
        </w:rPr>
      </w:pPr>
      <w:r w:rsidRPr="00582E3F">
        <w:rPr>
          <w:lang w:val="fr-FR"/>
        </w:rPr>
        <w:t xml:space="preserve">Les prestations </w:t>
      </w:r>
      <w:bookmarkStart w:id="1" w:name="_Hlk136007129"/>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sidRPr="00582E3F">
        <w:rPr>
          <w:lang w:val="fr-BE"/>
        </w:rPr>
        <w:t xml:space="preserve"> </w:t>
      </w:r>
      <w:bookmarkEnd w:id="1"/>
      <w:r w:rsidRPr="00582E3F">
        <w:rPr>
          <w:lang w:val="fr-BE"/>
        </w:rPr>
        <w:t xml:space="preserve">sont d’application seulement pour les interventions effectués pendant des périodes de pénurie comme défini par l’INAMI en collaboration étroite avec l’AFMPS. </w:t>
      </w:r>
    </w:p>
    <w:p w14:paraId="781DE514" w14:textId="20F887E6" w:rsidR="00086F13" w:rsidRDefault="00086F13" w:rsidP="002C52DA">
      <w:pPr>
        <w:pStyle w:val="Paragraphedeliste"/>
        <w:numPr>
          <w:ilvl w:val="0"/>
          <w:numId w:val="10"/>
        </w:numPr>
        <w:spacing w:after="0"/>
        <w:jc w:val="both"/>
        <w:rPr>
          <w:lang w:val="fr-BE"/>
        </w:rPr>
      </w:pPr>
      <w:r w:rsidRPr="00BE7199">
        <w:rPr>
          <w:lang w:val="fr-FR"/>
        </w:rPr>
        <w:t xml:space="preserve">Les prestations </w:t>
      </w:r>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sidR="00582E3F" w:rsidRPr="00582E3F">
        <w:rPr>
          <w:lang w:val="fr-BE"/>
        </w:rPr>
        <w:t xml:space="preserve"> </w:t>
      </w:r>
      <w:r>
        <w:rPr>
          <w:lang w:val="fr-BE"/>
        </w:rPr>
        <w:t>peuvent uniquement être facturées lorsque la personne de contact désignée par l’établissement hospitalier est informée par un courriel émanent de l’INAMI (</w:t>
      </w:r>
      <w:hyperlink r:id="rId11" w:history="1">
        <w:r w:rsidR="00273D05" w:rsidRPr="00F672B1">
          <w:rPr>
            <w:rStyle w:val="Lienhypertexte"/>
            <w:lang w:val="fr-BE"/>
          </w:rPr>
          <w:t>ovco@riziv-inami.fgov.be</w:t>
        </w:r>
      </w:hyperlink>
      <w:r w:rsidR="00273D05">
        <w:rPr>
          <w:lang w:val="fr-BE"/>
        </w:rPr>
        <w:t xml:space="preserve"> </w:t>
      </w:r>
      <w:r w:rsidR="00193ADC">
        <w:rPr>
          <w:lang w:val="fr-BE"/>
        </w:rPr>
        <w:t>)</w:t>
      </w:r>
      <w:r w:rsidRPr="00086F13">
        <w:rPr>
          <w:lang w:val="fr-BE"/>
        </w:rPr>
        <w:t xml:space="preserve"> </w:t>
      </w:r>
      <w:r>
        <w:rPr>
          <w:lang w:val="fr-BE"/>
        </w:rPr>
        <w:t>de la mise en application de la présente convention au plus tard 1 semaine avant la date de mise en application ou de sa prolongation.</w:t>
      </w:r>
    </w:p>
    <w:p w14:paraId="4679783A" w14:textId="6B307391" w:rsidR="000B20FE" w:rsidRDefault="000B20FE" w:rsidP="002C52DA">
      <w:pPr>
        <w:pStyle w:val="Paragraphedeliste"/>
        <w:numPr>
          <w:ilvl w:val="0"/>
          <w:numId w:val="10"/>
        </w:numPr>
        <w:spacing w:after="0"/>
        <w:jc w:val="both"/>
        <w:rPr>
          <w:lang w:val="fr-BE"/>
        </w:rPr>
      </w:pPr>
      <w:r>
        <w:rPr>
          <w:lang w:val="fr-BE"/>
        </w:rPr>
        <w:t xml:space="preserve">Si l’INAMI </w:t>
      </w:r>
      <w:r w:rsidRPr="000B20FE">
        <w:rPr>
          <w:lang w:val="fr-BE"/>
        </w:rPr>
        <w:t>constate que le budget disponible est dépassé, la période de deux mois pendant laquelle ces prestations peuvent être attestées ou l</w:t>
      </w:r>
      <w:r>
        <w:rPr>
          <w:lang w:val="fr-BE"/>
        </w:rPr>
        <w:t>a</w:t>
      </w:r>
      <w:r w:rsidRPr="000B20FE">
        <w:rPr>
          <w:lang w:val="fr-BE"/>
        </w:rPr>
        <w:t xml:space="preserve"> prolongation </w:t>
      </w:r>
      <w:r>
        <w:rPr>
          <w:lang w:val="fr-BE"/>
        </w:rPr>
        <w:t xml:space="preserve"> de celle-ci </w:t>
      </w:r>
      <w:r w:rsidRPr="000B20FE">
        <w:rPr>
          <w:lang w:val="fr-BE"/>
        </w:rPr>
        <w:t xml:space="preserve">peut être interrompue. Cette interruption prend effet une semaine après que la personne de contact désignée </w:t>
      </w:r>
      <w:r>
        <w:rPr>
          <w:lang w:val="fr-BE"/>
        </w:rPr>
        <w:t>par</w:t>
      </w:r>
      <w:r w:rsidRPr="000B20FE">
        <w:rPr>
          <w:lang w:val="fr-BE"/>
        </w:rPr>
        <w:t xml:space="preserve"> l'établissement de soins a été informée.</w:t>
      </w:r>
    </w:p>
    <w:p w14:paraId="3CCE7870" w14:textId="29F8286C" w:rsidR="000B20FE" w:rsidRPr="00582E3F" w:rsidRDefault="000B20FE" w:rsidP="00582E3F">
      <w:pPr>
        <w:pStyle w:val="Paragraphedeliste"/>
        <w:numPr>
          <w:ilvl w:val="0"/>
          <w:numId w:val="10"/>
        </w:numPr>
        <w:rPr>
          <w:lang w:val="fr-BE"/>
        </w:rPr>
      </w:pPr>
      <w:r w:rsidRPr="00582E3F">
        <w:rPr>
          <w:lang w:val="fr-BE"/>
        </w:rPr>
        <w:t xml:space="preserve">La prestation </w:t>
      </w:r>
      <w:r w:rsidR="00582E3F" w:rsidRPr="00582E3F">
        <w:rPr>
          <w:lang w:val="fr-FR"/>
        </w:rPr>
        <w:t xml:space="preserve">184752 – 184763 </w:t>
      </w:r>
      <w:r w:rsidRPr="00582E3F">
        <w:rPr>
          <w:lang w:val="fr-BE"/>
        </w:rPr>
        <w:t>ne peut être attestée que par un établissement hospitalier qui dispose d’un agrément complet pour le programme de soins «pathologie cardiaque B» tel que fixé par l’autorité compétente.</w:t>
      </w:r>
    </w:p>
    <w:p w14:paraId="45CE25C6" w14:textId="7EA26016" w:rsidR="00086F13" w:rsidRDefault="00086F13" w:rsidP="002C52DA">
      <w:pPr>
        <w:pStyle w:val="Paragraphedeliste"/>
        <w:numPr>
          <w:ilvl w:val="0"/>
          <w:numId w:val="10"/>
        </w:numPr>
        <w:spacing w:after="0"/>
        <w:jc w:val="both"/>
        <w:rPr>
          <w:lang w:val="fr-BE"/>
        </w:rPr>
      </w:pPr>
      <w:r>
        <w:rPr>
          <w:lang w:val="fr-BE"/>
        </w:rPr>
        <w:t xml:space="preserve"> L’INAMI décidera </w:t>
      </w:r>
      <w:r w:rsidR="00A75258">
        <w:rPr>
          <w:lang w:val="fr-BE"/>
        </w:rPr>
        <w:t>sur la base d’un signal que le stock de thrombolytiques est critique émanant de</w:t>
      </w:r>
      <w:r>
        <w:rPr>
          <w:lang w:val="fr-BE"/>
        </w:rPr>
        <w:t xml:space="preserve"> l’AFMPS </w:t>
      </w:r>
      <w:r w:rsidR="002C52DA">
        <w:rPr>
          <w:lang w:val="fr-BE"/>
        </w:rPr>
        <w:t>de quand il</w:t>
      </w:r>
      <w:r>
        <w:rPr>
          <w:lang w:val="fr-BE"/>
        </w:rPr>
        <w:t xml:space="preserve"> est opportun de mettre en application le financement prévu par la présente convention et de quelles prestations doivent entrer en application pour une période de 2 mois, renouvelable autant de fois que nécessaire et ce pendant la durée de la présente convention.</w:t>
      </w:r>
    </w:p>
    <w:p w14:paraId="79889BF0" w14:textId="1622C2C4" w:rsidR="00DD2A2D" w:rsidRPr="00185F96" w:rsidRDefault="00DD2A2D" w:rsidP="00DD2A2D">
      <w:pPr>
        <w:pStyle w:val="Paragraphedeliste"/>
        <w:numPr>
          <w:ilvl w:val="0"/>
          <w:numId w:val="10"/>
        </w:numPr>
        <w:spacing w:after="0"/>
        <w:jc w:val="both"/>
        <w:rPr>
          <w:lang w:val="fr-BE"/>
        </w:rPr>
      </w:pPr>
      <w:r>
        <w:rPr>
          <w:lang w:val="fr-BE"/>
        </w:rPr>
        <w:t>Les prestations</w:t>
      </w:r>
      <w:r w:rsidRPr="00424985">
        <w:rPr>
          <w:lang w:val="fr-BE"/>
        </w:rPr>
        <w:t xml:space="preserve"> </w:t>
      </w:r>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sidR="00582E3F" w:rsidRPr="00582E3F">
        <w:rPr>
          <w:lang w:val="fr-BE"/>
        </w:rPr>
        <w:t xml:space="preserve"> </w:t>
      </w:r>
      <w:r>
        <w:rPr>
          <w:lang w:val="fr-BE"/>
        </w:rPr>
        <w:t xml:space="preserve">sont cumulables avec la prestation </w:t>
      </w:r>
      <w:bookmarkStart w:id="2" w:name="_Hlk132787563"/>
      <w:r w:rsidRPr="00A75258">
        <w:rPr>
          <w:lang w:val="fr-BE"/>
        </w:rPr>
        <w:t>161534 – 161545</w:t>
      </w:r>
      <w:bookmarkEnd w:id="2"/>
      <w:r>
        <w:rPr>
          <w:lang w:val="fr-BE"/>
        </w:rPr>
        <w:t>.</w:t>
      </w:r>
    </w:p>
    <w:p w14:paraId="08D34F16" w14:textId="03DB9BA4" w:rsidR="00DD2A2D" w:rsidRPr="00BE7199" w:rsidRDefault="00DD2A2D" w:rsidP="00DD2A2D">
      <w:pPr>
        <w:pStyle w:val="Paragraphedeliste"/>
        <w:numPr>
          <w:ilvl w:val="0"/>
          <w:numId w:val="10"/>
        </w:numPr>
        <w:spacing w:after="0"/>
        <w:jc w:val="both"/>
        <w:rPr>
          <w:lang w:val="fr-BE"/>
        </w:rPr>
      </w:pPr>
      <w:r>
        <w:rPr>
          <w:lang w:val="fr-BE"/>
        </w:rPr>
        <w:t xml:space="preserve">Les prestations </w:t>
      </w:r>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sidR="00582E3F" w:rsidRPr="00582E3F">
        <w:rPr>
          <w:lang w:val="fr-BE"/>
        </w:rPr>
        <w:t xml:space="preserve"> </w:t>
      </w:r>
      <w:r>
        <w:rPr>
          <w:lang w:val="fr-BE"/>
        </w:rPr>
        <w:t xml:space="preserve">ne sont pas cumulables avec les prestations </w:t>
      </w:r>
      <w:r w:rsidRPr="00662F7F">
        <w:rPr>
          <w:lang w:val="fr-BE"/>
        </w:rPr>
        <w:t xml:space="preserve">160775 </w:t>
      </w:r>
      <w:r w:rsidRPr="00662F7F">
        <w:rPr>
          <w:b/>
          <w:bCs/>
          <w:lang w:val="fr-BE"/>
        </w:rPr>
        <w:t>–</w:t>
      </w:r>
      <w:r w:rsidRPr="00662F7F">
        <w:rPr>
          <w:lang w:val="fr-BE"/>
        </w:rPr>
        <w:t xml:space="preserve"> 160786</w:t>
      </w:r>
      <w:r w:rsidRPr="00662F7F">
        <w:rPr>
          <w:b/>
          <w:bCs/>
          <w:lang w:val="fr-BE"/>
        </w:rPr>
        <w:t xml:space="preserve"> </w:t>
      </w:r>
      <w:r w:rsidRPr="00662F7F">
        <w:rPr>
          <w:lang w:val="fr-BE"/>
        </w:rPr>
        <w:t>ou</w:t>
      </w:r>
      <w:r w:rsidRPr="00662F7F">
        <w:rPr>
          <w:b/>
          <w:bCs/>
          <w:lang w:val="fr-BE"/>
        </w:rPr>
        <w:t xml:space="preserve"> </w:t>
      </w:r>
      <w:r w:rsidRPr="00662F7F">
        <w:rPr>
          <w:lang w:val="fr-BE"/>
        </w:rPr>
        <w:t xml:space="preserve">160790 </w:t>
      </w:r>
      <w:r>
        <w:rPr>
          <w:lang w:val="fr-BE"/>
        </w:rPr>
        <w:t>–</w:t>
      </w:r>
      <w:r w:rsidRPr="00662F7F">
        <w:rPr>
          <w:lang w:val="fr-BE"/>
        </w:rPr>
        <w:t xml:space="preserve"> 160801</w:t>
      </w:r>
      <w:r>
        <w:rPr>
          <w:lang w:val="fr-BE"/>
        </w:rPr>
        <w:t>.</w:t>
      </w:r>
    </w:p>
    <w:p w14:paraId="2D8DAD13" w14:textId="4E4A2565" w:rsidR="00DD2A2D" w:rsidRDefault="00DD2A2D" w:rsidP="00DD2A2D">
      <w:pPr>
        <w:pStyle w:val="Paragraphedeliste"/>
        <w:numPr>
          <w:ilvl w:val="0"/>
          <w:numId w:val="10"/>
        </w:numPr>
        <w:spacing w:after="0"/>
        <w:jc w:val="both"/>
        <w:rPr>
          <w:lang w:val="fr-BE"/>
        </w:rPr>
      </w:pPr>
      <w:r>
        <w:rPr>
          <w:lang w:val="fr-BE"/>
        </w:rPr>
        <w:t xml:space="preserve">Les prestations </w:t>
      </w:r>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sidR="00582E3F" w:rsidRPr="00582E3F">
        <w:rPr>
          <w:lang w:val="fr-BE"/>
        </w:rPr>
        <w:t xml:space="preserve"> </w:t>
      </w:r>
      <w:r>
        <w:rPr>
          <w:lang w:val="fr-BE"/>
        </w:rPr>
        <w:t xml:space="preserve">peuvent uniquement être facturées par un fournisseur d’implant actif dans un établissement hospitalier ayant adhéré à la convention. </w:t>
      </w:r>
    </w:p>
    <w:p w14:paraId="2F358094" w14:textId="77777777" w:rsidR="00DD2A2D" w:rsidRDefault="00DD2A2D" w:rsidP="00DD2A2D">
      <w:pPr>
        <w:pStyle w:val="Paragraphedeliste"/>
        <w:numPr>
          <w:ilvl w:val="0"/>
          <w:numId w:val="10"/>
        </w:numPr>
        <w:spacing w:after="0"/>
        <w:jc w:val="both"/>
        <w:rPr>
          <w:lang w:val="fr-BE"/>
        </w:rPr>
      </w:pPr>
      <w:r w:rsidRPr="003667A1">
        <w:rPr>
          <w:lang w:val="fr-BE"/>
        </w:rPr>
        <w:t xml:space="preserve">Seuls les </w:t>
      </w:r>
      <w:r>
        <w:rPr>
          <w:lang w:val="fr-BE"/>
        </w:rPr>
        <w:t>dispositifs</w:t>
      </w:r>
      <w:r w:rsidRPr="003667A1">
        <w:rPr>
          <w:lang w:val="fr-BE"/>
        </w:rPr>
        <w:t xml:space="preserve"> disposant d'un marquage CE pour l'indication traitée pourront être facturés</w:t>
      </w:r>
      <w:r>
        <w:rPr>
          <w:lang w:val="fr-BE"/>
        </w:rPr>
        <w:t>.</w:t>
      </w:r>
    </w:p>
    <w:p w14:paraId="32927CF7" w14:textId="6D5B3F25" w:rsidR="00DD2A2D" w:rsidRDefault="00DD2A2D" w:rsidP="00DD2A2D">
      <w:pPr>
        <w:pStyle w:val="Paragraphedeliste"/>
        <w:numPr>
          <w:ilvl w:val="0"/>
          <w:numId w:val="10"/>
        </w:numPr>
        <w:spacing w:after="0"/>
        <w:jc w:val="both"/>
        <w:rPr>
          <w:lang w:val="fr-BE"/>
        </w:rPr>
      </w:pPr>
      <w:r>
        <w:rPr>
          <w:lang w:val="fr-BE"/>
        </w:rPr>
        <w:t xml:space="preserve">Les cathéters pour perfuser des </w:t>
      </w:r>
      <w:r w:rsidRPr="00A30DD1">
        <w:rPr>
          <w:bCs/>
          <w:lang w:val="fr-BE"/>
        </w:rPr>
        <w:t>thrombolytiques</w:t>
      </w:r>
      <w:r>
        <w:rPr>
          <w:bCs/>
          <w:lang w:val="fr-BE"/>
        </w:rPr>
        <w:t xml:space="preserve"> au niveau de la lésion ne sont pas facturable sous les </w:t>
      </w:r>
      <w:r>
        <w:rPr>
          <w:lang w:val="fr-BE"/>
        </w:rPr>
        <w:t xml:space="preserve">prestations </w:t>
      </w:r>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Pr>
          <w:lang w:val="fr-BE"/>
        </w:rPr>
        <w:t>.</w:t>
      </w:r>
      <w:r>
        <w:rPr>
          <w:bCs/>
          <w:lang w:val="fr-BE"/>
        </w:rPr>
        <w:t xml:space="preserve"> </w:t>
      </w:r>
    </w:p>
    <w:p w14:paraId="4194B819" w14:textId="556934D9" w:rsidR="00DD2A2D" w:rsidRDefault="00DD2A2D" w:rsidP="00DD2A2D">
      <w:pPr>
        <w:pStyle w:val="Paragraphedeliste"/>
        <w:numPr>
          <w:ilvl w:val="0"/>
          <w:numId w:val="10"/>
        </w:numPr>
        <w:spacing w:after="0"/>
        <w:jc w:val="both"/>
        <w:rPr>
          <w:lang w:val="fr-BE"/>
        </w:rPr>
      </w:pPr>
      <w:r>
        <w:rPr>
          <w:lang w:val="fr-BE"/>
        </w:rPr>
        <w:t>Aucun coût pour le matériel de thrombectomie ne peut être porté à charge du bénéficiaire</w:t>
      </w:r>
    </w:p>
    <w:p w14:paraId="401D4B10" w14:textId="029B3BA5" w:rsidR="004B3361" w:rsidRDefault="004B3361" w:rsidP="00DD2A2D">
      <w:pPr>
        <w:pStyle w:val="Paragraphedeliste"/>
        <w:numPr>
          <w:ilvl w:val="0"/>
          <w:numId w:val="10"/>
        </w:numPr>
        <w:spacing w:after="0"/>
        <w:jc w:val="both"/>
        <w:rPr>
          <w:lang w:val="fr-BE"/>
        </w:rPr>
      </w:pPr>
      <w:r>
        <w:rPr>
          <w:lang w:val="fr-BE"/>
        </w:rPr>
        <w:t>La marge de délivrance est inclue dans l’intervention</w:t>
      </w:r>
    </w:p>
    <w:p w14:paraId="2D6E490F" w14:textId="77777777" w:rsidR="00DD2A2D" w:rsidRDefault="00DD2A2D" w:rsidP="00DD2A2D">
      <w:pPr>
        <w:pStyle w:val="Paragraphedeliste"/>
        <w:spacing w:after="0"/>
        <w:jc w:val="both"/>
        <w:rPr>
          <w:lang w:val="fr-BE"/>
        </w:rPr>
      </w:pPr>
    </w:p>
    <w:p w14:paraId="77778942" w14:textId="6855F39B" w:rsidR="0015691B" w:rsidRPr="002F48E6" w:rsidRDefault="00193ADC" w:rsidP="002F48E6">
      <w:pPr>
        <w:spacing w:after="0"/>
        <w:jc w:val="both"/>
        <w:rPr>
          <w:lang w:val="fr-BE"/>
        </w:rPr>
      </w:pPr>
      <w:r w:rsidRPr="002F48E6">
        <w:rPr>
          <w:lang w:val="fr-BE"/>
        </w:rPr>
        <w:t>Seuls les dispositifs</w:t>
      </w:r>
      <w:r w:rsidR="00F06602" w:rsidRPr="002F48E6">
        <w:rPr>
          <w:lang w:val="fr-BE"/>
        </w:rPr>
        <w:t xml:space="preserve"> proposés par la BSVS et </w:t>
      </w:r>
      <w:r w:rsidRPr="002F48E6">
        <w:rPr>
          <w:lang w:val="fr-BE"/>
        </w:rPr>
        <w:t>repris dans le</w:t>
      </w:r>
      <w:r w:rsidR="00CC5757" w:rsidRPr="002F48E6">
        <w:rPr>
          <w:lang w:val="fr-BE"/>
        </w:rPr>
        <w:t>s</w:t>
      </w:r>
      <w:r w:rsidRPr="002F48E6">
        <w:rPr>
          <w:lang w:val="fr-BE"/>
        </w:rPr>
        <w:t xml:space="preserve"> tableau</w:t>
      </w:r>
      <w:r w:rsidR="00CC5757" w:rsidRPr="002F48E6">
        <w:rPr>
          <w:lang w:val="fr-BE"/>
        </w:rPr>
        <w:t>x</w:t>
      </w:r>
      <w:r w:rsidRPr="002F48E6">
        <w:rPr>
          <w:lang w:val="fr-BE"/>
        </w:rPr>
        <w:t xml:space="preserve"> ci-dessous peuvent faire l’objet d’une </w:t>
      </w:r>
      <w:r w:rsidR="00627342" w:rsidRPr="002F48E6">
        <w:rPr>
          <w:lang w:val="fr-BE"/>
        </w:rPr>
        <w:t xml:space="preserve">facturation sous les prestations </w:t>
      </w:r>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sidR="002F48E6">
        <w:rPr>
          <w:lang w:val="fr-BE"/>
        </w:rPr>
        <w:t>:</w:t>
      </w:r>
    </w:p>
    <w:p w14:paraId="7C41B02C" w14:textId="77777777" w:rsidR="00CC5757" w:rsidRDefault="00CC5757" w:rsidP="002C52DA">
      <w:pPr>
        <w:pStyle w:val="Paragraphedeliste"/>
        <w:spacing w:after="0"/>
        <w:jc w:val="both"/>
        <w:rPr>
          <w:lang w:val="fr-BE"/>
        </w:rPr>
      </w:pPr>
    </w:p>
    <w:p w14:paraId="5E045C3E" w14:textId="064C9A2E" w:rsidR="00627342" w:rsidRDefault="00CC5757" w:rsidP="002C52DA">
      <w:pPr>
        <w:pStyle w:val="Paragraphedeliste"/>
        <w:spacing w:after="0"/>
        <w:jc w:val="both"/>
        <w:rPr>
          <w:lang w:val="fr-BE"/>
        </w:rPr>
      </w:pPr>
      <w:bookmarkStart w:id="3" w:name="_Hlk133328666"/>
      <w:r>
        <w:rPr>
          <w:lang w:val="fr-BE"/>
        </w:rPr>
        <w:t xml:space="preserve">Pour la prestation  </w:t>
      </w:r>
      <w:r w:rsidR="00582E3F" w:rsidRPr="00582E3F">
        <w:rPr>
          <w:lang w:val="fr-FR"/>
        </w:rPr>
        <w:t>184693 – 184704, 184715 – 184726, 184730 – 184741</w:t>
      </w:r>
      <w:r w:rsidR="004B3361">
        <w:rPr>
          <w:lang w:val="fr-BE"/>
        </w:rPr>
        <w:t>:</w:t>
      </w:r>
    </w:p>
    <w:tbl>
      <w:tblPr>
        <w:tblStyle w:val="Grilledutableau"/>
        <w:tblW w:w="8773" w:type="dxa"/>
        <w:tblInd w:w="720" w:type="dxa"/>
        <w:tblLook w:val="04A0" w:firstRow="1" w:lastRow="0" w:firstColumn="1" w:lastColumn="0" w:noHBand="0" w:noVBand="1"/>
      </w:tblPr>
      <w:tblGrid>
        <w:gridCol w:w="1976"/>
        <w:gridCol w:w="4175"/>
        <w:gridCol w:w="2622"/>
      </w:tblGrid>
      <w:tr w:rsidR="00F52E8E" w14:paraId="45F108A0" w14:textId="0132B7EB" w:rsidTr="009132FB">
        <w:trPr>
          <w:trHeight w:val="431"/>
        </w:trPr>
        <w:tc>
          <w:tcPr>
            <w:tcW w:w="1976" w:type="dxa"/>
          </w:tcPr>
          <w:p w14:paraId="3F380BDC" w14:textId="068617CA" w:rsidR="00F52E8E" w:rsidRDefault="00F52E8E" w:rsidP="00DF666E">
            <w:pPr>
              <w:pStyle w:val="Paragraphedeliste"/>
              <w:ind w:left="0"/>
              <w:jc w:val="center"/>
              <w:rPr>
                <w:lang w:val="fr-BE"/>
              </w:rPr>
            </w:pPr>
            <w:bookmarkStart w:id="4" w:name="_Hlk135229482"/>
            <w:r>
              <w:rPr>
                <w:lang w:val="fr-BE"/>
              </w:rPr>
              <w:t>Pseudo code d’identification</w:t>
            </w:r>
          </w:p>
        </w:tc>
        <w:tc>
          <w:tcPr>
            <w:tcW w:w="4175" w:type="dxa"/>
          </w:tcPr>
          <w:p w14:paraId="642BC5F8" w14:textId="1207F873" w:rsidR="00F52E8E" w:rsidRDefault="00F52E8E" w:rsidP="002C52DA">
            <w:pPr>
              <w:pStyle w:val="Paragraphedeliste"/>
              <w:ind w:left="0"/>
              <w:jc w:val="both"/>
              <w:rPr>
                <w:lang w:val="fr-BE"/>
              </w:rPr>
            </w:pPr>
            <w:r>
              <w:rPr>
                <w:lang w:val="fr-BE"/>
              </w:rPr>
              <w:t>Nom du dispositif</w:t>
            </w:r>
          </w:p>
        </w:tc>
        <w:tc>
          <w:tcPr>
            <w:tcW w:w="2622" w:type="dxa"/>
          </w:tcPr>
          <w:p w14:paraId="11C66BD8" w14:textId="7AA20CAB" w:rsidR="00F52E8E" w:rsidRDefault="00F52E8E" w:rsidP="002C52DA">
            <w:pPr>
              <w:pStyle w:val="Paragraphedeliste"/>
              <w:ind w:left="0"/>
              <w:jc w:val="both"/>
              <w:rPr>
                <w:lang w:val="fr-BE"/>
              </w:rPr>
            </w:pPr>
            <w:r>
              <w:rPr>
                <w:lang w:val="fr-BE"/>
              </w:rPr>
              <w:t>Distributeur</w:t>
            </w:r>
          </w:p>
        </w:tc>
      </w:tr>
      <w:tr w:rsidR="009132FB" w14:paraId="533C64AB" w14:textId="0423FD2A" w:rsidTr="009132FB">
        <w:trPr>
          <w:trHeight w:val="224"/>
        </w:trPr>
        <w:tc>
          <w:tcPr>
            <w:tcW w:w="1976" w:type="dxa"/>
          </w:tcPr>
          <w:tbl>
            <w:tblPr>
              <w:tblW w:w="1760" w:type="dxa"/>
              <w:tblCellMar>
                <w:left w:w="70" w:type="dxa"/>
                <w:right w:w="70" w:type="dxa"/>
              </w:tblCellMar>
              <w:tblLook w:val="04A0" w:firstRow="1" w:lastRow="0" w:firstColumn="1" w:lastColumn="0" w:noHBand="0" w:noVBand="1"/>
            </w:tblPr>
            <w:tblGrid>
              <w:gridCol w:w="1760"/>
            </w:tblGrid>
            <w:tr w:rsidR="009132FB" w:rsidRPr="00BF1D2E" w14:paraId="2E5A1AD9" w14:textId="77777777" w:rsidTr="001847DD">
              <w:trPr>
                <w:trHeight w:val="300"/>
              </w:trPr>
              <w:tc>
                <w:tcPr>
                  <w:tcW w:w="1760" w:type="dxa"/>
                  <w:tcBorders>
                    <w:top w:val="nil"/>
                    <w:left w:val="nil"/>
                    <w:bottom w:val="nil"/>
                    <w:right w:val="nil"/>
                  </w:tcBorders>
                  <w:shd w:val="clear" w:color="auto" w:fill="auto"/>
                  <w:noWrap/>
                  <w:vAlign w:val="bottom"/>
                  <w:hideMark/>
                </w:tcPr>
                <w:p w14:paraId="34FB78E8" w14:textId="77777777" w:rsidR="009132FB" w:rsidRPr="00BF1D2E" w:rsidRDefault="009132FB" w:rsidP="009132FB">
                  <w:pPr>
                    <w:spacing w:after="0" w:line="240" w:lineRule="auto"/>
                    <w:jc w:val="center"/>
                    <w:rPr>
                      <w:rFonts w:ascii="Calibri" w:eastAsia="Times New Roman" w:hAnsi="Calibri" w:cs="Calibri"/>
                      <w:color w:val="000000"/>
                      <w:lang w:val="fr-FR" w:eastAsia="fr-FR"/>
                    </w:rPr>
                  </w:pPr>
                  <w:r w:rsidRPr="00BF1D2E">
                    <w:rPr>
                      <w:rFonts w:ascii="Calibri" w:eastAsia="Times New Roman" w:hAnsi="Calibri" w:cs="Calibri"/>
                      <w:color w:val="000000"/>
                      <w:lang w:val="fr-FR" w:eastAsia="fr-FR"/>
                    </w:rPr>
                    <w:t>7100100001</w:t>
                  </w:r>
                  <w:r w:rsidRPr="00463BFC">
                    <w:rPr>
                      <w:rFonts w:ascii="Calibri" w:eastAsia="Times New Roman" w:hAnsi="Calibri" w:cs="Calibri"/>
                      <w:color w:val="000000"/>
                      <w:highlight w:val="yellow"/>
                      <w:lang w:val="fr-FR" w:eastAsia="fr-FR"/>
                    </w:rPr>
                    <w:t>75</w:t>
                  </w:r>
                </w:p>
              </w:tc>
            </w:tr>
          </w:tbl>
          <w:p w14:paraId="1081EDA3" w14:textId="62B18625" w:rsidR="009132FB" w:rsidRDefault="009132FB" w:rsidP="009132FB">
            <w:pPr>
              <w:pStyle w:val="Paragraphedeliste"/>
              <w:ind w:left="0"/>
              <w:jc w:val="center"/>
              <w:rPr>
                <w:lang w:val="fr-BE"/>
              </w:rPr>
            </w:pPr>
          </w:p>
        </w:tc>
        <w:tc>
          <w:tcPr>
            <w:tcW w:w="4175" w:type="dxa"/>
          </w:tcPr>
          <w:p w14:paraId="638634E5" w14:textId="42215240" w:rsidR="009132FB" w:rsidRDefault="009132FB" w:rsidP="009132FB">
            <w:pPr>
              <w:pStyle w:val="Paragraphedeliste"/>
              <w:ind w:left="0"/>
              <w:jc w:val="both"/>
              <w:rPr>
                <w:lang w:val="fr-BE"/>
              </w:rPr>
            </w:pPr>
            <w:r>
              <w:rPr>
                <w:lang w:val="fr-BE"/>
              </w:rPr>
              <w:t>Indigo Lightning system</w:t>
            </w:r>
          </w:p>
        </w:tc>
        <w:tc>
          <w:tcPr>
            <w:tcW w:w="2622" w:type="dxa"/>
          </w:tcPr>
          <w:p w14:paraId="73B3DC01" w14:textId="7ED245C1" w:rsidR="009132FB" w:rsidRDefault="009132FB" w:rsidP="009132FB">
            <w:pPr>
              <w:pStyle w:val="Paragraphedeliste"/>
              <w:ind w:left="0"/>
              <w:jc w:val="both"/>
              <w:rPr>
                <w:lang w:val="fr-BE"/>
              </w:rPr>
            </w:pPr>
            <w:proofErr w:type="spellStart"/>
            <w:r>
              <w:rPr>
                <w:lang w:val="fr-BE"/>
              </w:rPr>
              <w:t>Penumbra</w:t>
            </w:r>
            <w:proofErr w:type="spellEnd"/>
            <w:r>
              <w:rPr>
                <w:lang w:val="fr-BE"/>
              </w:rPr>
              <w:t xml:space="preserve"> </w:t>
            </w:r>
            <w:proofErr w:type="spellStart"/>
            <w:r>
              <w:rPr>
                <w:lang w:val="fr-BE"/>
              </w:rPr>
              <w:t>europe</w:t>
            </w:r>
            <w:proofErr w:type="spellEnd"/>
          </w:p>
        </w:tc>
      </w:tr>
      <w:tr w:rsidR="009132FB" w14:paraId="2C7197BC" w14:textId="560C0D35" w:rsidTr="009132FB">
        <w:trPr>
          <w:trHeight w:val="215"/>
        </w:trPr>
        <w:tc>
          <w:tcPr>
            <w:tcW w:w="1976" w:type="dxa"/>
          </w:tcPr>
          <w:p w14:paraId="6089C796" w14:textId="04A05E04" w:rsidR="009132FB" w:rsidRDefault="009132FB" w:rsidP="009132FB">
            <w:pPr>
              <w:pStyle w:val="Paragraphedeliste"/>
              <w:ind w:left="0"/>
              <w:jc w:val="center"/>
              <w:rPr>
                <w:lang w:val="fr-BE"/>
              </w:rPr>
            </w:pPr>
            <w:r w:rsidRPr="00BF1D2E">
              <w:rPr>
                <w:rFonts w:ascii="Calibri" w:eastAsia="Times New Roman" w:hAnsi="Calibri" w:cs="Calibri"/>
                <w:color w:val="000000"/>
                <w:lang w:val="fr-FR" w:eastAsia="fr-FR"/>
              </w:rPr>
              <w:t>7100100002</w:t>
            </w:r>
            <w:r w:rsidRPr="00EE0E72">
              <w:rPr>
                <w:rFonts w:ascii="Calibri" w:eastAsia="Times New Roman" w:hAnsi="Calibri" w:cs="Calibri"/>
                <w:color w:val="000000"/>
                <w:highlight w:val="yellow"/>
                <w:lang w:val="fr-FR" w:eastAsia="fr-FR"/>
              </w:rPr>
              <w:t>74</w:t>
            </w:r>
          </w:p>
        </w:tc>
        <w:tc>
          <w:tcPr>
            <w:tcW w:w="4175" w:type="dxa"/>
          </w:tcPr>
          <w:p w14:paraId="20BAAB5C" w14:textId="663F8478" w:rsidR="009132FB" w:rsidRDefault="009132FB" w:rsidP="009132FB">
            <w:pPr>
              <w:pStyle w:val="Paragraphedeliste"/>
              <w:ind w:left="0"/>
              <w:jc w:val="both"/>
              <w:rPr>
                <w:lang w:val="fr-BE"/>
              </w:rPr>
            </w:pPr>
            <w:proofErr w:type="spellStart"/>
            <w:r>
              <w:rPr>
                <w:lang w:val="fr-BE"/>
              </w:rPr>
              <w:t>Aspirex</w:t>
            </w:r>
            <w:proofErr w:type="spellEnd"/>
            <w:r>
              <w:rPr>
                <w:lang w:val="fr-BE"/>
              </w:rPr>
              <w:t xml:space="preserve"> system</w:t>
            </w:r>
          </w:p>
        </w:tc>
        <w:tc>
          <w:tcPr>
            <w:tcW w:w="2622" w:type="dxa"/>
          </w:tcPr>
          <w:p w14:paraId="27638FA2" w14:textId="2C49BE72" w:rsidR="009132FB" w:rsidRDefault="009132FB" w:rsidP="009132FB">
            <w:pPr>
              <w:pStyle w:val="Paragraphedeliste"/>
              <w:ind w:left="0"/>
              <w:jc w:val="both"/>
              <w:rPr>
                <w:lang w:val="fr-BE"/>
              </w:rPr>
            </w:pPr>
            <w:proofErr w:type="spellStart"/>
            <w:r>
              <w:rPr>
                <w:lang w:val="fr-BE"/>
              </w:rPr>
              <w:t>Becton</w:t>
            </w:r>
            <w:proofErr w:type="spellEnd"/>
            <w:r>
              <w:rPr>
                <w:lang w:val="fr-BE"/>
              </w:rPr>
              <w:t xml:space="preserve"> Dickinson Benelux</w:t>
            </w:r>
          </w:p>
        </w:tc>
      </w:tr>
      <w:tr w:rsidR="009132FB" w14:paraId="65D3CFDD" w14:textId="318A0A7A" w:rsidTr="009132FB">
        <w:trPr>
          <w:trHeight w:val="215"/>
        </w:trPr>
        <w:tc>
          <w:tcPr>
            <w:tcW w:w="1976" w:type="dxa"/>
          </w:tcPr>
          <w:p w14:paraId="621C74DD" w14:textId="126EBCB2" w:rsidR="009132FB" w:rsidRDefault="009132FB" w:rsidP="009132FB">
            <w:pPr>
              <w:pStyle w:val="Paragraphedeliste"/>
              <w:ind w:left="0"/>
              <w:jc w:val="center"/>
              <w:rPr>
                <w:lang w:val="fr-BE"/>
              </w:rPr>
            </w:pPr>
            <w:r w:rsidRPr="00BF1D2E">
              <w:rPr>
                <w:rFonts w:ascii="Calibri" w:eastAsia="Times New Roman" w:hAnsi="Calibri" w:cs="Calibri"/>
                <w:color w:val="000000"/>
                <w:lang w:val="fr-FR" w:eastAsia="fr-FR"/>
              </w:rPr>
              <w:lastRenderedPageBreak/>
              <w:t>7100100003</w:t>
            </w:r>
            <w:r w:rsidRPr="00EE0E72">
              <w:rPr>
                <w:rFonts w:ascii="Calibri" w:eastAsia="Times New Roman" w:hAnsi="Calibri" w:cs="Calibri"/>
                <w:color w:val="000000"/>
                <w:highlight w:val="yellow"/>
                <w:lang w:val="fr-FR" w:eastAsia="fr-FR"/>
              </w:rPr>
              <w:t>73</w:t>
            </w:r>
          </w:p>
        </w:tc>
        <w:tc>
          <w:tcPr>
            <w:tcW w:w="4175" w:type="dxa"/>
          </w:tcPr>
          <w:p w14:paraId="78BC293C" w14:textId="7A72BF97" w:rsidR="009132FB" w:rsidRDefault="009132FB" w:rsidP="009132FB">
            <w:pPr>
              <w:pStyle w:val="Paragraphedeliste"/>
              <w:ind w:left="0"/>
              <w:jc w:val="both"/>
              <w:rPr>
                <w:lang w:val="fr-BE"/>
              </w:rPr>
            </w:pPr>
            <w:proofErr w:type="spellStart"/>
            <w:r>
              <w:rPr>
                <w:lang w:val="fr-BE"/>
              </w:rPr>
              <w:t>Rotarex</w:t>
            </w:r>
            <w:proofErr w:type="spellEnd"/>
            <w:r>
              <w:rPr>
                <w:lang w:val="fr-BE"/>
              </w:rPr>
              <w:t xml:space="preserve"> S system</w:t>
            </w:r>
          </w:p>
        </w:tc>
        <w:tc>
          <w:tcPr>
            <w:tcW w:w="2622" w:type="dxa"/>
          </w:tcPr>
          <w:p w14:paraId="17C0AEE2" w14:textId="23D7188B" w:rsidR="009132FB" w:rsidRDefault="009132FB" w:rsidP="009132FB">
            <w:pPr>
              <w:pStyle w:val="Paragraphedeliste"/>
              <w:ind w:left="0"/>
              <w:jc w:val="both"/>
              <w:rPr>
                <w:lang w:val="fr-BE"/>
              </w:rPr>
            </w:pPr>
            <w:proofErr w:type="spellStart"/>
            <w:r>
              <w:rPr>
                <w:lang w:val="fr-BE"/>
              </w:rPr>
              <w:t>Becton</w:t>
            </w:r>
            <w:proofErr w:type="spellEnd"/>
            <w:r>
              <w:rPr>
                <w:lang w:val="fr-BE"/>
              </w:rPr>
              <w:t xml:space="preserve"> Dickinson Benelux</w:t>
            </w:r>
          </w:p>
        </w:tc>
      </w:tr>
      <w:tr w:rsidR="009132FB" w14:paraId="4BAE59BB" w14:textId="5601CF4B" w:rsidTr="009132FB">
        <w:trPr>
          <w:trHeight w:val="215"/>
        </w:trPr>
        <w:tc>
          <w:tcPr>
            <w:tcW w:w="1976" w:type="dxa"/>
          </w:tcPr>
          <w:p w14:paraId="6B71C849" w14:textId="4F35490D" w:rsidR="009132FB" w:rsidRDefault="009132FB" w:rsidP="009132FB">
            <w:pPr>
              <w:pStyle w:val="Paragraphedeliste"/>
              <w:ind w:left="0"/>
              <w:jc w:val="center"/>
              <w:rPr>
                <w:lang w:val="fr-BE"/>
              </w:rPr>
            </w:pPr>
            <w:r w:rsidRPr="00BF1D2E">
              <w:rPr>
                <w:rFonts w:ascii="Calibri" w:eastAsia="Times New Roman" w:hAnsi="Calibri" w:cs="Calibri"/>
                <w:color w:val="000000"/>
                <w:lang w:val="fr-FR" w:eastAsia="fr-FR"/>
              </w:rPr>
              <w:t>7100100004</w:t>
            </w:r>
            <w:r w:rsidRPr="00EE0E72">
              <w:rPr>
                <w:rFonts w:ascii="Calibri" w:eastAsia="Times New Roman" w:hAnsi="Calibri" w:cs="Calibri"/>
                <w:color w:val="000000"/>
                <w:highlight w:val="yellow"/>
                <w:lang w:val="fr-FR" w:eastAsia="fr-FR"/>
              </w:rPr>
              <w:t>72</w:t>
            </w:r>
          </w:p>
        </w:tc>
        <w:tc>
          <w:tcPr>
            <w:tcW w:w="4175" w:type="dxa"/>
          </w:tcPr>
          <w:p w14:paraId="071D99D5" w14:textId="5D302663" w:rsidR="009132FB" w:rsidRDefault="009132FB" w:rsidP="009132FB">
            <w:pPr>
              <w:pStyle w:val="Paragraphedeliste"/>
              <w:ind w:left="0"/>
              <w:jc w:val="both"/>
              <w:rPr>
                <w:lang w:val="fr-BE"/>
              </w:rPr>
            </w:pPr>
            <w:proofErr w:type="spellStart"/>
            <w:r>
              <w:rPr>
                <w:lang w:val="fr-BE"/>
              </w:rPr>
              <w:t>Jeti</w:t>
            </w:r>
            <w:proofErr w:type="spellEnd"/>
            <w:r>
              <w:rPr>
                <w:lang w:val="fr-BE"/>
              </w:rPr>
              <w:t xml:space="preserve"> system</w:t>
            </w:r>
          </w:p>
        </w:tc>
        <w:tc>
          <w:tcPr>
            <w:tcW w:w="2622" w:type="dxa"/>
          </w:tcPr>
          <w:p w14:paraId="1E7A5D1F" w14:textId="16E2D3FF" w:rsidR="009132FB" w:rsidRDefault="009132FB" w:rsidP="009132FB">
            <w:pPr>
              <w:pStyle w:val="Paragraphedeliste"/>
              <w:ind w:left="0"/>
              <w:jc w:val="both"/>
              <w:rPr>
                <w:lang w:val="fr-BE"/>
              </w:rPr>
            </w:pPr>
            <w:r>
              <w:rPr>
                <w:lang w:val="fr-BE"/>
              </w:rPr>
              <w:t xml:space="preserve">Abbott </w:t>
            </w:r>
            <w:proofErr w:type="spellStart"/>
            <w:r>
              <w:rPr>
                <w:lang w:val="fr-BE"/>
              </w:rPr>
              <w:t>Medical</w:t>
            </w:r>
            <w:proofErr w:type="spellEnd"/>
            <w:r>
              <w:rPr>
                <w:lang w:val="fr-BE"/>
              </w:rPr>
              <w:t xml:space="preserve"> </w:t>
            </w:r>
            <w:proofErr w:type="spellStart"/>
            <w:r>
              <w:rPr>
                <w:lang w:val="fr-BE"/>
              </w:rPr>
              <w:t>Belgium</w:t>
            </w:r>
            <w:proofErr w:type="spellEnd"/>
          </w:p>
        </w:tc>
      </w:tr>
      <w:tr w:rsidR="009132FB" w14:paraId="0F2E5906" w14:textId="57531ED0" w:rsidTr="009132FB">
        <w:trPr>
          <w:trHeight w:val="215"/>
        </w:trPr>
        <w:tc>
          <w:tcPr>
            <w:tcW w:w="1976" w:type="dxa"/>
          </w:tcPr>
          <w:tbl>
            <w:tblPr>
              <w:tblW w:w="1760" w:type="dxa"/>
              <w:tblCellMar>
                <w:left w:w="70" w:type="dxa"/>
                <w:right w:w="70" w:type="dxa"/>
              </w:tblCellMar>
              <w:tblLook w:val="04A0" w:firstRow="1" w:lastRow="0" w:firstColumn="1" w:lastColumn="0" w:noHBand="0" w:noVBand="1"/>
            </w:tblPr>
            <w:tblGrid>
              <w:gridCol w:w="1760"/>
            </w:tblGrid>
            <w:tr w:rsidR="009132FB" w:rsidRPr="00BF1D2E" w14:paraId="20213783" w14:textId="77777777" w:rsidTr="001847DD">
              <w:trPr>
                <w:trHeight w:val="300"/>
              </w:trPr>
              <w:tc>
                <w:tcPr>
                  <w:tcW w:w="1760" w:type="dxa"/>
                  <w:tcBorders>
                    <w:top w:val="nil"/>
                    <w:left w:val="nil"/>
                    <w:bottom w:val="nil"/>
                    <w:right w:val="nil"/>
                  </w:tcBorders>
                  <w:shd w:val="clear" w:color="auto" w:fill="auto"/>
                  <w:noWrap/>
                  <w:vAlign w:val="bottom"/>
                  <w:hideMark/>
                </w:tcPr>
                <w:p w14:paraId="4A404EF0" w14:textId="77777777" w:rsidR="009132FB" w:rsidRPr="00BF1D2E" w:rsidRDefault="009132FB" w:rsidP="009132FB">
                  <w:pPr>
                    <w:spacing w:after="0" w:line="240" w:lineRule="auto"/>
                    <w:jc w:val="center"/>
                    <w:rPr>
                      <w:rFonts w:ascii="Calibri" w:eastAsia="Times New Roman" w:hAnsi="Calibri" w:cs="Calibri"/>
                      <w:color w:val="000000"/>
                      <w:lang w:val="fr-FR" w:eastAsia="fr-FR"/>
                    </w:rPr>
                  </w:pPr>
                  <w:r>
                    <w:rPr>
                      <w:rFonts w:ascii="Calibri" w:eastAsia="Times New Roman" w:hAnsi="Calibri" w:cs="Calibri"/>
                      <w:color w:val="000000"/>
                      <w:lang w:val="fr-FR" w:eastAsia="fr-FR"/>
                    </w:rPr>
                    <w:t>7</w:t>
                  </w:r>
                  <w:r w:rsidRPr="00BF1D2E">
                    <w:rPr>
                      <w:rFonts w:ascii="Calibri" w:eastAsia="Times New Roman" w:hAnsi="Calibri" w:cs="Calibri"/>
                      <w:color w:val="000000"/>
                      <w:lang w:val="fr-FR" w:eastAsia="fr-FR"/>
                    </w:rPr>
                    <w:t>100100005</w:t>
                  </w:r>
                  <w:r w:rsidRPr="00EE0E72">
                    <w:rPr>
                      <w:rFonts w:ascii="Calibri" w:eastAsia="Times New Roman" w:hAnsi="Calibri" w:cs="Calibri"/>
                      <w:color w:val="000000"/>
                      <w:highlight w:val="yellow"/>
                      <w:lang w:val="fr-FR" w:eastAsia="fr-FR"/>
                    </w:rPr>
                    <w:t>71</w:t>
                  </w:r>
                </w:p>
              </w:tc>
            </w:tr>
          </w:tbl>
          <w:p w14:paraId="697439AD" w14:textId="77777777" w:rsidR="009132FB" w:rsidRDefault="009132FB" w:rsidP="009132FB">
            <w:pPr>
              <w:pStyle w:val="Paragraphedeliste"/>
              <w:ind w:left="0"/>
              <w:jc w:val="center"/>
              <w:rPr>
                <w:lang w:val="fr-BE"/>
              </w:rPr>
            </w:pPr>
          </w:p>
        </w:tc>
        <w:tc>
          <w:tcPr>
            <w:tcW w:w="4175" w:type="dxa"/>
          </w:tcPr>
          <w:p w14:paraId="2AD59C5B" w14:textId="72B93B9B" w:rsidR="009132FB" w:rsidRDefault="009132FB" w:rsidP="009132FB">
            <w:pPr>
              <w:pStyle w:val="Paragraphedeliste"/>
              <w:ind w:left="0"/>
              <w:jc w:val="both"/>
              <w:rPr>
                <w:lang w:val="fr-BE"/>
              </w:rPr>
            </w:pPr>
            <w:proofErr w:type="spellStart"/>
            <w:r>
              <w:rPr>
                <w:lang w:val="fr-BE"/>
              </w:rPr>
              <w:t>Clotriever</w:t>
            </w:r>
            <w:proofErr w:type="spellEnd"/>
          </w:p>
        </w:tc>
        <w:tc>
          <w:tcPr>
            <w:tcW w:w="2622" w:type="dxa"/>
          </w:tcPr>
          <w:p w14:paraId="2AD20661" w14:textId="2E0CED18" w:rsidR="009132FB" w:rsidRDefault="009132FB" w:rsidP="009132FB">
            <w:pPr>
              <w:pStyle w:val="Paragraphedeliste"/>
              <w:ind w:left="0"/>
              <w:jc w:val="both"/>
              <w:rPr>
                <w:lang w:val="fr-BE"/>
              </w:rPr>
            </w:pPr>
            <w:r>
              <w:rPr>
                <w:lang w:val="fr-BE"/>
              </w:rPr>
              <w:t xml:space="preserve">Inari </w:t>
            </w:r>
            <w:proofErr w:type="spellStart"/>
            <w:r>
              <w:rPr>
                <w:lang w:val="fr-BE"/>
              </w:rPr>
              <w:t>Medical</w:t>
            </w:r>
            <w:proofErr w:type="spellEnd"/>
            <w:r>
              <w:rPr>
                <w:lang w:val="fr-BE"/>
              </w:rPr>
              <w:t xml:space="preserve"> Europe</w:t>
            </w:r>
          </w:p>
        </w:tc>
      </w:tr>
      <w:tr w:rsidR="009132FB" w14:paraId="4F500486" w14:textId="77777777" w:rsidTr="009132FB">
        <w:trPr>
          <w:trHeight w:val="215"/>
        </w:trPr>
        <w:tc>
          <w:tcPr>
            <w:tcW w:w="1976" w:type="dxa"/>
          </w:tcPr>
          <w:p w14:paraId="62AA9844" w14:textId="0F685C52" w:rsidR="009132FB" w:rsidRDefault="009132FB" w:rsidP="009132FB">
            <w:pPr>
              <w:pStyle w:val="Paragraphedeliste"/>
              <w:ind w:left="0"/>
              <w:jc w:val="center"/>
              <w:rPr>
                <w:lang w:val="fr-BE"/>
              </w:rPr>
            </w:pPr>
            <w:r w:rsidRPr="00BF1D2E">
              <w:rPr>
                <w:rFonts w:ascii="Calibri" w:eastAsia="Times New Roman" w:hAnsi="Calibri" w:cs="Calibri"/>
                <w:color w:val="000000"/>
                <w:lang w:val="fr-FR" w:eastAsia="fr-FR"/>
              </w:rPr>
              <w:t>7100100006</w:t>
            </w:r>
            <w:r w:rsidRPr="00EE0E72">
              <w:rPr>
                <w:rFonts w:ascii="Calibri" w:eastAsia="Times New Roman" w:hAnsi="Calibri" w:cs="Calibri"/>
                <w:color w:val="000000"/>
                <w:highlight w:val="yellow"/>
                <w:lang w:val="fr-FR" w:eastAsia="fr-FR"/>
              </w:rPr>
              <w:t>70</w:t>
            </w:r>
          </w:p>
        </w:tc>
        <w:tc>
          <w:tcPr>
            <w:tcW w:w="4175" w:type="dxa"/>
          </w:tcPr>
          <w:p w14:paraId="45A05CEB" w14:textId="30F8EFD0" w:rsidR="009132FB" w:rsidRDefault="009132FB" w:rsidP="009132FB">
            <w:pPr>
              <w:pStyle w:val="Paragraphedeliste"/>
              <w:ind w:left="0"/>
              <w:jc w:val="both"/>
              <w:rPr>
                <w:lang w:val="fr-BE"/>
              </w:rPr>
            </w:pPr>
            <w:proofErr w:type="spellStart"/>
            <w:r>
              <w:rPr>
                <w:lang w:val="fr-BE"/>
              </w:rPr>
              <w:t>Flowtriever</w:t>
            </w:r>
            <w:proofErr w:type="spellEnd"/>
          </w:p>
        </w:tc>
        <w:tc>
          <w:tcPr>
            <w:tcW w:w="2622" w:type="dxa"/>
          </w:tcPr>
          <w:p w14:paraId="341972A5" w14:textId="0BCB79D2" w:rsidR="009132FB" w:rsidRDefault="009132FB" w:rsidP="009132FB">
            <w:pPr>
              <w:pStyle w:val="Paragraphedeliste"/>
              <w:ind w:left="0"/>
              <w:jc w:val="both"/>
              <w:rPr>
                <w:lang w:val="fr-BE"/>
              </w:rPr>
            </w:pPr>
            <w:r>
              <w:rPr>
                <w:lang w:val="fr-BE"/>
              </w:rPr>
              <w:t xml:space="preserve">Inari </w:t>
            </w:r>
            <w:proofErr w:type="spellStart"/>
            <w:r>
              <w:rPr>
                <w:lang w:val="fr-BE"/>
              </w:rPr>
              <w:t>Medical</w:t>
            </w:r>
            <w:proofErr w:type="spellEnd"/>
            <w:r>
              <w:rPr>
                <w:lang w:val="fr-BE"/>
              </w:rPr>
              <w:t xml:space="preserve"> Europe</w:t>
            </w:r>
          </w:p>
        </w:tc>
      </w:tr>
      <w:tr w:rsidR="009132FB" w14:paraId="43660EEB" w14:textId="77777777" w:rsidTr="009132FB">
        <w:trPr>
          <w:trHeight w:val="215"/>
        </w:trPr>
        <w:tc>
          <w:tcPr>
            <w:tcW w:w="1976" w:type="dxa"/>
          </w:tcPr>
          <w:p w14:paraId="5CBFCCA5" w14:textId="70B21197" w:rsidR="009132FB" w:rsidRDefault="009132FB" w:rsidP="009132FB">
            <w:pPr>
              <w:pStyle w:val="Paragraphedeliste"/>
              <w:ind w:left="0"/>
              <w:jc w:val="center"/>
              <w:rPr>
                <w:lang w:val="fr-BE"/>
              </w:rPr>
            </w:pPr>
            <w:r w:rsidRPr="00BF1D2E">
              <w:rPr>
                <w:rFonts w:ascii="Calibri" w:eastAsia="Times New Roman" w:hAnsi="Calibri" w:cs="Calibri"/>
                <w:color w:val="000000"/>
                <w:lang w:val="fr-FR" w:eastAsia="fr-FR"/>
              </w:rPr>
              <w:t>7100100007</w:t>
            </w:r>
            <w:r w:rsidRPr="00EE0E72">
              <w:rPr>
                <w:rFonts w:ascii="Calibri" w:eastAsia="Times New Roman" w:hAnsi="Calibri" w:cs="Calibri"/>
                <w:color w:val="000000"/>
                <w:highlight w:val="yellow"/>
                <w:lang w:val="fr-FR" w:eastAsia="fr-FR"/>
              </w:rPr>
              <w:t>69</w:t>
            </w:r>
          </w:p>
        </w:tc>
        <w:tc>
          <w:tcPr>
            <w:tcW w:w="4175" w:type="dxa"/>
          </w:tcPr>
          <w:p w14:paraId="451ACC8E" w14:textId="2D35BE3A" w:rsidR="009132FB" w:rsidRDefault="009132FB" w:rsidP="009132FB">
            <w:pPr>
              <w:pStyle w:val="Paragraphedeliste"/>
              <w:ind w:left="0"/>
              <w:jc w:val="both"/>
              <w:rPr>
                <w:lang w:val="fr-BE"/>
              </w:rPr>
            </w:pPr>
            <w:proofErr w:type="spellStart"/>
            <w:r>
              <w:rPr>
                <w:lang w:val="fr-BE"/>
              </w:rPr>
              <w:t>Angiojet</w:t>
            </w:r>
            <w:proofErr w:type="spellEnd"/>
          </w:p>
        </w:tc>
        <w:tc>
          <w:tcPr>
            <w:tcW w:w="2622" w:type="dxa"/>
          </w:tcPr>
          <w:p w14:paraId="30262BAB" w14:textId="3AC623D3" w:rsidR="009132FB" w:rsidRDefault="009132FB" w:rsidP="009132FB">
            <w:pPr>
              <w:pStyle w:val="Paragraphedeliste"/>
              <w:ind w:left="0"/>
              <w:jc w:val="both"/>
              <w:rPr>
                <w:lang w:val="fr-BE"/>
              </w:rPr>
            </w:pPr>
            <w:r>
              <w:rPr>
                <w:lang w:val="fr-BE"/>
              </w:rPr>
              <w:t>Boston</w:t>
            </w:r>
          </w:p>
        </w:tc>
      </w:tr>
      <w:bookmarkEnd w:id="4"/>
    </w:tbl>
    <w:p w14:paraId="5D29BE4C" w14:textId="0036BE92" w:rsidR="00627342" w:rsidRDefault="00627342" w:rsidP="002C52DA">
      <w:pPr>
        <w:pStyle w:val="Paragraphedeliste"/>
        <w:spacing w:after="0"/>
        <w:jc w:val="both"/>
        <w:rPr>
          <w:lang w:val="fr-BE"/>
        </w:rPr>
      </w:pPr>
    </w:p>
    <w:bookmarkEnd w:id="3"/>
    <w:p w14:paraId="5AD30C28" w14:textId="77777777" w:rsidR="00582E3F" w:rsidRDefault="00185F96" w:rsidP="00582E3F">
      <w:pPr>
        <w:rPr>
          <w:lang w:val="nl-NL"/>
        </w:rPr>
      </w:pPr>
      <w:r w:rsidRPr="00CC5757">
        <w:rPr>
          <w:lang w:val="fr-BE"/>
        </w:rPr>
        <w:t xml:space="preserve">Pour la prestation  </w:t>
      </w:r>
      <w:r w:rsidR="00582E3F">
        <w:rPr>
          <w:lang w:val="nl-NL"/>
        </w:rPr>
        <w:t>184752 - 184763</w:t>
      </w:r>
    </w:p>
    <w:tbl>
      <w:tblPr>
        <w:tblStyle w:val="Grilledutableau"/>
        <w:tblW w:w="8773" w:type="dxa"/>
        <w:tblInd w:w="720" w:type="dxa"/>
        <w:tblLook w:val="04A0" w:firstRow="1" w:lastRow="0" w:firstColumn="1" w:lastColumn="0" w:noHBand="0" w:noVBand="1"/>
      </w:tblPr>
      <w:tblGrid>
        <w:gridCol w:w="1574"/>
        <w:gridCol w:w="4452"/>
        <w:gridCol w:w="2747"/>
      </w:tblGrid>
      <w:tr w:rsidR="00185F96" w14:paraId="0CE3B7AC" w14:textId="77777777" w:rsidTr="00303CF2">
        <w:trPr>
          <w:trHeight w:val="431"/>
        </w:trPr>
        <w:tc>
          <w:tcPr>
            <w:tcW w:w="1574" w:type="dxa"/>
          </w:tcPr>
          <w:p w14:paraId="2FF44069" w14:textId="77777777" w:rsidR="00185F96" w:rsidRDefault="00185F96" w:rsidP="00DF666E">
            <w:pPr>
              <w:pStyle w:val="Paragraphedeliste"/>
              <w:ind w:left="0"/>
              <w:jc w:val="center"/>
              <w:rPr>
                <w:lang w:val="fr-BE"/>
              </w:rPr>
            </w:pPr>
            <w:r>
              <w:rPr>
                <w:lang w:val="fr-BE"/>
              </w:rPr>
              <w:t>Pseudo code d’identification</w:t>
            </w:r>
          </w:p>
        </w:tc>
        <w:tc>
          <w:tcPr>
            <w:tcW w:w="4452" w:type="dxa"/>
          </w:tcPr>
          <w:p w14:paraId="4857D349" w14:textId="77777777" w:rsidR="00185F96" w:rsidRDefault="00185F96" w:rsidP="00303CF2">
            <w:pPr>
              <w:pStyle w:val="Paragraphedeliste"/>
              <w:ind w:left="0"/>
              <w:jc w:val="both"/>
              <w:rPr>
                <w:lang w:val="fr-BE"/>
              </w:rPr>
            </w:pPr>
            <w:r>
              <w:rPr>
                <w:lang w:val="fr-BE"/>
              </w:rPr>
              <w:t>Nom du dispositif</w:t>
            </w:r>
          </w:p>
        </w:tc>
        <w:tc>
          <w:tcPr>
            <w:tcW w:w="2747" w:type="dxa"/>
          </w:tcPr>
          <w:p w14:paraId="6C517ADF" w14:textId="77777777" w:rsidR="00185F96" w:rsidRDefault="00185F96" w:rsidP="00303CF2">
            <w:pPr>
              <w:pStyle w:val="Paragraphedeliste"/>
              <w:ind w:left="0"/>
              <w:jc w:val="both"/>
              <w:rPr>
                <w:lang w:val="fr-BE"/>
              </w:rPr>
            </w:pPr>
            <w:r>
              <w:rPr>
                <w:lang w:val="fr-BE"/>
              </w:rPr>
              <w:t>Distributeur</w:t>
            </w:r>
          </w:p>
        </w:tc>
      </w:tr>
      <w:tr w:rsidR="009132FB" w14:paraId="4A90F892" w14:textId="77777777" w:rsidTr="00303CF2">
        <w:trPr>
          <w:trHeight w:val="224"/>
        </w:trPr>
        <w:tc>
          <w:tcPr>
            <w:tcW w:w="1574" w:type="dxa"/>
          </w:tcPr>
          <w:p w14:paraId="170A024D" w14:textId="605F6C07" w:rsidR="009132FB" w:rsidRDefault="009132FB" w:rsidP="009132FB">
            <w:pPr>
              <w:pStyle w:val="Paragraphedeliste"/>
              <w:ind w:left="0"/>
              <w:jc w:val="center"/>
              <w:rPr>
                <w:lang w:val="fr-BE"/>
              </w:rPr>
            </w:pPr>
            <w:r>
              <w:rPr>
                <w:rFonts w:ascii="Calibri" w:hAnsi="Calibri" w:cs="Calibri"/>
                <w:color w:val="000000"/>
              </w:rPr>
              <w:t>7100200001</w:t>
            </w:r>
            <w:r w:rsidRPr="00EE0E72">
              <w:rPr>
                <w:rFonts w:ascii="Calibri" w:hAnsi="Calibri" w:cs="Calibri"/>
                <w:color w:val="000000"/>
                <w:highlight w:val="yellow"/>
              </w:rPr>
              <w:t>82</w:t>
            </w:r>
          </w:p>
        </w:tc>
        <w:tc>
          <w:tcPr>
            <w:tcW w:w="4452" w:type="dxa"/>
          </w:tcPr>
          <w:p w14:paraId="7606FC04" w14:textId="77777777" w:rsidR="009132FB" w:rsidRDefault="009132FB" w:rsidP="009132FB">
            <w:pPr>
              <w:pStyle w:val="Paragraphedeliste"/>
              <w:ind w:left="0"/>
              <w:jc w:val="both"/>
              <w:rPr>
                <w:lang w:val="fr-BE"/>
              </w:rPr>
            </w:pPr>
            <w:r>
              <w:rPr>
                <w:lang w:val="fr-BE"/>
              </w:rPr>
              <w:t>Indigo Lightning system</w:t>
            </w:r>
          </w:p>
        </w:tc>
        <w:tc>
          <w:tcPr>
            <w:tcW w:w="2747" w:type="dxa"/>
          </w:tcPr>
          <w:p w14:paraId="04FF2090" w14:textId="77777777" w:rsidR="009132FB" w:rsidRDefault="009132FB" w:rsidP="009132FB">
            <w:pPr>
              <w:pStyle w:val="Paragraphedeliste"/>
              <w:ind w:left="0"/>
              <w:jc w:val="both"/>
              <w:rPr>
                <w:lang w:val="fr-BE"/>
              </w:rPr>
            </w:pPr>
            <w:proofErr w:type="spellStart"/>
            <w:r>
              <w:rPr>
                <w:lang w:val="fr-BE"/>
              </w:rPr>
              <w:t>Penumbra</w:t>
            </w:r>
            <w:proofErr w:type="spellEnd"/>
            <w:r>
              <w:rPr>
                <w:lang w:val="fr-BE"/>
              </w:rPr>
              <w:t xml:space="preserve"> </w:t>
            </w:r>
            <w:proofErr w:type="spellStart"/>
            <w:r>
              <w:rPr>
                <w:lang w:val="fr-BE"/>
              </w:rPr>
              <w:t>europe</w:t>
            </w:r>
            <w:proofErr w:type="spellEnd"/>
          </w:p>
        </w:tc>
      </w:tr>
      <w:tr w:rsidR="009132FB" w14:paraId="107F4F97" w14:textId="77777777" w:rsidTr="00654394">
        <w:trPr>
          <w:trHeight w:val="215"/>
        </w:trPr>
        <w:tc>
          <w:tcPr>
            <w:tcW w:w="1574" w:type="dxa"/>
          </w:tcPr>
          <w:p w14:paraId="10CE5C1E" w14:textId="3512CBD0" w:rsidR="009132FB" w:rsidRDefault="009132FB" w:rsidP="009132FB">
            <w:pPr>
              <w:pStyle w:val="Paragraphedeliste"/>
              <w:ind w:left="0"/>
              <w:jc w:val="center"/>
              <w:rPr>
                <w:lang w:val="fr-BE"/>
              </w:rPr>
            </w:pPr>
            <w:r>
              <w:rPr>
                <w:rFonts w:ascii="Calibri" w:hAnsi="Calibri" w:cs="Calibri"/>
                <w:color w:val="000000"/>
              </w:rPr>
              <w:t>7100200002</w:t>
            </w:r>
            <w:r w:rsidRPr="00EE0E72">
              <w:rPr>
                <w:rFonts w:ascii="Calibri" w:hAnsi="Calibri" w:cs="Calibri"/>
                <w:color w:val="000000"/>
                <w:highlight w:val="yellow"/>
              </w:rPr>
              <w:t>81</w:t>
            </w:r>
          </w:p>
        </w:tc>
        <w:tc>
          <w:tcPr>
            <w:tcW w:w="4452" w:type="dxa"/>
          </w:tcPr>
          <w:p w14:paraId="57B0953B" w14:textId="77777777" w:rsidR="009132FB" w:rsidRDefault="009132FB" w:rsidP="009132FB">
            <w:pPr>
              <w:pStyle w:val="Paragraphedeliste"/>
              <w:ind w:left="0"/>
              <w:jc w:val="both"/>
              <w:rPr>
                <w:lang w:val="fr-BE"/>
              </w:rPr>
            </w:pPr>
            <w:proofErr w:type="spellStart"/>
            <w:r>
              <w:rPr>
                <w:lang w:val="fr-BE"/>
              </w:rPr>
              <w:t>Flowtriever</w:t>
            </w:r>
            <w:proofErr w:type="spellEnd"/>
          </w:p>
        </w:tc>
        <w:tc>
          <w:tcPr>
            <w:tcW w:w="2747" w:type="dxa"/>
          </w:tcPr>
          <w:p w14:paraId="2C59EA53" w14:textId="77777777" w:rsidR="009132FB" w:rsidRDefault="009132FB" w:rsidP="009132FB">
            <w:pPr>
              <w:pStyle w:val="Paragraphedeliste"/>
              <w:ind w:left="0"/>
              <w:jc w:val="both"/>
              <w:rPr>
                <w:lang w:val="fr-BE"/>
              </w:rPr>
            </w:pPr>
            <w:r>
              <w:rPr>
                <w:lang w:val="fr-BE"/>
              </w:rPr>
              <w:t xml:space="preserve">Inari </w:t>
            </w:r>
            <w:proofErr w:type="spellStart"/>
            <w:r>
              <w:rPr>
                <w:lang w:val="fr-BE"/>
              </w:rPr>
              <w:t>Medical</w:t>
            </w:r>
            <w:proofErr w:type="spellEnd"/>
            <w:r>
              <w:rPr>
                <w:lang w:val="fr-BE"/>
              </w:rPr>
              <w:t xml:space="preserve"> Europe</w:t>
            </w:r>
          </w:p>
        </w:tc>
      </w:tr>
    </w:tbl>
    <w:p w14:paraId="63AEE9B6" w14:textId="77777777" w:rsidR="00185F96" w:rsidRDefault="00185F96" w:rsidP="002C52DA">
      <w:pPr>
        <w:pStyle w:val="Paragraphedeliste"/>
        <w:jc w:val="both"/>
        <w:rPr>
          <w:lang w:val="fr-BE"/>
        </w:rPr>
      </w:pPr>
    </w:p>
    <w:p w14:paraId="3F636597" w14:textId="690AC30E" w:rsidR="00BC031B" w:rsidRPr="004432EF" w:rsidRDefault="00CC5757" w:rsidP="002C52DA">
      <w:pPr>
        <w:jc w:val="both"/>
        <w:rPr>
          <w:b/>
          <w:lang w:val="fr-BE"/>
        </w:rPr>
      </w:pPr>
      <w:r w:rsidRPr="004432EF">
        <w:rPr>
          <w:b/>
          <w:lang w:val="fr-BE"/>
        </w:rPr>
        <w:t xml:space="preserve">Article </w:t>
      </w:r>
      <w:r w:rsidR="00A75258">
        <w:rPr>
          <w:b/>
          <w:lang w:val="fr-BE"/>
        </w:rPr>
        <w:t>5</w:t>
      </w:r>
      <w:r w:rsidRPr="004432EF">
        <w:rPr>
          <w:b/>
          <w:lang w:val="fr-BE"/>
        </w:rPr>
        <w:t xml:space="preserve">. </w:t>
      </w:r>
      <w:r w:rsidR="002F48E6">
        <w:rPr>
          <w:b/>
          <w:lang w:val="fr-BE"/>
        </w:rPr>
        <w:t xml:space="preserve"> Facturation</w:t>
      </w:r>
    </w:p>
    <w:p w14:paraId="46D97F89" w14:textId="3EDB84A4" w:rsidR="00211B8E" w:rsidRDefault="00211B8E" w:rsidP="002C52DA">
      <w:pPr>
        <w:spacing w:after="0"/>
        <w:jc w:val="both"/>
        <w:rPr>
          <w:lang w:val="fr-FR"/>
        </w:rPr>
      </w:pPr>
      <w:r w:rsidRPr="00211B8E">
        <w:rPr>
          <w:lang w:val="fr-FR"/>
        </w:rPr>
        <w:t xml:space="preserve">Les prestations </w:t>
      </w:r>
      <w:r w:rsidR="00582E3F" w:rsidRPr="00582E3F">
        <w:rPr>
          <w:lang w:val="fr-FR"/>
        </w:rPr>
        <w:t>184693 – 184704, 184715 – 184726, 184730 – 184741</w:t>
      </w:r>
      <w:r w:rsidR="00582E3F">
        <w:rPr>
          <w:lang w:val="fr-FR"/>
        </w:rPr>
        <w:t xml:space="preserve"> et</w:t>
      </w:r>
      <w:r w:rsidR="00582E3F" w:rsidRPr="00582E3F">
        <w:rPr>
          <w:lang w:val="fr-FR"/>
        </w:rPr>
        <w:t xml:space="preserve"> 184752 - 184763</w:t>
      </w:r>
      <w:r w:rsidR="00582E3F" w:rsidRPr="00582E3F">
        <w:rPr>
          <w:lang w:val="fr-BE"/>
        </w:rPr>
        <w:t xml:space="preserve"> </w:t>
      </w:r>
      <w:r w:rsidRPr="00211B8E">
        <w:rPr>
          <w:lang w:val="fr-FR"/>
        </w:rPr>
        <w:t xml:space="preserve">sont facturées en tiers payant aux organismes assureurs des </w:t>
      </w:r>
      <w:r w:rsidR="002F48E6">
        <w:rPr>
          <w:lang w:val="fr-FR"/>
        </w:rPr>
        <w:t>bénéficiaires</w:t>
      </w:r>
      <w:r w:rsidRPr="00211B8E">
        <w:rPr>
          <w:lang w:val="fr-FR"/>
        </w:rPr>
        <w:t xml:space="preserve"> t</w:t>
      </w:r>
      <w:r>
        <w:rPr>
          <w:lang w:val="fr-FR"/>
        </w:rPr>
        <w:t>raitées</w:t>
      </w:r>
      <w:r w:rsidRPr="00211B8E">
        <w:rPr>
          <w:lang w:val="fr-FR"/>
        </w:rPr>
        <w:t xml:space="preserve"> selon les instructions de facturation publiées sur le site web de l'INAMI. </w:t>
      </w:r>
    </w:p>
    <w:p w14:paraId="6A0E9D6D" w14:textId="4DBA6146" w:rsidR="006B6740" w:rsidRPr="00211B8E" w:rsidRDefault="006B6740" w:rsidP="002C52DA">
      <w:pPr>
        <w:spacing w:after="0"/>
        <w:jc w:val="both"/>
        <w:rPr>
          <w:lang w:val="fr-FR"/>
        </w:rPr>
      </w:pPr>
      <w:r w:rsidRPr="00571041">
        <w:rPr>
          <w:lang w:val="fr-BE"/>
        </w:rPr>
        <w:t>La présente convention ne s’applique pas aux personnes qui ne bénéficient pas de l’assurance obligatoire soins de santé.</w:t>
      </w:r>
    </w:p>
    <w:p w14:paraId="1628E1B5" w14:textId="1F566B2C" w:rsidR="00874AAB" w:rsidRPr="002708CE" w:rsidRDefault="00874AAB" w:rsidP="002C52DA">
      <w:pPr>
        <w:spacing w:after="0"/>
        <w:jc w:val="both"/>
        <w:rPr>
          <w:lang w:val="fr-FR"/>
        </w:rPr>
      </w:pPr>
    </w:p>
    <w:p w14:paraId="4F3CBB45" w14:textId="543AE056" w:rsidR="00211B8E" w:rsidRDefault="00211B8E" w:rsidP="002C52DA">
      <w:pPr>
        <w:spacing w:after="0"/>
        <w:jc w:val="both"/>
        <w:rPr>
          <w:lang w:val="fr-FR"/>
        </w:rPr>
      </w:pPr>
      <w:r w:rsidRPr="00284195">
        <w:rPr>
          <w:lang w:val="fr-FR"/>
        </w:rPr>
        <w:t>Les coûts concernés sont à charge du premier contractant qui prévoit à cet effet les moyens nécessaires dans le budget administratif du Service des soins de santé</w:t>
      </w:r>
    </w:p>
    <w:p w14:paraId="73343F26" w14:textId="77777777" w:rsidR="009474F9" w:rsidRPr="00211B8E" w:rsidRDefault="009474F9" w:rsidP="002C52DA">
      <w:pPr>
        <w:spacing w:after="0" w:line="240" w:lineRule="auto"/>
        <w:ind w:left="1440"/>
        <w:contextualSpacing/>
        <w:jc w:val="both"/>
        <w:rPr>
          <w:lang w:val="fr-FR"/>
        </w:rPr>
      </w:pPr>
    </w:p>
    <w:p w14:paraId="0D87DF1B" w14:textId="138391C7" w:rsidR="00CC5757" w:rsidRPr="004432EF" w:rsidRDefault="00DE2282" w:rsidP="002C52DA">
      <w:pPr>
        <w:jc w:val="both"/>
        <w:rPr>
          <w:b/>
          <w:lang w:val="fr"/>
        </w:rPr>
      </w:pPr>
      <w:r w:rsidRPr="004432EF">
        <w:rPr>
          <w:b/>
          <w:lang w:val="fr"/>
        </w:rPr>
        <w:t xml:space="preserve">Article </w:t>
      </w:r>
      <w:r w:rsidR="00A75258">
        <w:rPr>
          <w:b/>
          <w:lang w:val="fr"/>
        </w:rPr>
        <w:t>6</w:t>
      </w:r>
      <w:r w:rsidR="00CC5757" w:rsidRPr="004432EF">
        <w:rPr>
          <w:b/>
          <w:lang w:val="fr"/>
        </w:rPr>
        <w:t>.</w:t>
      </w:r>
      <w:r w:rsidR="004432EF" w:rsidRPr="004432EF">
        <w:rPr>
          <w:b/>
          <w:lang w:val="fr"/>
        </w:rPr>
        <w:t xml:space="preserve"> Engagements</w:t>
      </w:r>
    </w:p>
    <w:p w14:paraId="40AEFD3A" w14:textId="60A75B20" w:rsidR="009474F9" w:rsidRDefault="00DA7DDD" w:rsidP="002C52DA">
      <w:pPr>
        <w:jc w:val="both"/>
        <w:rPr>
          <w:lang w:val="fr"/>
        </w:rPr>
      </w:pPr>
      <w:r>
        <w:rPr>
          <w:lang w:val="fr"/>
        </w:rPr>
        <w:t xml:space="preserve">Le deuxième contractant  </w:t>
      </w:r>
      <w:r w:rsidR="009474F9">
        <w:rPr>
          <w:lang w:val="fr"/>
        </w:rPr>
        <w:t xml:space="preserve">s’engage à utiliser les moyens financiers </w:t>
      </w:r>
      <w:r w:rsidR="000B20FE">
        <w:rPr>
          <w:lang w:val="fr"/>
        </w:rPr>
        <w:t>mi</w:t>
      </w:r>
      <w:r w:rsidR="009474F9">
        <w:rPr>
          <w:lang w:val="fr"/>
        </w:rPr>
        <w:t>s</w:t>
      </w:r>
      <w:r w:rsidR="000B20FE">
        <w:rPr>
          <w:lang w:val="fr"/>
        </w:rPr>
        <w:t xml:space="preserve"> à disposition</w:t>
      </w:r>
      <w:r w:rsidR="009474F9">
        <w:rPr>
          <w:lang w:val="fr"/>
        </w:rPr>
        <w:t xml:space="preserve"> par l’INAMI exclusivement </w:t>
      </w:r>
      <w:r>
        <w:rPr>
          <w:lang w:val="fr"/>
        </w:rPr>
        <w:t>dans le cadre de la présente convention.</w:t>
      </w:r>
    </w:p>
    <w:p w14:paraId="0602C9E1" w14:textId="7543C737" w:rsidR="00273D05" w:rsidRDefault="00273D05" w:rsidP="00273D05">
      <w:pPr>
        <w:rPr>
          <w:lang w:val="fr"/>
        </w:rPr>
      </w:pPr>
      <w:bookmarkStart w:id="5" w:name="_Hlk136005492"/>
      <w:r>
        <w:rPr>
          <w:lang w:val="fr"/>
        </w:rPr>
        <w:t>Le deuxième contractant doit fournir, tous les 2 mois, un rapport d’activité détaillé qui reprend par prestation le nombre de bénéficiaires .</w:t>
      </w:r>
    </w:p>
    <w:bookmarkEnd w:id="5"/>
    <w:p w14:paraId="0708BA3D" w14:textId="77777777" w:rsidR="007B7DD0" w:rsidRDefault="007B7DD0" w:rsidP="002C52DA">
      <w:pPr>
        <w:jc w:val="both"/>
        <w:rPr>
          <w:b/>
          <w:u w:val="single"/>
          <w:lang w:val="fr"/>
        </w:rPr>
      </w:pPr>
      <w:r>
        <w:rPr>
          <w:b/>
          <w:u w:val="single"/>
          <w:lang w:val="fr"/>
        </w:rPr>
        <w:t>MODALITES GENERALES</w:t>
      </w:r>
    </w:p>
    <w:p w14:paraId="74DD6789" w14:textId="6C55A581" w:rsidR="007B7DD0" w:rsidRDefault="00DE2282" w:rsidP="002C52DA">
      <w:pPr>
        <w:jc w:val="both"/>
        <w:rPr>
          <w:b/>
          <w:lang w:val="fr"/>
        </w:rPr>
      </w:pPr>
      <w:r>
        <w:rPr>
          <w:b/>
          <w:lang w:val="fr"/>
        </w:rPr>
        <w:t xml:space="preserve">Article </w:t>
      </w:r>
      <w:r w:rsidR="00A75258">
        <w:rPr>
          <w:b/>
          <w:lang w:val="fr"/>
        </w:rPr>
        <w:t>7</w:t>
      </w:r>
      <w:r w:rsidR="007B7DD0">
        <w:rPr>
          <w:b/>
          <w:lang w:val="fr"/>
        </w:rPr>
        <w:t>. Responsabilité</w:t>
      </w:r>
    </w:p>
    <w:p w14:paraId="6CD9E781" w14:textId="77777777" w:rsidR="007B7DD0" w:rsidRPr="007B7DD0" w:rsidRDefault="007B7DD0" w:rsidP="002C52DA">
      <w:pPr>
        <w:jc w:val="both"/>
        <w:rPr>
          <w:lang w:val="fr"/>
        </w:rPr>
      </w:pPr>
      <w:r w:rsidRPr="007B7DD0">
        <w:rPr>
          <w:lang w:val="fr"/>
        </w:rPr>
        <w:t>L'exécution de la présente convention ne peut en aucun cas engager une quelconque responsabilité de la part de l'INAMI pour tout accident ou, de manière générale, tout dommage causé aux personnes et biens qui résultent directement ou indirectement de la présente convention.</w:t>
      </w:r>
    </w:p>
    <w:p w14:paraId="7E934010" w14:textId="24CCCAC2" w:rsidR="007B7DD0" w:rsidRDefault="00DE2282" w:rsidP="002C52DA">
      <w:pPr>
        <w:jc w:val="both"/>
        <w:rPr>
          <w:b/>
          <w:lang w:val="fr"/>
        </w:rPr>
      </w:pPr>
      <w:r>
        <w:rPr>
          <w:b/>
          <w:lang w:val="fr"/>
        </w:rPr>
        <w:t xml:space="preserve">Article </w:t>
      </w:r>
      <w:r w:rsidR="00A75258">
        <w:rPr>
          <w:b/>
          <w:lang w:val="fr"/>
        </w:rPr>
        <w:t>8</w:t>
      </w:r>
      <w:r w:rsidR="007B7DD0">
        <w:rPr>
          <w:b/>
          <w:lang w:val="fr"/>
        </w:rPr>
        <w:t xml:space="preserve">. </w:t>
      </w:r>
      <w:r w:rsidR="00E714C9">
        <w:rPr>
          <w:b/>
          <w:lang w:val="fr"/>
        </w:rPr>
        <w:t>Ré</w:t>
      </w:r>
      <w:r w:rsidR="002F48E6">
        <w:rPr>
          <w:b/>
          <w:lang w:val="fr"/>
        </w:rPr>
        <w:t>siliation</w:t>
      </w:r>
    </w:p>
    <w:p w14:paraId="720D9DEB" w14:textId="6813728E" w:rsidR="00E714C9" w:rsidRDefault="00E714C9" w:rsidP="002C52DA">
      <w:pPr>
        <w:spacing w:after="0" w:line="240" w:lineRule="auto"/>
        <w:jc w:val="both"/>
        <w:rPr>
          <w:rFonts w:eastAsia="Times New Roman" w:cs="Times New Roman"/>
          <w:szCs w:val="20"/>
          <w:lang w:val="fr-FR"/>
        </w:rPr>
      </w:pPr>
      <w:r w:rsidRPr="00B71106">
        <w:rPr>
          <w:rFonts w:eastAsia="Times New Roman" w:cs="Times New Roman"/>
          <w:szCs w:val="20"/>
          <w:lang w:val="fr-FR"/>
        </w:rPr>
        <w:t xml:space="preserve">Les deux parties peuvent dénoncer la présente convention par anticipation. </w:t>
      </w:r>
      <w:r w:rsidR="002F48E6" w:rsidRPr="002F48E6">
        <w:rPr>
          <w:lang w:val="fr-FR"/>
        </w:rPr>
        <w:t xml:space="preserve">Le délai de préavis est de </w:t>
      </w:r>
      <w:r w:rsidR="002F48E6">
        <w:rPr>
          <w:lang w:val="fr-FR"/>
        </w:rPr>
        <w:t>2</w:t>
      </w:r>
      <w:r w:rsidR="002F48E6" w:rsidRPr="002F48E6">
        <w:rPr>
          <w:lang w:val="fr-FR"/>
        </w:rPr>
        <w:t xml:space="preserve"> mois et prend cours le premier jour du mois suivant la date d’envoi d’une lettre recommandée ou d’une communication numérique</w:t>
      </w:r>
      <w:r w:rsidR="002F48E6">
        <w:rPr>
          <w:lang w:val="fr-FR"/>
        </w:rPr>
        <w:t xml:space="preserve"> qui</w:t>
      </w:r>
      <w:r w:rsidR="002F48E6" w:rsidRPr="002F48E6">
        <w:rPr>
          <w:lang w:val="fr-FR"/>
        </w:rPr>
        <w:t xml:space="preserve"> y </w:t>
      </w:r>
      <w:r w:rsidR="002F48E6">
        <w:rPr>
          <w:lang w:val="fr-FR"/>
        </w:rPr>
        <w:t xml:space="preserve">est </w:t>
      </w:r>
      <w:r w:rsidR="002F48E6" w:rsidRPr="002F48E6">
        <w:rPr>
          <w:lang w:val="fr-FR"/>
        </w:rPr>
        <w:t>assimilée</w:t>
      </w:r>
      <w:r w:rsidR="002F48E6">
        <w:rPr>
          <w:lang w:val="fr-FR"/>
        </w:rPr>
        <w:t>.</w:t>
      </w:r>
      <w:r w:rsidR="002F48E6" w:rsidRPr="00B71106" w:rsidDel="002F48E6">
        <w:rPr>
          <w:rFonts w:eastAsia="Times New Roman" w:cs="Times New Roman"/>
          <w:szCs w:val="20"/>
          <w:lang w:val="fr-FR"/>
        </w:rPr>
        <w:t xml:space="preserve"> </w:t>
      </w:r>
    </w:p>
    <w:p w14:paraId="561185E1" w14:textId="648B572C" w:rsidR="002F48E6" w:rsidRDefault="002F48E6" w:rsidP="002C52DA">
      <w:pPr>
        <w:spacing w:after="0" w:line="240" w:lineRule="auto"/>
        <w:jc w:val="both"/>
        <w:rPr>
          <w:rFonts w:eastAsia="Times New Roman" w:cs="Times New Roman"/>
          <w:szCs w:val="20"/>
          <w:lang w:val="fr-FR"/>
        </w:rPr>
      </w:pPr>
      <w:r w:rsidRPr="002F48E6">
        <w:rPr>
          <w:rFonts w:eastAsia="Times New Roman" w:cs="Times New Roman"/>
          <w:szCs w:val="20"/>
          <w:lang w:val="fr-FR"/>
        </w:rPr>
        <w:lastRenderedPageBreak/>
        <w:t xml:space="preserve">Si l'INAMI constate des manquements graves de la part de l'établissement de soins, </w:t>
      </w:r>
      <w:r>
        <w:rPr>
          <w:rFonts w:eastAsia="Times New Roman" w:cs="Times New Roman"/>
          <w:szCs w:val="20"/>
          <w:lang w:val="fr-FR"/>
        </w:rPr>
        <w:t>il</w:t>
      </w:r>
      <w:r w:rsidRPr="002F48E6">
        <w:rPr>
          <w:rFonts w:eastAsia="Times New Roman" w:cs="Times New Roman"/>
          <w:szCs w:val="20"/>
          <w:lang w:val="fr-FR"/>
        </w:rPr>
        <w:t xml:space="preserve"> peut résilier l</w:t>
      </w:r>
      <w:r>
        <w:rPr>
          <w:rFonts w:eastAsia="Times New Roman" w:cs="Times New Roman"/>
          <w:szCs w:val="20"/>
          <w:lang w:val="fr-FR"/>
        </w:rPr>
        <w:t xml:space="preserve">a présente convention </w:t>
      </w:r>
      <w:r w:rsidRPr="002F48E6">
        <w:rPr>
          <w:rFonts w:eastAsia="Times New Roman" w:cs="Times New Roman"/>
          <w:szCs w:val="20"/>
          <w:lang w:val="fr-FR"/>
        </w:rPr>
        <w:t>avec effet immédiat</w:t>
      </w:r>
      <w:r>
        <w:rPr>
          <w:rFonts w:eastAsia="Times New Roman" w:cs="Times New Roman"/>
          <w:szCs w:val="20"/>
          <w:lang w:val="fr-FR"/>
        </w:rPr>
        <w:t xml:space="preserve">. </w:t>
      </w:r>
    </w:p>
    <w:p w14:paraId="509C21CD" w14:textId="75E52884" w:rsidR="00252186" w:rsidRPr="00B71106" w:rsidRDefault="00252186" w:rsidP="002C52DA">
      <w:pPr>
        <w:spacing w:after="0" w:line="240" w:lineRule="auto"/>
        <w:jc w:val="both"/>
        <w:rPr>
          <w:rFonts w:eastAsia="Times New Roman" w:cs="Times New Roman"/>
          <w:szCs w:val="20"/>
          <w:lang w:val="fr-FR"/>
        </w:rPr>
      </w:pPr>
      <w:r>
        <w:rPr>
          <w:rFonts w:eastAsia="Times New Roman" w:cs="Times New Roman"/>
          <w:szCs w:val="20"/>
          <w:lang w:val="fr-FR"/>
        </w:rPr>
        <w:t>Après la résiliation, l’établissement hospitalier doit fournir immédiatement un rapport d’activité détaillé.</w:t>
      </w:r>
    </w:p>
    <w:p w14:paraId="0F70472C" w14:textId="77777777" w:rsidR="00E714C9" w:rsidRPr="00E714C9" w:rsidRDefault="00E714C9" w:rsidP="002C52DA">
      <w:pPr>
        <w:jc w:val="both"/>
        <w:rPr>
          <w:b/>
          <w:lang w:val="fr-FR"/>
        </w:rPr>
      </w:pPr>
    </w:p>
    <w:p w14:paraId="61670DC4" w14:textId="7C570178" w:rsidR="007B7DD0" w:rsidRDefault="007B7DD0" w:rsidP="002C52DA">
      <w:pPr>
        <w:jc w:val="both"/>
        <w:rPr>
          <w:b/>
          <w:lang w:val="fr"/>
        </w:rPr>
      </w:pPr>
      <w:r>
        <w:rPr>
          <w:b/>
          <w:lang w:val="fr"/>
        </w:rPr>
        <w:t xml:space="preserve">Article </w:t>
      </w:r>
      <w:r w:rsidR="00A75258">
        <w:rPr>
          <w:b/>
          <w:lang w:val="fr"/>
        </w:rPr>
        <w:t>9</w:t>
      </w:r>
      <w:r>
        <w:rPr>
          <w:b/>
          <w:lang w:val="fr"/>
        </w:rPr>
        <w:t>. Compétence</w:t>
      </w:r>
    </w:p>
    <w:p w14:paraId="49880D8A" w14:textId="77777777" w:rsidR="007B7DD0" w:rsidRPr="007B7DD0" w:rsidRDefault="007B7DD0" w:rsidP="002C52DA">
      <w:pPr>
        <w:spacing w:after="120"/>
        <w:jc w:val="both"/>
        <w:rPr>
          <w:lang w:val="fr"/>
        </w:rPr>
      </w:pPr>
      <w:r w:rsidRPr="007B7DD0">
        <w:rPr>
          <w:lang w:val="fr"/>
        </w:rPr>
        <w:t>Les tribunaux de Bruxelles sont seuls compétents pour trancher tout litige relatif à la présente convention.</w:t>
      </w:r>
    </w:p>
    <w:p w14:paraId="037C5236" w14:textId="33593947" w:rsidR="007B7DD0" w:rsidRDefault="007B7DD0" w:rsidP="002C52DA">
      <w:pPr>
        <w:spacing w:after="120"/>
        <w:jc w:val="both"/>
        <w:rPr>
          <w:lang w:val="fr"/>
        </w:rPr>
      </w:pPr>
    </w:p>
    <w:p w14:paraId="09A285CE" w14:textId="77777777" w:rsidR="002C52DA" w:rsidRPr="00F7671C" w:rsidRDefault="002C52DA" w:rsidP="002C52DA">
      <w:pPr>
        <w:jc w:val="both"/>
        <w:rPr>
          <w:b/>
          <w:u w:val="single"/>
          <w:lang w:val="fr-BE"/>
        </w:rPr>
      </w:pPr>
      <w:r w:rsidRPr="00F7671C">
        <w:rPr>
          <w:b/>
          <w:u w:val="single"/>
          <w:lang w:val="fr-BE"/>
        </w:rPr>
        <w:t>D</w:t>
      </w:r>
      <w:r>
        <w:rPr>
          <w:b/>
          <w:u w:val="single"/>
          <w:lang w:val="fr-BE"/>
        </w:rPr>
        <w:t>UREE DE LA CONVENTION</w:t>
      </w:r>
    </w:p>
    <w:p w14:paraId="3AF3DA79" w14:textId="3D804AFE" w:rsidR="002C52DA" w:rsidRPr="004432EF" w:rsidRDefault="002C52DA" w:rsidP="002C52DA">
      <w:pPr>
        <w:jc w:val="both"/>
        <w:rPr>
          <w:b/>
          <w:lang w:val="fr-BE"/>
        </w:rPr>
      </w:pPr>
      <w:r w:rsidRPr="00A75258">
        <w:rPr>
          <w:b/>
          <w:lang w:val="fr-BE"/>
        </w:rPr>
        <w:t xml:space="preserve">Article </w:t>
      </w:r>
      <w:r w:rsidR="00A75258" w:rsidRPr="00A75258">
        <w:rPr>
          <w:b/>
          <w:lang w:val="fr-BE"/>
        </w:rPr>
        <w:t>10</w:t>
      </w:r>
      <w:r w:rsidRPr="00A75258">
        <w:rPr>
          <w:b/>
          <w:lang w:val="fr-BE"/>
        </w:rPr>
        <w:t>.</w:t>
      </w:r>
    </w:p>
    <w:p w14:paraId="381114FF" w14:textId="44D94391" w:rsidR="002C52DA" w:rsidRPr="00AA5402" w:rsidRDefault="002C52DA" w:rsidP="002C52DA">
      <w:pPr>
        <w:jc w:val="both"/>
        <w:rPr>
          <w:bCs/>
          <w:lang w:val="fr-BE"/>
        </w:rPr>
      </w:pPr>
      <w:r w:rsidRPr="00AA5402">
        <w:rPr>
          <w:bCs/>
          <w:lang w:val="fr-BE"/>
        </w:rPr>
        <w:t xml:space="preserve">La présente convention </w:t>
      </w:r>
      <w:r>
        <w:rPr>
          <w:bCs/>
          <w:lang w:val="fr-BE"/>
        </w:rPr>
        <w:t xml:space="preserve">entre en vigueur </w:t>
      </w:r>
      <w:r w:rsidR="00AF322E">
        <w:rPr>
          <w:bCs/>
          <w:lang w:val="fr-BE"/>
        </w:rPr>
        <w:t>le 15 juin</w:t>
      </w:r>
      <w:r>
        <w:rPr>
          <w:bCs/>
          <w:lang w:val="fr-BE"/>
        </w:rPr>
        <w:t xml:space="preserve"> 2023 pour une durée de maximum 2 ans</w:t>
      </w:r>
      <w:r w:rsidR="00AF322E">
        <w:rPr>
          <w:bCs/>
          <w:lang w:val="fr-BE"/>
        </w:rPr>
        <w:t>.</w:t>
      </w:r>
      <w:r>
        <w:rPr>
          <w:bCs/>
          <w:lang w:val="fr-BE"/>
        </w:rPr>
        <w:t xml:space="preserve"> </w:t>
      </w:r>
    </w:p>
    <w:p w14:paraId="00F71C3C" w14:textId="2302C932" w:rsidR="002C52DA" w:rsidRPr="002C52DA" w:rsidRDefault="002C52DA" w:rsidP="002C52DA">
      <w:pPr>
        <w:spacing w:after="120"/>
        <w:jc w:val="both"/>
        <w:rPr>
          <w:lang w:val="fr-BE"/>
        </w:rPr>
      </w:pPr>
    </w:p>
    <w:p w14:paraId="3CED3AC3" w14:textId="73F427A3" w:rsidR="002C52DA" w:rsidRDefault="002C52DA" w:rsidP="002C52DA">
      <w:pPr>
        <w:spacing w:after="120"/>
        <w:jc w:val="both"/>
        <w:rPr>
          <w:lang w:val="fr"/>
        </w:rPr>
      </w:pPr>
    </w:p>
    <w:p w14:paraId="78A183CF" w14:textId="674A961B" w:rsidR="002C52DA" w:rsidRDefault="002C52DA" w:rsidP="002C52DA">
      <w:pPr>
        <w:spacing w:after="120"/>
        <w:jc w:val="both"/>
        <w:rPr>
          <w:lang w:val="fr"/>
        </w:rPr>
      </w:pPr>
    </w:p>
    <w:p w14:paraId="336D7807" w14:textId="77777777" w:rsidR="002C52DA" w:rsidRPr="007B7DD0" w:rsidRDefault="002C52DA" w:rsidP="002C52DA">
      <w:pPr>
        <w:spacing w:after="120"/>
        <w:jc w:val="both"/>
        <w:rPr>
          <w:lang w:val="fr"/>
        </w:rPr>
      </w:pPr>
    </w:p>
    <w:p w14:paraId="536A8462" w14:textId="77777777" w:rsidR="007B7DD0" w:rsidRPr="007B7DD0" w:rsidRDefault="007B7DD0" w:rsidP="002C52DA">
      <w:pPr>
        <w:jc w:val="both"/>
        <w:rPr>
          <w:lang w:val="fr"/>
        </w:rPr>
      </w:pPr>
      <w:r w:rsidRPr="007B7DD0">
        <w:rPr>
          <w:lang w:val="fr"/>
        </w:rPr>
        <w:t xml:space="preserve">Fait en 2 exemplaires à Bruxelles, le  …. </w:t>
      </w:r>
    </w:p>
    <w:p w14:paraId="3865883B" w14:textId="278B66B4" w:rsidR="007B7DD0" w:rsidRPr="007B7DD0" w:rsidRDefault="007B7DD0" w:rsidP="002C52DA">
      <w:pPr>
        <w:jc w:val="both"/>
        <w:rPr>
          <w:lang w:val="fr"/>
        </w:rPr>
      </w:pPr>
    </w:p>
    <w:p w14:paraId="2A28171A" w14:textId="5EDF826F" w:rsidR="007B7DD0" w:rsidRPr="007B7DD0" w:rsidDel="00EE3D4A" w:rsidRDefault="007B7DD0" w:rsidP="002C52DA">
      <w:pPr>
        <w:jc w:val="both"/>
        <w:rPr>
          <w:lang w:val="fr"/>
        </w:rPr>
      </w:pPr>
      <w:r w:rsidRPr="007B7DD0" w:rsidDel="00EE3D4A">
        <w:rPr>
          <w:lang w:val="fr"/>
        </w:rPr>
        <w:t>Chaque partie reconnaît avoir reçu un exemplaire original.</w:t>
      </w:r>
    </w:p>
    <w:p w14:paraId="5F0B07DA" w14:textId="071B89B7" w:rsidR="007B7DD0" w:rsidRDefault="007B7DD0" w:rsidP="002C52DA">
      <w:pPr>
        <w:spacing w:after="0"/>
        <w:jc w:val="both"/>
        <w:rPr>
          <w:lang w:val="fr"/>
        </w:rPr>
      </w:pPr>
      <w:r w:rsidRPr="007B7DD0">
        <w:rPr>
          <w:lang w:val="fr"/>
        </w:rPr>
        <w:t>Pour l'INAMI,</w:t>
      </w:r>
      <w:r w:rsidRPr="007B7DD0">
        <w:rPr>
          <w:lang w:val="fr"/>
        </w:rPr>
        <w:tab/>
      </w:r>
      <w:r w:rsidRPr="007B7DD0">
        <w:rPr>
          <w:lang w:val="fr"/>
        </w:rPr>
        <w:tab/>
      </w:r>
      <w:r w:rsidRPr="007B7DD0">
        <w:rPr>
          <w:lang w:val="fr"/>
        </w:rPr>
        <w:tab/>
        <w:t xml:space="preserve">         </w:t>
      </w:r>
      <w:r w:rsidRPr="007B7DD0">
        <w:rPr>
          <w:lang w:val="fr"/>
        </w:rPr>
        <w:tab/>
      </w:r>
      <w:r w:rsidRPr="007B7DD0">
        <w:rPr>
          <w:lang w:val="fr"/>
        </w:rPr>
        <w:tab/>
      </w:r>
      <w:r w:rsidRPr="007B7DD0">
        <w:rPr>
          <w:lang w:val="fr"/>
        </w:rPr>
        <w:tab/>
        <w:t xml:space="preserve">Pour </w:t>
      </w:r>
      <w:r w:rsidR="00162A36" w:rsidRPr="00162A36">
        <w:rPr>
          <w:lang w:val="fr"/>
        </w:rPr>
        <w:t>le premier contractant</w:t>
      </w:r>
      <w:r w:rsidR="00D62379">
        <w:rPr>
          <w:lang w:val="fr"/>
        </w:rPr>
        <w:t>,</w:t>
      </w:r>
    </w:p>
    <w:p w14:paraId="45391401" w14:textId="189E2933" w:rsidR="00D02D7D" w:rsidRPr="004432EF" w:rsidRDefault="00D02D7D" w:rsidP="002C52DA">
      <w:pPr>
        <w:spacing w:after="0"/>
        <w:jc w:val="both"/>
        <w:rPr>
          <w:bCs/>
          <w:lang w:val="fr"/>
        </w:rPr>
      </w:pPr>
      <w:r>
        <w:rPr>
          <w:lang w:val="fr"/>
        </w:rPr>
        <w:t xml:space="preserve">Le fonctionnaire dirigeant </w:t>
      </w:r>
      <w:r w:rsidR="00162A36">
        <w:rPr>
          <w:lang w:val="fr"/>
        </w:rPr>
        <w:tab/>
      </w:r>
      <w:r w:rsidR="00162A36">
        <w:rPr>
          <w:lang w:val="fr"/>
        </w:rPr>
        <w:tab/>
      </w:r>
      <w:r w:rsidR="00162A36">
        <w:rPr>
          <w:lang w:val="fr"/>
        </w:rPr>
        <w:tab/>
      </w:r>
      <w:r w:rsidR="00162A36">
        <w:rPr>
          <w:lang w:val="fr"/>
        </w:rPr>
        <w:tab/>
      </w:r>
      <w:r w:rsidR="004432EF" w:rsidRPr="004432EF">
        <w:rPr>
          <w:bCs/>
          <w:lang w:val="fr-FR"/>
        </w:rPr>
        <w:t>Le</w:t>
      </w:r>
      <w:r w:rsidR="004432EF" w:rsidRPr="004432EF">
        <w:rPr>
          <w:rFonts w:ascii="Arial" w:eastAsia="Calibri" w:hAnsi="Arial" w:cs="Arial"/>
          <w:bCs/>
          <w:sz w:val="20"/>
          <w:szCs w:val="20"/>
          <w:lang w:val="fr-FR"/>
        </w:rPr>
        <w:t xml:space="preserve"> </w:t>
      </w:r>
      <w:r w:rsidR="004432EF" w:rsidRPr="004432EF">
        <w:rPr>
          <w:bCs/>
          <w:lang w:val="fr-FR"/>
        </w:rPr>
        <w:t>directeur de l’établissement hospitalier</w:t>
      </w:r>
      <w:r w:rsidR="004432EF" w:rsidRPr="004432EF">
        <w:rPr>
          <w:bCs/>
          <w:vertAlign w:val="superscript"/>
          <w:lang w:val="fr-FR"/>
        </w:rPr>
        <w:footnoteReference w:id="2"/>
      </w:r>
      <w:r w:rsidR="004432EF" w:rsidRPr="004432EF">
        <w:rPr>
          <w:bCs/>
          <w:lang w:val="fr-FR"/>
        </w:rPr>
        <w:t xml:space="preserve">  </w:t>
      </w:r>
    </w:p>
    <w:p w14:paraId="39C15416" w14:textId="77777777" w:rsidR="007B7DD0" w:rsidRPr="007B7DD0" w:rsidRDefault="007B7DD0" w:rsidP="002C52DA">
      <w:pPr>
        <w:jc w:val="both"/>
        <w:rPr>
          <w:lang w:val="fr"/>
        </w:rPr>
      </w:pPr>
    </w:p>
    <w:p w14:paraId="48C3B525" w14:textId="6E31BB24" w:rsidR="007B7DD0" w:rsidRDefault="007B7DD0" w:rsidP="002C52DA">
      <w:pPr>
        <w:jc w:val="both"/>
        <w:rPr>
          <w:lang w:val="fr"/>
        </w:rPr>
      </w:pPr>
    </w:p>
    <w:p w14:paraId="04E533D7" w14:textId="680277F9" w:rsidR="003F711C" w:rsidRDefault="003F711C" w:rsidP="002C52DA">
      <w:pPr>
        <w:jc w:val="both"/>
        <w:rPr>
          <w:lang w:val="fr"/>
        </w:rPr>
      </w:pPr>
    </w:p>
    <w:p w14:paraId="41C1867D" w14:textId="38514CFE" w:rsidR="003F711C" w:rsidRDefault="003F711C" w:rsidP="002C52DA">
      <w:pPr>
        <w:jc w:val="both"/>
        <w:rPr>
          <w:lang w:val="fr"/>
        </w:rPr>
      </w:pPr>
    </w:p>
    <w:p w14:paraId="22036F1D" w14:textId="77777777" w:rsidR="003F711C" w:rsidRPr="007B7DD0" w:rsidRDefault="003F711C" w:rsidP="002C52DA">
      <w:pPr>
        <w:jc w:val="both"/>
        <w:rPr>
          <w:lang w:val="fr"/>
        </w:rPr>
      </w:pPr>
    </w:p>
    <w:p w14:paraId="2EE18826" w14:textId="7D603997" w:rsidR="004432EF" w:rsidRPr="00AA46D9" w:rsidRDefault="00C61B5B" w:rsidP="002C52DA">
      <w:pPr>
        <w:spacing w:after="120"/>
        <w:jc w:val="both"/>
        <w:rPr>
          <w:lang w:val="fr-FR"/>
        </w:rPr>
      </w:pPr>
      <w:r w:rsidRPr="00AA46D9">
        <w:rPr>
          <w:lang w:val="fr-FR"/>
        </w:rPr>
        <w:t>Mickael DAUBIE</w:t>
      </w:r>
      <w:r w:rsidR="007B7DD0" w:rsidRPr="00AA46D9">
        <w:rPr>
          <w:lang w:val="fr-FR"/>
        </w:rPr>
        <w:tab/>
      </w:r>
      <w:r w:rsidR="007B7DD0" w:rsidRPr="00AA46D9">
        <w:rPr>
          <w:lang w:val="fr-FR"/>
        </w:rPr>
        <w:tab/>
      </w:r>
      <w:r w:rsidR="007B7DD0" w:rsidRPr="00AA46D9">
        <w:rPr>
          <w:lang w:val="fr-FR"/>
        </w:rPr>
        <w:tab/>
      </w:r>
      <w:r w:rsidR="007B7DD0" w:rsidRPr="00AA46D9">
        <w:rPr>
          <w:lang w:val="fr-FR"/>
        </w:rPr>
        <w:tab/>
      </w:r>
      <w:r w:rsidR="007B7DD0" w:rsidRPr="00AA46D9">
        <w:rPr>
          <w:lang w:val="fr-FR"/>
        </w:rPr>
        <w:tab/>
      </w:r>
    </w:p>
    <w:p w14:paraId="4F026E29" w14:textId="2BD12CAD" w:rsidR="00C2390C" w:rsidRPr="00AA46D9" w:rsidRDefault="00D02D7D" w:rsidP="00582E3F">
      <w:pPr>
        <w:spacing w:after="0"/>
        <w:jc w:val="both"/>
        <w:rPr>
          <w:sz w:val="24"/>
          <w:szCs w:val="24"/>
          <w:lang w:val="fr-FR"/>
        </w:rPr>
      </w:pPr>
      <w:r w:rsidRPr="004432EF">
        <w:rPr>
          <w:lang w:val="fr-FR"/>
        </w:rPr>
        <w:t>Directeur-</w:t>
      </w:r>
      <w:r w:rsidR="007B7DD0" w:rsidRPr="004432EF">
        <w:rPr>
          <w:lang w:val="fr-FR"/>
        </w:rPr>
        <w:t xml:space="preserve">général </w:t>
      </w:r>
      <w:r w:rsidR="004432EF" w:rsidRPr="004432EF">
        <w:rPr>
          <w:lang w:val="fr-FR"/>
        </w:rPr>
        <w:t xml:space="preserve"> </w:t>
      </w:r>
      <w:r>
        <w:rPr>
          <w:lang w:val="fr"/>
        </w:rPr>
        <w:t>d</w:t>
      </w:r>
      <w:r w:rsidRPr="00D02D7D">
        <w:rPr>
          <w:lang w:val="fr"/>
        </w:rPr>
        <w:t>es soins de santé</w:t>
      </w:r>
    </w:p>
    <w:sectPr w:rsidR="00C2390C" w:rsidRPr="00AA46D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BF8E6" w14:textId="77777777" w:rsidR="0045794C" w:rsidRDefault="0045794C" w:rsidP="00A30DD1">
      <w:pPr>
        <w:spacing w:after="0" w:line="240" w:lineRule="auto"/>
      </w:pPr>
      <w:r>
        <w:separator/>
      </w:r>
    </w:p>
  </w:endnote>
  <w:endnote w:type="continuationSeparator" w:id="0">
    <w:p w14:paraId="0B147046" w14:textId="77777777" w:rsidR="0045794C" w:rsidRDefault="0045794C" w:rsidP="00A30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740F09" w14:textId="77777777" w:rsidR="0045794C" w:rsidRDefault="0045794C" w:rsidP="00A30DD1">
      <w:pPr>
        <w:spacing w:after="0" w:line="240" w:lineRule="auto"/>
      </w:pPr>
      <w:r>
        <w:separator/>
      </w:r>
    </w:p>
  </w:footnote>
  <w:footnote w:type="continuationSeparator" w:id="0">
    <w:p w14:paraId="3E26E70E" w14:textId="77777777" w:rsidR="0045794C" w:rsidRDefault="0045794C" w:rsidP="00A30DD1">
      <w:pPr>
        <w:spacing w:after="0" w:line="240" w:lineRule="auto"/>
      </w:pPr>
      <w:r>
        <w:continuationSeparator/>
      </w:r>
    </w:p>
  </w:footnote>
  <w:footnote w:id="1">
    <w:p w14:paraId="33B00D9B" w14:textId="523C8AC5" w:rsidR="00A30DD1" w:rsidRPr="00ED241A" w:rsidRDefault="00A30DD1">
      <w:pPr>
        <w:pStyle w:val="Notedebasdepage"/>
        <w:rPr>
          <w:lang w:val="fr-FR"/>
        </w:rPr>
      </w:pPr>
      <w:r>
        <w:rPr>
          <w:rStyle w:val="Appelnotedebasdep"/>
        </w:rPr>
        <w:footnoteRef/>
      </w:r>
      <w:r w:rsidRPr="00A30DD1">
        <w:rPr>
          <w:lang w:val="fr-FR"/>
        </w:rPr>
        <w:t xml:space="preserve"> </w:t>
      </w:r>
      <w:hyperlink r:id="rId1" w:history="1">
        <w:r w:rsidRPr="00A30DD1">
          <w:rPr>
            <w:rStyle w:val="Lienhypertexte"/>
            <w:lang w:val="fr-FR"/>
          </w:rPr>
          <w:t xml:space="preserve">Disponibilité limitée de thrombolytiques : recommandations à l’attention des pharmaciens hospitaliers et médecins spécialistes. </w:t>
        </w:r>
        <w:r w:rsidRPr="00ED241A">
          <w:rPr>
            <w:rStyle w:val="Lienhypertexte"/>
            <w:lang w:val="fr-FR"/>
          </w:rPr>
          <w:t>| AFMPS</w:t>
        </w:r>
      </w:hyperlink>
    </w:p>
  </w:footnote>
  <w:footnote w:id="2">
    <w:p w14:paraId="3B385C2C" w14:textId="77777777" w:rsidR="004432EF" w:rsidRPr="00DE35E5" w:rsidRDefault="004432EF" w:rsidP="004432EF">
      <w:pPr>
        <w:pStyle w:val="Notedebasdepage"/>
        <w:rPr>
          <w:lang w:val="fr-BE"/>
        </w:rPr>
      </w:pPr>
      <w:r>
        <w:rPr>
          <w:rStyle w:val="Appelnotedebasdep"/>
        </w:rPr>
        <w:footnoteRef/>
      </w:r>
      <w:r w:rsidRPr="00DE35E5">
        <w:rPr>
          <w:lang w:val="fr-BE"/>
        </w:rPr>
        <w:t xml:space="preserve"> </w:t>
      </w:r>
      <w:r w:rsidRPr="003D5DDE">
        <w:rPr>
          <w:sz w:val="16"/>
          <w:szCs w:val="16"/>
          <w:lang w:val="fr-BE"/>
        </w:rPr>
        <w:t>Loi relative aux hôpitaux et à d’autres établissements de soins, coordonnée le 10 juillet 2008, publiée au Moniteur Belge le 7 novembre 2008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F0829"/>
    <w:multiLevelType w:val="hybridMultilevel"/>
    <w:tmpl w:val="7B2E178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0EAF76F1"/>
    <w:multiLevelType w:val="hybridMultilevel"/>
    <w:tmpl w:val="A2CCF12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1400993"/>
    <w:multiLevelType w:val="hybridMultilevel"/>
    <w:tmpl w:val="F384B3BE"/>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198832E8"/>
    <w:multiLevelType w:val="hybridMultilevel"/>
    <w:tmpl w:val="28FA484C"/>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 w15:restartNumberingAfterBreak="0">
    <w:nsid w:val="1E486845"/>
    <w:multiLevelType w:val="hybridMultilevel"/>
    <w:tmpl w:val="B846D2A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55A3129"/>
    <w:multiLevelType w:val="hybridMultilevel"/>
    <w:tmpl w:val="4C92D096"/>
    <w:lvl w:ilvl="0" w:tplc="08130011">
      <w:start w:val="1"/>
      <w:numFmt w:val="decimal"/>
      <w:lvlText w:val="%1)"/>
      <w:lvlJc w:val="left"/>
      <w:pPr>
        <w:ind w:left="1440" w:hanging="360"/>
      </w:pPr>
    </w:lvl>
    <w:lvl w:ilvl="1" w:tplc="08130019" w:tentative="1">
      <w:start w:val="1"/>
      <w:numFmt w:val="lowerLetter"/>
      <w:lvlText w:val="%2."/>
      <w:lvlJc w:val="left"/>
      <w:pPr>
        <w:ind w:left="2160" w:hanging="360"/>
      </w:pPr>
    </w:lvl>
    <w:lvl w:ilvl="2" w:tplc="0813001B" w:tentative="1">
      <w:start w:val="1"/>
      <w:numFmt w:val="lowerRoman"/>
      <w:lvlText w:val="%3."/>
      <w:lvlJc w:val="right"/>
      <w:pPr>
        <w:ind w:left="2880" w:hanging="180"/>
      </w:pPr>
    </w:lvl>
    <w:lvl w:ilvl="3" w:tplc="0813000F" w:tentative="1">
      <w:start w:val="1"/>
      <w:numFmt w:val="decimal"/>
      <w:lvlText w:val="%4."/>
      <w:lvlJc w:val="left"/>
      <w:pPr>
        <w:ind w:left="3600" w:hanging="360"/>
      </w:pPr>
    </w:lvl>
    <w:lvl w:ilvl="4" w:tplc="08130019" w:tentative="1">
      <w:start w:val="1"/>
      <w:numFmt w:val="lowerLetter"/>
      <w:lvlText w:val="%5."/>
      <w:lvlJc w:val="left"/>
      <w:pPr>
        <w:ind w:left="4320" w:hanging="360"/>
      </w:pPr>
    </w:lvl>
    <w:lvl w:ilvl="5" w:tplc="0813001B" w:tentative="1">
      <w:start w:val="1"/>
      <w:numFmt w:val="lowerRoman"/>
      <w:lvlText w:val="%6."/>
      <w:lvlJc w:val="right"/>
      <w:pPr>
        <w:ind w:left="5040" w:hanging="180"/>
      </w:pPr>
    </w:lvl>
    <w:lvl w:ilvl="6" w:tplc="0813000F" w:tentative="1">
      <w:start w:val="1"/>
      <w:numFmt w:val="decimal"/>
      <w:lvlText w:val="%7."/>
      <w:lvlJc w:val="left"/>
      <w:pPr>
        <w:ind w:left="5760" w:hanging="360"/>
      </w:pPr>
    </w:lvl>
    <w:lvl w:ilvl="7" w:tplc="08130019" w:tentative="1">
      <w:start w:val="1"/>
      <w:numFmt w:val="lowerLetter"/>
      <w:lvlText w:val="%8."/>
      <w:lvlJc w:val="left"/>
      <w:pPr>
        <w:ind w:left="6480" w:hanging="360"/>
      </w:pPr>
    </w:lvl>
    <w:lvl w:ilvl="8" w:tplc="0813001B" w:tentative="1">
      <w:start w:val="1"/>
      <w:numFmt w:val="lowerRoman"/>
      <w:lvlText w:val="%9."/>
      <w:lvlJc w:val="right"/>
      <w:pPr>
        <w:ind w:left="7200" w:hanging="180"/>
      </w:pPr>
    </w:lvl>
  </w:abstractNum>
  <w:abstractNum w:abstractNumId="6" w15:restartNumberingAfterBreak="0">
    <w:nsid w:val="32470D0D"/>
    <w:multiLevelType w:val="hybridMultilevel"/>
    <w:tmpl w:val="CD2E0194"/>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7" w15:restartNumberingAfterBreak="0">
    <w:nsid w:val="3FFA2B6D"/>
    <w:multiLevelType w:val="hybridMultilevel"/>
    <w:tmpl w:val="86FA9E20"/>
    <w:lvl w:ilvl="0" w:tplc="45B6B146">
      <w:start w:val="5"/>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19F45B2"/>
    <w:multiLevelType w:val="hybridMultilevel"/>
    <w:tmpl w:val="38800A4C"/>
    <w:lvl w:ilvl="0" w:tplc="04090003">
      <w:start w:val="1"/>
      <w:numFmt w:val="bullet"/>
      <w:lvlText w:val="o"/>
      <w:lvlJc w:val="left"/>
      <w:pPr>
        <w:ind w:left="1776" w:hanging="360"/>
      </w:pPr>
      <w:rPr>
        <w:rFonts w:ascii="Courier New" w:hAnsi="Courier New" w:cs="Courier New" w:hint="default"/>
      </w:rPr>
    </w:lvl>
    <w:lvl w:ilvl="1" w:tplc="04090005">
      <w:start w:val="1"/>
      <w:numFmt w:val="bullet"/>
      <w:lvlText w:val=""/>
      <w:lvlJc w:val="left"/>
      <w:pPr>
        <w:ind w:left="2496" w:hanging="360"/>
      </w:pPr>
      <w:rPr>
        <w:rFonts w:ascii="Wingdings" w:hAnsi="Wingdings" w:hint="default"/>
      </w:rPr>
    </w:lvl>
    <w:lvl w:ilvl="2" w:tplc="08130005">
      <w:start w:val="1"/>
      <w:numFmt w:val="bullet"/>
      <w:lvlText w:val=""/>
      <w:lvlJc w:val="left"/>
      <w:pPr>
        <w:ind w:left="3216" w:hanging="360"/>
      </w:pPr>
      <w:rPr>
        <w:rFonts w:ascii="Wingdings" w:hAnsi="Wingdings" w:hint="default"/>
      </w:rPr>
    </w:lvl>
    <w:lvl w:ilvl="3" w:tplc="08130001" w:tentative="1">
      <w:start w:val="1"/>
      <w:numFmt w:val="bullet"/>
      <w:lvlText w:val=""/>
      <w:lvlJc w:val="left"/>
      <w:pPr>
        <w:ind w:left="3936" w:hanging="360"/>
      </w:pPr>
      <w:rPr>
        <w:rFonts w:ascii="Symbol" w:hAnsi="Symbol" w:hint="default"/>
      </w:rPr>
    </w:lvl>
    <w:lvl w:ilvl="4" w:tplc="08130003" w:tentative="1">
      <w:start w:val="1"/>
      <w:numFmt w:val="bullet"/>
      <w:lvlText w:val="o"/>
      <w:lvlJc w:val="left"/>
      <w:pPr>
        <w:ind w:left="4656" w:hanging="360"/>
      </w:pPr>
      <w:rPr>
        <w:rFonts w:ascii="Courier New" w:hAnsi="Courier New" w:cs="Courier New" w:hint="default"/>
      </w:rPr>
    </w:lvl>
    <w:lvl w:ilvl="5" w:tplc="08130005" w:tentative="1">
      <w:start w:val="1"/>
      <w:numFmt w:val="bullet"/>
      <w:lvlText w:val=""/>
      <w:lvlJc w:val="left"/>
      <w:pPr>
        <w:ind w:left="5376" w:hanging="360"/>
      </w:pPr>
      <w:rPr>
        <w:rFonts w:ascii="Wingdings" w:hAnsi="Wingdings" w:hint="default"/>
      </w:rPr>
    </w:lvl>
    <w:lvl w:ilvl="6" w:tplc="08130001" w:tentative="1">
      <w:start w:val="1"/>
      <w:numFmt w:val="bullet"/>
      <w:lvlText w:val=""/>
      <w:lvlJc w:val="left"/>
      <w:pPr>
        <w:ind w:left="6096" w:hanging="360"/>
      </w:pPr>
      <w:rPr>
        <w:rFonts w:ascii="Symbol" w:hAnsi="Symbol" w:hint="default"/>
      </w:rPr>
    </w:lvl>
    <w:lvl w:ilvl="7" w:tplc="08130003" w:tentative="1">
      <w:start w:val="1"/>
      <w:numFmt w:val="bullet"/>
      <w:lvlText w:val="o"/>
      <w:lvlJc w:val="left"/>
      <w:pPr>
        <w:ind w:left="6816" w:hanging="360"/>
      </w:pPr>
      <w:rPr>
        <w:rFonts w:ascii="Courier New" w:hAnsi="Courier New" w:cs="Courier New" w:hint="default"/>
      </w:rPr>
    </w:lvl>
    <w:lvl w:ilvl="8" w:tplc="08130005" w:tentative="1">
      <w:start w:val="1"/>
      <w:numFmt w:val="bullet"/>
      <w:lvlText w:val=""/>
      <w:lvlJc w:val="left"/>
      <w:pPr>
        <w:ind w:left="7536" w:hanging="360"/>
      </w:pPr>
      <w:rPr>
        <w:rFonts w:ascii="Wingdings" w:hAnsi="Wingdings" w:hint="default"/>
      </w:rPr>
    </w:lvl>
  </w:abstractNum>
  <w:abstractNum w:abstractNumId="9" w15:restartNumberingAfterBreak="0">
    <w:nsid w:val="4C621FCF"/>
    <w:multiLevelType w:val="hybridMultilevel"/>
    <w:tmpl w:val="1F7A02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B407EB1"/>
    <w:multiLevelType w:val="hybridMultilevel"/>
    <w:tmpl w:val="475AA68E"/>
    <w:lvl w:ilvl="0" w:tplc="08090005">
      <w:start w:val="1"/>
      <w:numFmt w:val="bullet"/>
      <w:lvlText w:val=""/>
      <w:lvlJc w:val="left"/>
      <w:pPr>
        <w:ind w:left="1996" w:hanging="360"/>
      </w:pPr>
      <w:rPr>
        <w:rFonts w:ascii="Wingdings" w:hAnsi="Wingdings" w:hint="default"/>
      </w:rPr>
    </w:lvl>
    <w:lvl w:ilvl="1" w:tplc="08090003" w:tentative="1">
      <w:start w:val="1"/>
      <w:numFmt w:val="bullet"/>
      <w:lvlText w:val="o"/>
      <w:lvlJc w:val="left"/>
      <w:pPr>
        <w:ind w:left="2716" w:hanging="360"/>
      </w:pPr>
      <w:rPr>
        <w:rFonts w:ascii="Courier New" w:hAnsi="Courier New" w:cs="Courier New" w:hint="default"/>
      </w:rPr>
    </w:lvl>
    <w:lvl w:ilvl="2" w:tplc="08090005" w:tentative="1">
      <w:start w:val="1"/>
      <w:numFmt w:val="bullet"/>
      <w:lvlText w:val=""/>
      <w:lvlJc w:val="left"/>
      <w:pPr>
        <w:ind w:left="3436" w:hanging="360"/>
      </w:pPr>
      <w:rPr>
        <w:rFonts w:ascii="Wingdings" w:hAnsi="Wingdings" w:hint="default"/>
      </w:rPr>
    </w:lvl>
    <w:lvl w:ilvl="3" w:tplc="08090001" w:tentative="1">
      <w:start w:val="1"/>
      <w:numFmt w:val="bullet"/>
      <w:lvlText w:val=""/>
      <w:lvlJc w:val="left"/>
      <w:pPr>
        <w:ind w:left="4156" w:hanging="360"/>
      </w:pPr>
      <w:rPr>
        <w:rFonts w:ascii="Symbol" w:hAnsi="Symbol" w:hint="default"/>
      </w:rPr>
    </w:lvl>
    <w:lvl w:ilvl="4" w:tplc="08090003" w:tentative="1">
      <w:start w:val="1"/>
      <w:numFmt w:val="bullet"/>
      <w:lvlText w:val="o"/>
      <w:lvlJc w:val="left"/>
      <w:pPr>
        <w:ind w:left="4876" w:hanging="360"/>
      </w:pPr>
      <w:rPr>
        <w:rFonts w:ascii="Courier New" w:hAnsi="Courier New" w:cs="Courier New" w:hint="default"/>
      </w:rPr>
    </w:lvl>
    <w:lvl w:ilvl="5" w:tplc="08090005" w:tentative="1">
      <w:start w:val="1"/>
      <w:numFmt w:val="bullet"/>
      <w:lvlText w:val=""/>
      <w:lvlJc w:val="left"/>
      <w:pPr>
        <w:ind w:left="5596" w:hanging="360"/>
      </w:pPr>
      <w:rPr>
        <w:rFonts w:ascii="Wingdings" w:hAnsi="Wingdings" w:hint="default"/>
      </w:rPr>
    </w:lvl>
    <w:lvl w:ilvl="6" w:tplc="08090001" w:tentative="1">
      <w:start w:val="1"/>
      <w:numFmt w:val="bullet"/>
      <w:lvlText w:val=""/>
      <w:lvlJc w:val="left"/>
      <w:pPr>
        <w:ind w:left="6316" w:hanging="360"/>
      </w:pPr>
      <w:rPr>
        <w:rFonts w:ascii="Symbol" w:hAnsi="Symbol" w:hint="default"/>
      </w:rPr>
    </w:lvl>
    <w:lvl w:ilvl="7" w:tplc="08090003" w:tentative="1">
      <w:start w:val="1"/>
      <w:numFmt w:val="bullet"/>
      <w:lvlText w:val="o"/>
      <w:lvlJc w:val="left"/>
      <w:pPr>
        <w:ind w:left="7036" w:hanging="360"/>
      </w:pPr>
      <w:rPr>
        <w:rFonts w:ascii="Courier New" w:hAnsi="Courier New" w:cs="Courier New" w:hint="default"/>
      </w:rPr>
    </w:lvl>
    <w:lvl w:ilvl="8" w:tplc="08090005" w:tentative="1">
      <w:start w:val="1"/>
      <w:numFmt w:val="bullet"/>
      <w:lvlText w:val=""/>
      <w:lvlJc w:val="left"/>
      <w:pPr>
        <w:ind w:left="7756" w:hanging="360"/>
      </w:pPr>
      <w:rPr>
        <w:rFonts w:ascii="Wingdings" w:hAnsi="Wingdings" w:hint="default"/>
      </w:rPr>
    </w:lvl>
  </w:abstractNum>
  <w:abstractNum w:abstractNumId="11" w15:restartNumberingAfterBreak="0">
    <w:nsid w:val="73C81384"/>
    <w:multiLevelType w:val="hybridMultilevel"/>
    <w:tmpl w:val="F0881D12"/>
    <w:lvl w:ilvl="0" w:tplc="1DDA98BE">
      <w:start w:val="5"/>
      <w:numFmt w:val="bullet"/>
      <w:lvlText w:val="-"/>
      <w:lvlJc w:val="left"/>
      <w:pPr>
        <w:ind w:left="720" w:hanging="360"/>
      </w:pPr>
      <w:rPr>
        <w:rFonts w:ascii="Calibri" w:eastAsiaTheme="minorEastAsia"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3E31DC0"/>
    <w:multiLevelType w:val="hybridMultilevel"/>
    <w:tmpl w:val="88C09336"/>
    <w:lvl w:ilvl="0" w:tplc="08130011">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start w:val="1"/>
      <w:numFmt w:val="decimal"/>
      <w:lvlText w:val="%4."/>
      <w:lvlJc w:val="left"/>
      <w:pPr>
        <w:ind w:left="2880" w:hanging="360"/>
      </w:pPr>
    </w:lvl>
    <w:lvl w:ilvl="4" w:tplc="08130019">
      <w:start w:val="1"/>
      <w:numFmt w:val="lowerLetter"/>
      <w:lvlText w:val="%5."/>
      <w:lvlJc w:val="left"/>
      <w:pPr>
        <w:ind w:left="3600" w:hanging="360"/>
      </w:pPr>
    </w:lvl>
    <w:lvl w:ilvl="5" w:tplc="0813001B">
      <w:start w:val="1"/>
      <w:numFmt w:val="lowerRoman"/>
      <w:lvlText w:val="%6."/>
      <w:lvlJc w:val="right"/>
      <w:pPr>
        <w:ind w:left="4320" w:hanging="180"/>
      </w:pPr>
    </w:lvl>
    <w:lvl w:ilvl="6" w:tplc="0813000F">
      <w:start w:val="1"/>
      <w:numFmt w:val="decimal"/>
      <w:lvlText w:val="%7."/>
      <w:lvlJc w:val="left"/>
      <w:pPr>
        <w:ind w:left="5040" w:hanging="360"/>
      </w:pPr>
    </w:lvl>
    <w:lvl w:ilvl="7" w:tplc="08130019">
      <w:start w:val="1"/>
      <w:numFmt w:val="lowerLetter"/>
      <w:lvlText w:val="%8."/>
      <w:lvlJc w:val="left"/>
      <w:pPr>
        <w:ind w:left="5760" w:hanging="360"/>
      </w:pPr>
    </w:lvl>
    <w:lvl w:ilvl="8" w:tplc="0813001B">
      <w:start w:val="1"/>
      <w:numFmt w:val="lowerRoman"/>
      <w:lvlText w:val="%9."/>
      <w:lvlJc w:val="right"/>
      <w:pPr>
        <w:ind w:left="6480" w:hanging="180"/>
      </w:pPr>
    </w:lvl>
  </w:abstractNum>
  <w:num w:numId="1" w16cid:durableId="451440285">
    <w:abstractNumId w:val="0"/>
  </w:num>
  <w:num w:numId="2" w16cid:durableId="23214968">
    <w:abstractNumId w:val="2"/>
  </w:num>
  <w:num w:numId="3" w16cid:durableId="1192186239">
    <w:abstractNumId w:val="6"/>
  </w:num>
  <w:num w:numId="4" w16cid:durableId="502858204">
    <w:abstractNumId w:val="5"/>
  </w:num>
  <w:num w:numId="5" w16cid:durableId="2095392782">
    <w:abstractNumId w:val="12"/>
  </w:num>
  <w:num w:numId="6" w16cid:durableId="786198690">
    <w:abstractNumId w:val="4"/>
  </w:num>
  <w:num w:numId="7" w16cid:durableId="1298416527">
    <w:abstractNumId w:val="3"/>
  </w:num>
  <w:num w:numId="8" w16cid:durableId="1388189286">
    <w:abstractNumId w:val="9"/>
  </w:num>
  <w:num w:numId="9" w16cid:durableId="364404138">
    <w:abstractNumId w:val="1"/>
  </w:num>
  <w:num w:numId="10" w16cid:durableId="1674448643">
    <w:abstractNumId w:val="7"/>
  </w:num>
  <w:num w:numId="11" w16cid:durableId="499587640">
    <w:abstractNumId w:val="11"/>
  </w:num>
  <w:num w:numId="12" w16cid:durableId="1874264855">
    <w:abstractNumId w:val="8"/>
  </w:num>
  <w:num w:numId="13" w16cid:durableId="68278216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B8C"/>
    <w:rsid w:val="00012607"/>
    <w:rsid w:val="000369FF"/>
    <w:rsid w:val="0005796B"/>
    <w:rsid w:val="00077914"/>
    <w:rsid w:val="00086F13"/>
    <w:rsid w:val="000B20FE"/>
    <w:rsid w:val="000B7852"/>
    <w:rsid w:val="000D3CF8"/>
    <w:rsid w:val="0015691B"/>
    <w:rsid w:val="00162A36"/>
    <w:rsid w:val="0018135C"/>
    <w:rsid w:val="00185F96"/>
    <w:rsid w:val="00191607"/>
    <w:rsid w:val="00193ADC"/>
    <w:rsid w:val="001941C9"/>
    <w:rsid w:val="001A3352"/>
    <w:rsid w:val="001A3ECA"/>
    <w:rsid w:val="001D3854"/>
    <w:rsid w:val="001E10DE"/>
    <w:rsid w:val="0020351D"/>
    <w:rsid w:val="002050D0"/>
    <w:rsid w:val="002117FB"/>
    <w:rsid w:val="00211B8E"/>
    <w:rsid w:val="0021514A"/>
    <w:rsid w:val="00252186"/>
    <w:rsid w:val="002553CC"/>
    <w:rsid w:val="00262C36"/>
    <w:rsid w:val="002708CE"/>
    <w:rsid w:val="00273D05"/>
    <w:rsid w:val="00275E8E"/>
    <w:rsid w:val="00283B04"/>
    <w:rsid w:val="00284195"/>
    <w:rsid w:val="002A6E0C"/>
    <w:rsid w:val="002C17A5"/>
    <w:rsid w:val="002C52DA"/>
    <w:rsid w:val="002D59A1"/>
    <w:rsid w:val="002D6D87"/>
    <w:rsid w:val="002E31EE"/>
    <w:rsid w:val="002F48E6"/>
    <w:rsid w:val="00341684"/>
    <w:rsid w:val="0035514F"/>
    <w:rsid w:val="003667A1"/>
    <w:rsid w:val="00367E48"/>
    <w:rsid w:val="00383A28"/>
    <w:rsid w:val="003854F7"/>
    <w:rsid w:val="003A1D45"/>
    <w:rsid w:val="003D33D0"/>
    <w:rsid w:val="003F711C"/>
    <w:rsid w:val="00411B5F"/>
    <w:rsid w:val="00421C3A"/>
    <w:rsid w:val="0042353D"/>
    <w:rsid w:val="00424985"/>
    <w:rsid w:val="004353FC"/>
    <w:rsid w:val="004432EF"/>
    <w:rsid w:val="00453B8C"/>
    <w:rsid w:val="0045794C"/>
    <w:rsid w:val="0048288B"/>
    <w:rsid w:val="004A129B"/>
    <w:rsid w:val="004B3361"/>
    <w:rsid w:val="004D040E"/>
    <w:rsid w:val="004D343E"/>
    <w:rsid w:val="004F0571"/>
    <w:rsid w:val="00527D7C"/>
    <w:rsid w:val="0056767A"/>
    <w:rsid w:val="00582E3F"/>
    <w:rsid w:val="005B5223"/>
    <w:rsid w:val="005D01DA"/>
    <w:rsid w:val="005D5CEA"/>
    <w:rsid w:val="005E2D22"/>
    <w:rsid w:val="00627342"/>
    <w:rsid w:val="00662F7F"/>
    <w:rsid w:val="006751B3"/>
    <w:rsid w:val="00680A73"/>
    <w:rsid w:val="00691A14"/>
    <w:rsid w:val="00697A80"/>
    <w:rsid w:val="006B6740"/>
    <w:rsid w:val="006F4B88"/>
    <w:rsid w:val="00704165"/>
    <w:rsid w:val="007357BD"/>
    <w:rsid w:val="00736E29"/>
    <w:rsid w:val="0075201A"/>
    <w:rsid w:val="007B7DD0"/>
    <w:rsid w:val="007E0860"/>
    <w:rsid w:val="00823289"/>
    <w:rsid w:val="00826FA5"/>
    <w:rsid w:val="00874AAB"/>
    <w:rsid w:val="00887B86"/>
    <w:rsid w:val="008B23B9"/>
    <w:rsid w:val="008E7BB6"/>
    <w:rsid w:val="00902F69"/>
    <w:rsid w:val="009132FB"/>
    <w:rsid w:val="009474F9"/>
    <w:rsid w:val="00A30DD1"/>
    <w:rsid w:val="00A51257"/>
    <w:rsid w:val="00A67D2A"/>
    <w:rsid w:val="00A75258"/>
    <w:rsid w:val="00A80A7F"/>
    <w:rsid w:val="00AA46D9"/>
    <w:rsid w:val="00AA5402"/>
    <w:rsid w:val="00AA5962"/>
    <w:rsid w:val="00AB1A3E"/>
    <w:rsid w:val="00AF201F"/>
    <w:rsid w:val="00AF322E"/>
    <w:rsid w:val="00B22613"/>
    <w:rsid w:val="00B44928"/>
    <w:rsid w:val="00B57181"/>
    <w:rsid w:val="00B91817"/>
    <w:rsid w:val="00B97D16"/>
    <w:rsid w:val="00BA0656"/>
    <w:rsid w:val="00BC031B"/>
    <w:rsid w:val="00BE7199"/>
    <w:rsid w:val="00BF74ED"/>
    <w:rsid w:val="00C21692"/>
    <w:rsid w:val="00C2390C"/>
    <w:rsid w:val="00C35251"/>
    <w:rsid w:val="00C60642"/>
    <w:rsid w:val="00C61B5B"/>
    <w:rsid w:val="00C664C3"/>
    <w:rsid w:val="00CC5757"/>
    <w:rsid w:val="00CF2590"/>
    <w:rsid w:val="00CF60EE"/>
    <w:rsid w:val="00D02D7D"/>
    <w:rsid w:val="00D12E03"/>
    <w:rsid w:val="00D4386C"/>
    <w:rsid w:val="00D61ABE"/>
    <w:rsid w:val="00D62379"/>
    <w:rsid w:val="00D85CE9"/>
    <w:rsid w:val="00D872F7"/>
    <w:rsid w:val="00DA7DDD"/>
    <w:rsid w:val="00DD2A2D"/>
    <w:rsid w:val="00DE2282"/>
    <w:rsid w:val="00DE4BEB"/>
    <w:rsid w:val="00DF17DD"/>
    <w:rsid w:val="00DF666E"/>
    <w:rsid w:val="00E16954"/>
    <w:rsid w:val="00E70436"/>
    <w:rsid w:val="00E714C9"/>
    <w:rsid w:val="00E75FD3"/>
    <w:rsid w:val="00E83483"/>
    <w:rsid w:val="00E90BF4"/>
    <w:rsid w:val="00E97BEA"/>
    <w:rsid w:val="00EC2139"/>
    <w:rsid w:val="00ED241A"/>
    <w:rsid w:val="00EE3D4A"/>
    <w:rsid w:val="00F06602"/>
    <w:rsid w:val="00F26D13"/>
    <w:rsid w:val="00F52E8E"/>
    <w:rsid w:val="00F54D16"/>
    <w:rsid w:val="00F617D6"/>
    <w:rsid w:val="00F7671C"/>
    <w:rsid w:val="00FD7589"/>
    <w:rsid w:val="00FF535D"/>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6C1C0"/>
  <w15:docId w15:val="{0C78DBFB-8A12-4D0A-A73C-AE249F3CD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link w:val="ParagraphedelisteCar"/>
    <w:uiPriority w:val="34"/>
    <w:qFormat/>
    <w:rsid w:val="0075201A"/>
    <w:pPr>
      <w:ind w:left="720"/>
      <w:contextualSpacing/>
    </w:pPr>
  </w:style>
  <w:style w:type="table" w:styleId="Grilledutableau">
    <w:name w:val="Table Grid"/>
    <w:basedOn w:val="TableauNormal"/>
    <w:uiPriority w:val="59"/>
    <w:rsid w:val="00AF2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2553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553CC"/>
    <w:rPr>
      <w:rFonts w:ascii="Tahoma" w:hAnsi="Tahoma" w:cs="Tahoma"/>
      <w:sz w:val="16"/>
      <w:szCs w:val="16"/>
    </w:rPr>
  </w:style>
  <w:style w:type="character" w:styleId="Marquedecommentaire">
    <w:name w:val="annotation reference"/>
    <w:basedOn w:val="Policepardfaut"/>
    <w:uiPriority w:val="99"/>
    <w:semiHidden/>
    <w:unhideWhenUsed/>
    <w:rsid w:val="00874AAB"/>
    <w:rPr>
      <w:sz w:val="16"/>
      <w:szCs w:val="16"/>
    </w:rPr>
  </w:style>
  <w:style w:type="paragraph" w:styleId="Commentaire">
    <w:name w:val="annotation text"/>
    <w:basedOn w:val="Normal"/>
    <w:link w:val="CommentaireCar"/>
    <w:uiPriority w:val="99"/>
    <w:semiHidden/>
    <w:unhideWhenUsed/>
    <w:rsid w:val="00874AAB"/>
    <w:pPr>
      <w:spacing w:line="240" w:lineRule="auto"/>
    </w:pPr>
    <w:rPr>
      <w:sz w:val="20"/>
      <w:szCs w:val="20"/>
    </w:rPr>
  </w:style>
  <w:style w:type="character" w:customStyle="1" w:styleId="CommentaireCar">
    <w:name w:val="Commentaire Car"/>
    <w:basedOn w:val="Policepardfaut"/>
    <w:link w:val="Commentaire"/>
    <w:uiPriority w:val="99"/>
    <w:semiHidden/>
    <w:rsid w:val="00874AAB"/>
    <w:rPr>
      <w:sz w:val="20"/>
      <w:szCs w:val="20"/>
    </w:rPr>
  </w:style>
  <w:style w:type="paragraph" w:styleId="Objetducommentaire">
    <w:name w:val="annotation subject"/>
    <w:basedOn w:val="Commentaire"/>
    <w:next w:val="Commentaire"/>
    <w:link w:val="ObjetducommentaireCar"/>
    <w:uiPriority w:val="99"/>
    <w:semiHidden/>
    <w:unhideWhenUsed/>
    <w:rsid w:val="00874AAB"/>
    <w:rPr>
      <w:b/>
      <w:bCs/>
    </w:rPr>
  </w:style>
  <w:style w:type="character" w:customStyle="1" w:styleId="ObjetducommentaireCar">
    <w:name w:val="Objet du commentaire Car"/>
    <w:basedOn w:val="CommentaireCar"/>
    <w:link w:val="Objetducommentaire"/>
    <w:uiPriority w:val="99"/>
    <w:semiHidden/>
    <w:rsid w:val="00874AAB"/>
    <w:rPr>
      <w:b/>
      <w:bCs/>
      <w:sz w:val="20"/>
      <w:szCs w:val="20"/>
    </w:rPr>
  </w:style>
  <w:style w:type="paragraph" w:styleId="Sansinterligne">
    <w:name w:val="No Spacing"/>
    <w:uiPriority w:val="1"/>
    <w:qFormat/>
    <w:rsid w:val="00C664C3"/>
    <w:pPr>
      <w:spacing w:after="0" w:line="240" w:lineRule="auto"/>
    </w:pPr>
    <w:rPr>
      <w:rFonts w:eastAsiaTheme="minorEastAsia"/>
      <w:lang w:val="fr-BE"/>
    </w:rPr>
  </w:style>
  <w:style w:type="paragraph" w:styleId="Rvision">
    <w:name w:val="Revision"/>
    <w:hidden/>
    <w:uiPriority w:val="99"/>
    <w:semiHidden/>
    <w:rsid w:val="00F54D16"/>
    <w:pPr>
      <w:spacing w:after="0" w:line="240" w:lineRule="auto"/>
    </w:pPr>
  </w:style>
  <w:style w:type="paragraph" w:styleId="Notedebasdepage">
    <w:name w:val="footnote text"/>
    <w:basedOn w:val="Normal"/>
    <w:link w:val="NotedebasdepageCar"/>
    <w:uiPriority w:val="99"/>
    <w:semiHidden/>
    <w:unhideWhenUsed/>
    <w:rsid w:val="00A30DD1"/>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30DD1"/>
    <w:rPr>
      <w:sz w:val="20"/>
      <w:szCs w:val="20"/>
    </w:rPr>
  </w:style>
  <w:style w:type="character" w:styleId="Appelnotedebasdep">
    <w:name w:val="footnote reference"/>
    <w:basedOn w:val="Policepardfaut"/>
    <w:semiHidden/>
    <w:unhideWhenUsed/>
    <w:rsid w:val="00A30DD1"/>
    <w:rPr>
      <w:vertAlign w:val="superscript"/>
    </w:rPr>
  </w:style>
  <w:style w:type="character" w:styleId="Lienhypertexte">
    <w:name w:val="Hyperlink"/>
    <w:basedOn w:val="Policepardfaut"/>
    <w:uiPriority w:val="99"/>
    <w:unhideWhenUsed/>
    <w:rsid w:val="00A30DD1"/>
    <w:rPr>
      <w:color w:val="0000FF" w:themeColor="hyperlink"/>
      <w:u w:val="single"/>
    </w:rPr>
  </w:style>
  <w:style w:type="character" w:styleId="Mentionnonrsolue">
    <w:name w:val="Unresolved Mention"/>
    <w:basedOn w:val="Policepardfaut"/>
    <w:uiPriority w:val="99"/>
    <w:semiHidden/>
    <w:unhideWhenUsed/>
    <w:rsid w:val="00A30DD1"/>
    <w:rPr>
      <w:color w:val="605E5C"/>
      <w:shd w:val="clear" w:color="auto" w:fill="E1DFDD"/>
    </w:rPr>
  </w:style>
  <w:style w:type="paragraph" w:styleId="Corpsdetexte2">
    <w:name w:val="Body Text 2"/>
    <w:basedOn w:val="Normal"/>
    <w:link w:val="Corpsdetexte2Car"/>
    <w:rsid w:val="00C61B5B"/>
    <w:pPr>
      <w:spacing w:after="120" w:line="480" w:lineRule="auto"/>
    </w:pPr>
    <w:rPr>
      <w:rFonts w:ascii="Times New Roman" w:eastAsia="Times New Roman" w:hAnsi="Times New Roman" w:cs="Times New Roman"/>
      <w:sz w:val="20"/>
      <w:szCs w:val="20"/>
      <w:lang w:val="fr-FR"/>
    </w:rPr>
  </w:style>
  <w:style w:type="character" w:customStyle="1" w:styleId="Corpsdetexte2Car">
    <w:name w:val="Corps de texte 2 Car"/>
    <w:basedOn w:val="Policepardfaut"/>
    <w:link w:val="Corpsdetexte2"/>
    <w:rsid w:val="00C61B5B"/>
    <w:rPr>
      <w:rFonts w:ascii="Times New Roman" w:eastAsia="Times New Roman" w:hAnsi="Times New Roman" w:cs="Times New Roman"/>
      <w:sz w:val="20"/>
      <w:szCs w:val="20"/>
      <w:lang w:val="fr-FR"/>
    </w:rPr>
  </w:style>
  <w:style w:type="character" w:styleId="Textedelespacerserv">
    <w:name w:val="Placeholder Text"/>
    <w:basedOn w:val="Policepardfaut"/>
    <w:uiPriority w:val="99"/>
    <w:semiHidden/>
    <w:rsid w:val="00D12E03"/>
    <w:rPr>
      <w:color w:val="808080"/>
    </w:rPr>
  </w:style>
  <w:style w:type="character" w:customStyle="1" w:styleId="ParagraphedelisteCar">
    <w:name w:val="Paragraphe de liste Car"/>
    <w:link w:val="Paragraphedeliste"/>
    <w:uiPriority w:val="34"/>
    <w:locked/>
    <w:rsid w:val="00D12E03"/>
  </w:style>
  <w:style w:type="character" w:styleId="lev">
    <w:name w:val="Strong"/>
    <w:basedOn w:val="Policepardfaut"/>
    <w:uiPriority w:val="22"/>
    <w:qFormat/>
    <w:rsid w:val="00662F7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971044">
      <w:bodyDiv w:val="1"/>
      <w:marLeft w:val="0"/>
      <w:marRight w:val="0"/>
      <w:marTop w:val="0"/>
      <w:marBottom w:val="0"/>
      <w:divBdr>
        <w:top w:val="none" w:sz="0" w:space="0" w:color="auto"/>
        <w:left w:val="none" w:sz="0" w:space="0" w:color="auto"/>
        <w:bottom w:val="none" w:sz="0" w:space="0" w:color="auto"/>
        <w:right w:val="none" w:sz="0" w:space="0" w:color="auto"/>
      </w:divBdr>
    </w:div>
    <w:div w:id="909854037">
      <w:bodyDiv w:val="1"/>
      <w:marLeft w:val="0"/>
      <w:marRight w:val="0"/>
      <w:marTop w:val="0"/>
      <w:marBottom w:val="0"/>
      <w:divBdr>
        <w:top w:val="none" w:sz="0" w:space="0" w:color="auto"/>
        <w:left w:val="none" w:sz="0" w:space="0" w:color="auto"/>
        <w:bottom w:val="none" w:sz="0" w:space="0" w:color="auto"/>
        <w:right w:val="none" w:sz="0" w:space="0" w:color="auto"/>
      </w:divBdr>
    </w:div>
    <w:div w:id="14532109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vco@riziv-inami.fgov.b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afmps.be/fr/news/disponibilite_limitee_de_thrombolytiques_recommandations_a_lattention_des_pharmaciens"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CB5711A66EB45DCB3DE727D639F6910"/>
        <w:category>
          <w:name w:val="General"/>
          <w:gallery w:val="placeholder"/>
        </w:category>
        <w:types>
          <w:type w:val="bbPlcHdr"/>
        </w:types>
        <w:behaviors>
          <w:behavior w:val="content"/>
        </w:behaviors>
        <w:guid w:val="{CA89DED8-0B53-4C19-872F-7A0B098B72BD}"/>
      </w:docPartPr>
      <w:docPartBody>
        <w:p w:rsidR="00BB3BC4" w:rsidRDefault="00F53DD8" w:rsidP="00F53DD8">
          <w:pPr>
            <w:pStyle w:val="BCB5711A66EB45DCB3DE727D639F6910"/>
          </w:pPr>
          <w:r w:rsidRPr="00623371">
            <w:rPr>
              <w:rStyle w:val="Textedelespacerserv"/>
            </w:rPr>
            <w:t>Click or tap here to enter text.</w:t>
          </w:r>
        </w:p>
      </w:docPartBody>
    </w:docPart>
    <w:docPart>
      <w:docPartPr>
        <w:name w:val="0D1AD98648D54E2D9A0804279516804B"/>
        <w:category>
          <w:name w:val="General"/>
          <w:gallery w:val="placeholder"/>
        </w:category>
        <w:types>
          <w:type w:val="bbPlcHdr"/>
        </w:types>
        <w:behaviors>
          <w:behavior w:val="content"/>
        </w:behaviors>
        <w:guid w:val="{E90419D5-2AC8-467B-94F9-6AD119F29263}"/>
      </w:docPartPr>
      <w:docPartBody>
        <w:p w:rsidR="00BB3BC4" w:rsidRDefault="00F53DD8" w:rsidP="00F53DD8">
          <w:pPr>
            <w:pStyle w:val="0D1AD98648D54E2D9A0804279516804B"/>
          </w:pPr>
          <w:r w:rsidRPr="00623371">
            <w:rPr>
              <w:rStyle w:val="Textedelespacerserv"/>
            </w:rPr>
            <w:t>Click or tap here to enter text.</w:t>
          </w:r>
        </w:p>
      </w:docPartBody>
    </w:docPart>
    <w:docPart>
      <w:docPartPr>
        <w:name w:val="6912C5C60208493CBEFB666B2C58B030"/>
        <w:category>
          <w:name w:val="General"/>
          <w:gallery w:val="placeholder"/>
        </w:category>
        <w:types>
          <w:type w:val="bbPlcHdr"/>
        </w:types>
        <w:behaviors>
          <w:behavior w:val="content"/>
        </w:behaviors>
        <w:guid w:val="{05EA9A2F-7BCE-4110-88EB-9C4CC47EC0AF}"/>
      </w:docPartPr>
      <w:docPartBody>
        <w:p w:rsidR="00BB3BC4" w:rsidRDefault="00F53DD8" w:rsidP="00F53DD8">
          <w:pPr>
            <w:pStyle w:val="6912C5C60208493CBEFB666B2C58B030"/>
          </w:pPr>
          <w:r w:rsidRPr="00623371">
            <w:rPr>
              <w:rStyle w:val="Textedelespacerserv"/>
            </w:rPr>
            <w:t>Click or tap here to enter text.</w:t>
          </w:r>
        </w:p>
      </w:docPartBody>
    </w:docPart>
    <w:docPart>
      <w:docPartPr>
        <w:name w:val="4234ED1769AC4C1AB979F109F546225E"/>
        <w:category>
          <w:name w:val="General"/>
          <w:gallery w:val="placeholder"/>
        </w:category>
        <w:types>
          <w:type w:val="bbPlcHdr"/>
        </w:types>
        <w:behaviors>
          <w:behavior w:val="content"/>
        </w:behaviors>
        <w:guid w:val="{1A63C4E2-26A2-42B8-A0C0-731584F3EAB9}"/>
      </w:docPartPr>
      <w:docPartBody>
        <w:p w:rsidR="00BB3BC4" w:rsidRDefault="00F53DD8" w:rsidP="00F53DD8">
          <w:pPr>
            <w:pStyle w:val="4234ED1769AC4C1AB979F109F546225E"/>
          </w:pPr>
          <w:r w:rsidRPr="00623371">
            <w:rPr>
              <w:rStyle w:val="Textedelespacerserv"/>
            </w:rPr>
            <w:t>Click or tap here to enter text.</w:t>
          </w:r>
        </w:p>
      </w:docPartBody>
    </w:docPart>
    <w:docPart>
      <w:docPartPr>
        <w:name w:val="B742985FD4CC43C1B9BC2AA0206C3E5A"/>
        <w:category>
          <w:name w:val="General"/>
          <w:gallery w:val="placeholder"/>
        </w:category>
        <w:types>
          <w:type w:val="bbPlcHdr"/>
        </w:types>
        <w:behaviors>
          <w:behavior w:val="content"/>
        </w:behaviors>
        <w:guid w:val="{62EF0D68-849B-4EFD-B03B-866393FD4C85}"/>
      </w:docPartPr>
      <w:docPartBody>
        <w:p w:rsidR="00BB3BC4" w:rsidRDefault="00F53DD8" w:rsidP="00F53DD8">
          <w:pPr>
            <w:pStyle w:val="B742985FD4CC43C1B9BC2AA0206C3E5A"/>
          </w:pPr>
          <w:r w:rsidRPr="00623371">
            <w:rPr>
              <w:rStyle w:val="Textedelespacerserv"/>
            </w:rPr>
            <w:t>Click or tap here to enter text.</w:t>
          </w:r>
        </w:p>
      </w:docPartBody>
    </w:docPart>
    <w:docPart>
      <w:docPartPr>
        <w:name w:val="F0F1C39B3E0B4C93BBAFAF3804314A73"/>
        <w:category>
          <w:name w:val="General"/>
          <w:gallery w:val="placeholder"/>
        </w:category>
        <w:types>
          <w:type w:val="bbPlcHdr"/>
        </w:types>
        <w:behaviors>
          <w:behavior w:val="content"/>
        </w:behaviors>
        <w:guid w:val="{51C57678-B6E3-41A7-8C24-E1AC2B1FD376}"/>
      </w:docPartPr>
      <w:docPartBody>
        <w:p w:rsidR="00BB3BC4" w:rsidRDefault="00F53DD8" w:rsidP="00F53DD8">
          <w:pPr>
            <w:pStyle w:val="F0F1C39B3E0B4C93BBAFAF3804314A73"/>
          </w:pPr>
          <w:r w:rsidRPr="00623371">
            <w:rPr>
              <w:rStyle w:val="Textedelespacerserv"/>
            </w:rPr>
            <w:t>Click or tap here to enter text.</w:t>
          </w:r>
        </w:p>
      </w:docPartBody>
    </w:docPart>
    <w:docPart>
      <w:docPartPr>
        <w:name w:val="5CA34765B75B43979FFEBDDB8E649D95"/>
        <w:category>
          <w:name w:val="General"/>
          <w:gallery w:val="placeholder"/>
        </w:category>
        <w:types>
          <w:type w:val="bbPlcHdr"/>
        </w:types>
        <w:behaviors>
          <w:behavior w:val="content"/>
        </w:behaviors>
        <w:guid w:val="{261DB21A-2DCD-402B-88D8-15953F71CDB0}"/>
      </w:docPartPr>
      <w:docPartBody>
        <w:p w:rsidR="00BB3BC4" w:rsidRDefault="00F53DD8" w:rsidP="00F53DD8">
          <w:pPr>
            <w:pStyle w:val="5CA34765B75B43979FFEBDDB8E649D95"/>
          </w:pPr>
          <w:r w:rsidRPr="00623371">
            <w:rPr>
              <w:rStyle w:val="Textedelespacerserv"/>
            </w:rPr>
            <w:t>Click or tap here to enter text.</w:t>
          </w:r>
        </w:p>
      </w:docPartBody>
    </w:docPart>
    <w:docPart>
      <w:docPartPr>
        <w:name w:val="13829A288C8A439787726407CCB43878"/>
        <w:category>
          <w:name w:val="General"/>
          <w:gallery w:val="placeholder"/>
        </w:category>
        <w:types>
          <w:type w:val="bbPlcHdr"/>
        </w:types>
        <w:behaviors>
          <w:behavior w:val="content"/>
        </w:behaviors>
        <w:guid w:val="{A44E3FAB-5E29-4E8D-B7DE-7DFBA18AEC41}"/>
      </w:docPartPr>
      <w:docPartBody>
        <w:p w:rsidR="00BB3BC4" w:rsidRDefault="00F53DD8" w:rsidP="00F53DD8">
          <w:pPr>
            <w:pStyle w:val="13829A288C8A439787726407CCB43878"/>
          </w:pPr>
          <w:r w:rsidRPr="00623371">
            <w:rPr>
              <w:rStyle w:val="Textedelespacerserv"/>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DD8"/>
    <w:rsid w:val="00BB3BC4"/>
    <w:rsid w:val="00C93C3A"/>
    <w:rsid w:val="00D610C7"/>
    <w:rsid w:val="00F53DD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C93C3A"/>
    <w:rPr>
      <w:color w:val="808080"/>
    </w:rPr>
  </w:style>
  <w:style w:type="paragraph" w:customStyle="1" w:styleId="BCB5711A66EB45DCB3DE727D639F6910">
    <w:name w:val="BCB5711A66EB45DCB3DE727D639F6910"/>
    <w:rsid w:val="00F53DD8"/>
  </w:style>
  <w:style w:type="paragraph" w:customStyle="1" w:styleId="0D1AD98648D54E2D9A0804279516804B">
    <w:name w:val="0D1AD98648D54E2D9A0804279516804B"/>
    <w:rsid w:val="00F53DD8"/>
  </w:style>
  <w:style w:type="paragraph" w:customStyle="1" w:styleId="6912C5C60208493CBEFB666B2C58B030">
    <w:name w:val="6912C5C60208493CBEFB666B2C58B030"/>
    <w:rsid w:val="00F53DD8"/>
  </w:style>
  <w:style w:type="paragraph" w:customStyle="1" w:styleId="4234ED1769AC4C1AB979F109F546225E">
    <w:name w:val="4234ED1769AC4C1AB979F109F546225E"/>
    <w:rsid w:val="00F53DD8"/>
  </w:style>
  <w:style w:type="paragraph" w:customStyle="1" w:styleId="B742985FD4CC43C1B9BC2AA0206C3E5A">
    <w:name w:val="B742985FD4CC43C1B9BC2AA0206C3E5A"/>
    <w:rsid w:val="00F53DD8"/>
  </w:style>
  <w:style w:type="paragraph" w:customStyle="1" w:styleId="F0F1C39B3E0B4C93BBAFAF3804314A73">
    <w:name w:val="F0F1C39B3E0B4C93BBAFAF3804314A73"/>
    <w:rsid w:val="00F53DD8"/>
  </w:style>
  <w:style w:type="paragraph" w:customStyle="1" w:styleId="5CA34765B75B43979FFEBDDB8E649D95">
    <w:name w:val="5CA34765B75B43979FFEBDDB8E649D95"/>
    <w:rsid w:val="00F53DD8"/>
  </w:style>
  <w:style w:type="paragraph" w:customStyle="1" w:styleId="13829A288C8A439787726407CCB43878">
    <w:name w:val="13829A288C8A439787726407CCB43878"/>
    <w:rsid w:val="00F53DD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2023-07-19T22:00:00+00:00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Verzorgingsinstellingen en -diensten</TermName>
          <TermId xmlns="http://schemas.microsoft.com/office/infopath/2007/PartnerControls">0da91f66-aff5-4716-a8aa-e753c394a07a</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Frans</TermName>
          <TermId xmlns="http://schemas.microsoft.com/office/infopath/2007/PartnerControls">aa2269b8-11bd-4cc9-9267-801806817e60</TermId>
        </TermInfo>
      </Terms>
    </RILanguageTaxHTField0>
    <cc6d4d0f41a44532aeb7bee41b15f208 xmlns="61fd8d87-ea47-44bb-afd6-b4d99b1d9c1f">
      <Terms xmlns="http://schemas.microsoft.com/office/infopath/2007/PartnerControls"/>
    </cc6d4d0f41a44532aeb7bee41b15f208>
    <TaxCatchAll xmlns="61fd8d87-ea47-44bb-afd6-b4d99b1d9c1f">
      <Value>8</Value>
      <Value>5</Value>
      <Value>10</Value>
      <Value>22</Value>
    </TaxCatchAll>
    <RIDocSummary xmlns="f15eea43-7fa7-45cf-8dc0-d5244e2cd467" xsi:nil="true"/>
    <RIThemeTaxHTField0 xmlns="f15eea43-7fa7-45cf-8dc0-d5244e2cd467">
      <Terms xmlns="http://schemas.microsoft.com/office/infopath/2007/PartnerControls">
        <TermInfo xmlns="http://schemas.microsoft.com/office/infopath/2007/PartnerControls">
          <TermName xmlns="http://schemas.microsoft.com/office/infopath/2007/PartnerControls">Geneesmiddelen</TermName>
          <TermId xmlns="http://schemas.microsoft.com/office/infopath/2007/PartnerControls">5c4b8432-7a7f-4679-b7fc-04dc5116b9e9</TermId>
        </TermInfo>
      </Term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Akkoord of overeenkomst</TermName>
          <TermId xmlns="http://schemas.microsoft.com/office/infopath/2007/PartnerControls">e65205e4-8e63-4509-9a33-be7cfd98f34d</TermId>
        </TermInfo>
      </Terms>
    </RIDocTypeTaxHTField0>
    <PublishingStartDate xmlns="http://schemas.microsoft.com/sharepoint/v3" xsi:nil="true"/>
    <gde733b7de1f426ba66c11d7c4a6ad8f xmlns="61fd8d87-ea47-44bb-afd6-b4d99b1d9c1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8907b4dd6e59772d7d5472347a73da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0795714c314b170aeed1dd5a6528c847"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Beknopt overzicht"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6F8A577-B898-4526-92D4-4E48CD1FDB29}">
  <ds:schemaRefs>
    <ds:schemaRef ds:uri="http://schemas.openxmlformats.org/officeDocument/2006/bibliography"/>
  </ds:schemaRefs>
</ds:datastoreItem>
</file>

<file path=customXml/itemProps2.xml><?xml version="1.0" encoding="utf-8"?>
<ds:datastoreItem xmlns:ds="http://schemas.openxmlformats.org/officeDocument/2006/customXml" ds:itemID="{F2648B3B-6110-460D-B741-C11BB59600D5}">
  <ds:schemaRefs>
    <ds:schemaRef ds:uri="http://schemas.microsoft.com/office/2006/metadata/properties"/>
    <ds:schemaRef ds:uri="http://schemas.microsoft.com/office/infopath/2007/PartnerControls"/>
    <ds:schemaRef ds:uri="f15eea43-7fa7-45cf-8dc0-d5244e2cd467"/>
    <ds:schemaRef ds:uri="61fd8d87-ea47-44bb-afd6-b4d99b1d9c1f"/>
    <ds:schemaRef ds:uri="http://schemas.microsoft.com/sharepoint/v3"/>
  </ds:schemaRefs>
</ds:datastoreItem>
</file>

<file path=customXml/itemProps3.xml><?xml version="1.0" encoding="utf-8"?>
<ds:datastoreItem xmlns:ds="http://schemas.openxmlformats.org/officeDocument/2006/customXml" ds:itemID="{13D24909-358A-4218-B438-7A4F82BA0103}">
  <ds:schemaRefs>
    <ds:schemaRef ds:uri="http://schemas.microsoft.com/sharepoint/v3/contenttype/forms"/>
  </ds:schemaRefs>
</ds:datastoreItem>
</file>

<file path=customXml/itemProps4.xml><?xml version="1.0" encoding="utf-8"?>
<ds:datastoreItem xmlns:ds="http://schemas.openxmlformats.org/officeDocument/2006/customXml" ds:itemID="{807D67F4-A174-4FF6-80C6-48D4A4A6AF18}"/>
</file>

<file path=docProps/app.xml><?xml version="1.0" encoding="utf-8"?>
<Properties xmlns="http://schemas.openxmlformats.org/officeDocument/2006/extended-properties" xmlns:vt="http://schemas.openxmlformats.org/officeDocument/2006/docPropsVTypes">
  <Template>Normal.dotm</Template>
  <TotalTime>0</TotalTime>
  <Pages>5</Pages>
  <Words>1491</Words>
  <Characters>8201</Characters>
  <Application>Microsoft Office Word</Application>
  <DocSecurity>0</DocSecurity>
  <Lines>68</Lines>
  <Paragraphs>19</Paragraphs>
  <ScaleCrop>false</ScaleCrop>
  <HeadingPairs>
    <vt:vector size="6" baseType="variant">
      <vt:variant>
        <vt:lpstr>Titre</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R.I.Z.I.V. - I.N.A.M.I.</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Convention - Remboursement de la thrombectomie mécanique lors d’une rupture de stock de médicaments thrombolytiques</dc:title>
  <dc:creator>Nathalie Laus</dc:creator>
  <cp:lastModifiedBy>Valérie Noblesse (RIZIV-INAMI)</cp:lastModifiedBy>
  <cp:revision>3</cp:revision>
  <dcterms:created xsi:type="dcterms:W3CDTF">2023-07-20T11:15:00Z</dcterms:created>
  <dcterms:modified xsi:type="dcterms:W3CDTF">2023-07-20T11:15:00Z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22;#Verzorgingsinstellingen en -diensten|0da91f66-aff5-4716-a8aa-e753c394a07a</vt:lpwstr>
  </property>
  <property fmtid="{D5CDD505-2E9C-101B-9397-08002B2CF9AE}" pid="4" name="RITheme">
    <vt:lpwstr>10;#Geneesmiddelen|5c4b8432-7a7f-4679-b7fc-04dc5116b9e9</vt:lpwstr>
  </property>
  <property fmtid="{D5CDD505-2E9C-101B-9397-08002B2CF9AE}" pid="5" name="RILanguage">
    <vt:lpwstr>8;#Frans|aa2269b8-11bd-4cc9-9267-801806817e60</vt:lpwstr>
  </property>
  <property fmtid="{D5CDD505-2E9C-101B-9397-08002B2CF9AE}" pid="6" name="RIDocType">
    <vt:lpwstr>5;#Akkoord of overeenkomst|e65205e4-8e63-4509-9a33-be7cfd98f34d</vt:lpwstr>
  </property>
  <property fmtid="{D5CDD505-2E9C-101B-9397-08002B2CF9AE}" pid="7" name="Publication type for documents">
    <vt:lpwstr/>
  </property>
  <property fmtid="{D5CDD505-2E9C-101B-9397-08002B2CF9AE}" pid="8" name="Order">
    <vt:r8>3830400</vt:r8>
  </property>
  <property fmtid="{D5CDD505-2E9C-101B-9397-08002B2CF9AE}" pid="9" name="xd_Signature">
    <vt:bool>false</vt:bool>
  </property>
  <property fmtid="{D5CDD505-2E9C-101B-9397-08002B2CF9AE}" pid="10" name="xd_ProgID">
    <vt:lpwstr/>
  </property>
  <property fmtid="{D5CDD505-2E9C-101B-9397-08002B2CF9AE}" pid="11" name="_SourceUrl">
    <vt:lpwstr/>
  </property>
  <property fmtid="{D5CDD505-2E9C-101B-9397-08002B2CF9AE}" pid="12" name="_SharedFileIndex">
    <vt:lpwstr/>
  </property>
  <property fmtid="{D5CDD505-2E9C-101B-9397-08002B2CF9AE}" pid="13" name="TemplateUrl">
    <vt:lpwstr/>
  </property>
</Properties>
</file>