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1A43" w14:textId="292CB27F" w:rsidR="00B628C7" w:rsidRDefault="00B628C7" w:rsidP="002869C6">
      <w:pPr>
        <w:rPr>
          <w:rFonts w:eastAsiaTheme="minorHAnsi" w:cs="Arial"/>
          <w:b/>
          <w:bCs/>
          <w:sz w:val="22"/>
          <w:szCs w:val="22"/>
          <w:lang w:val="fr-BE"/>
        </w:rPr>
      </w:pPr>
      <w:r w:rsidRPr="007E68E1">
        <w:rPr>
          <w:rFonts w:eastAsiaTheme="minorHAnsi" w:cs="Arial"/>
          <w:b/>
          <w:bCs/>
          <w:sz w:val="22"/>
          <w:szCs w:val="22"/>
          <w:lang w:val="fr-FR"/>
        </w:rPr>
        <w:t xml:space="preserve">Annexe au règlement du </w:t>
      </w:r>
      <w:r>
        <w:rPr>
          <w:rFonts w:eastAsiaTheme="minorHAnsi" w:cs="Arial"/>
          <w:b/>
          <w:bCs/>
          <w:sz w:val="22"/>
          <w:szCs w:val="22"/>
          <w:lang w:val="fr-FR"/>
        </w:rPr>
        <w:t xml:space="preserve">28 octobre 2024 </w:t>
      </w:r>
      <w:r w:rsidRPr="007E68E1">
        <w:rPr>
          <w:rFonts w:eastAsiaTheme="minorHAnsi" w:cs="Arial"/>
          <w:b/>
          <w:bCs/>
          <w:sz w:val="22"/>
          <w:szCs w:val="22"/>
          <w:lang w:val="fr-BE"/>
        </w:rPr>
        <w:t>modifiant le règlement du 28 juillet 2003 portant exécution de l'article 22, 11°, de la loi relative à l'assurance obligatoire soins de sant</w:t>
      </w:r>
      <w:r>
        <w:rPr>
          <w:rFonts w:eastAsiaTheme="minorHAnsi" w:cs="Arial"/>
          <w:b/>
          <w:bCs/>
          <w:sz w:val="22"/>
          <w:szCs w:val="22"/>
          <w:lang w:val="fr-BE"/>
        </w:rPr>
        <w:t>é</w:t>
      </w:r>
      <w:r w:rsidRPr="007E68E1">
        <w:rPr>
          <w:rFonts w:eastAsiaTheme="minorHAnsi" w:cs="Arial"/>
          <w:b/>
          <w:bCs/>
          <w:sz w:val="22"/>
          <w:szCs w:val="22"/>
          <w:lang w:val="fr-BE"/>
        </w:rPr>
        <w:t xml:space="preserve"> et indemnités, coordonnée le 14 juillet 1994</w:t>
      </w:r>
    </w:p>
    <w:p w14:paraId="5136386F" w14:textId="77777777" w:rsidR="002869C6" w:rsidRPr="002869C6" w:rsidRDefault="002869C6" w:rsidP="002869C6">
      <w:pPr>
        <w:rPr>
          <w:rFonts w:eastAsiaTheme="minorHAnsi" w:cs="Arial"/>
          <w:b/>
          <w:bCs/>
          <w:sz w:val="22"/>
          <w:szCs w:val="22"/>
          <w:lang w:val="fr-FR"/>
        </w:rPr>
      </w:pPr>
    </w:p>
    <w:p w14:paraId="54524758" w14:textId="77777777" w:rsidR="00B628C7" w:rsidRPr="007E68E1" w:rsidRDefault="00B628C7" w:rsidP="00B628C7">
      <w:pPr>
        <w:spacing w:after="160" w:line="259" w:lineRule="auto"/>
        <w:jc w:val="center"/>
        <w:rPr>
          <w:rFonts w:eastAsiaTheme="minorHAnsi" w:cs="Arial"/>
          <w:b/>
          <w:bCs/>
          <w:sz w:val="22"/>
          <w:szCs w:val="22"/>
          <w:lang w:val="fr-FR"/>
        </w:rPr>
      </w:pPr>
      <w:r>
        <w:rPr>
          <w:rFonts w:eastAsiaTheme="minorHAnsi" w:cs="Arial"/>
          <w:b/>
          <w:bCs/>
          <w:sz w:val="22"/>
          <w:szCs w:val="22"/>
          <w:lang w:val="fr-FR"/>
        </w:rPr>
        <w:t>ANNEXE 85</w:t>
      </w:r>
    </w:p>
    <w:p w14:paraId="7387E4FD" w14:textId="77777777" w:rsidR="00B628C7" w:rsidRPr="00C92E43" w:rsidRDefault="00B628C7" w:rsidP="00B628C7">
      <w:pPr>
        <w:tabs>
          <w:tab w:val="left" w:pos="567"/>
        </w:tabs>
        <w:spacing w:after="100"/>
        <w:jc w:val="center"/>
        <w:rPr>
          <w:rFonts w:ascii="Times New Roman" w:hAnsi="Times New Roman"/>
          <w:b/>
          <w:sz w:val="22"/>
          <w:szCs w:val="22"/>
          <w:lang w:val="fr-BE"/>
        </w:rPr>
      </w:pPr>
      <w:r w:rsidRPr="00C92E43">
        <w:rPr>
          <w:rFonts w:ascii="Times New Roman" w:hAnsi="Times New Roman"/>
          <w:b/>
          <w:sz w:val="22"/>
          <w:szCs w:val="22"/>
          <w:lang w:val="fr-BE"/>
        </w:rPr>
        <w:t>Protocole de soins pour patients diabétiques de type 2</w:t>
      </w:r>
    </w:p>
    <w:p w14:paraId="3F68BEF0" w14:textId="77777777" w:rsidR="00B628C7" w:rsidRPr="00C92E43" w:rsidRDefault="00B628C7" w:rsidP="00B628C7">
      <w:pPr>
        <w:tabs>
          <w:tab w:val="left" w:pos="567"/>
        </w:tabs>
        <w:spacing w:after="100"/>
        <w:jc w:val="both"/>
        <w:rPr>
          <w:rFonts w:ascii="Times New Roman" w:hAnsi="Times New Roman"/>
          <w:sz w:val="22"/>
          <w:szCs w:val="22"/>
          <w:lang w:val="fr-BE"/>
        </w:rPr>
      </w:pPr>
    </w:p>
    <w:p w14:paraId="3071CEEF" w14:textId="77777777" w:rsidR="00B628C7" w:rsidRPr="00C92E43" w:rsidRDefault="00B628C7" w:rsidP="00B628C7">
      <w:pPr>
        <w:tabs>
          <w:tab w:val="left" w:pos="567"/>
        </w:tabs>
        <w:spacing w:after="100"/>
        <w:jc w:val="both"/>
        <w:rPr>
          <w:rFonts w:ascii="Times New Roman" w:hAnsi="Times New Roman"/>
          <w:sz w:val="22"/>
          <w:szCs w:val="22"/>
          <w:lang w:val="fr-BE"/>
        </w:rPr>
      </w:pPr>
      <w:r w:rsidRPr="00C92E43">
        <w:rPr>
          <w:rFonts w:ascii="Times New Roman" w:hAnsi="Times New Roman"/>
          <w:sz w:val="22"/>
          <w:szCs w:val="22"/>
          <w:lang w:val="fr-BE"/>
        </w:rPr>
        <w:tab/>
        <w:t xml:space="preserve">Ce protocole de soins ne se substitue pas aux recommandations de bonne pratique qui guident effectivement le suivi du patient diabétique et se limite à recenser les données fondamentales à enregistrer dans le dossier médical global (DMG) des patients diabétiques de type 2 qui bénéficient de la prestation </w:t>
      </w:r>
      <w:r w:rsidRPr="00C92E43">
        <w:rPr>
          <w:rFonts w:ascii="Times New Roman" w:hAnsi="Times New Roman"/>
          <w:color w:val="000000"/>
          <w:sz w:val="22"/>
          <w:szCs w:val="22"/>
          <w:shd w:val="clear" w:color="auto" w:fill="FFFFFF"/>
          <w:lang w:val="fr-FR"/>
        </w:rPr>
        <w:t>« Trajet de démarrage pour un patient diabétique de type 2 selon le protocole de soins établi par le Comité de l’assurance »</w:t>
      </w:r>
      <w:r w:rsidRPr="00C92E43">
        <w:rPr>
          <w:rFonts w:ascii="Times New Roman" w:hAnsi="Times New Roman"/>
          <w:lang w:val="fr-FR"/>
        </w:rPr>
        <w:t xml:space="preserve"> </w:t>
      </w:r>
      <w:r w:rsidRPr="00C92E43">
        <w:rPr>
          <w:rFonts w:ascii="Times New Roman" w:hAnsi="Times New Roman"/>
          <w:sz w:val="22"/>
          <w:szCs w:val="22"/>
          <w:lang w:val="fr-BE"/>
        </w:rPr>
        <w:t>(</w:t>
      </w:r>
      <w:r w:rsidRPr="00C92E43">
        <w:rPr>
          <w:rFonts w:ascii="Times New Roman" w:hAnsi="Times New Roman"/>
          <w:color w:val="000000"/>
          <w:sz w:val="22"/>
          <w:szCs w:val="22"/>
          <w:bdr w:val="none" w:sz="0" w:space="0" w:color="auto" w:frame="1"/>
          <w:lang w:val="fr-FR"/>
        </w:rPr>
        <w:t>400374)</w:t>
      </w:r>
      <w:r w:rsidRPr="00C92E43">
        <w:rPr>
          <w:rFonts w:ascii="Times New Roman" w:hAnsi="Times New Roman"/>
          <w:sz w:val="22"/>
          <w:szCs w:val="22"/>
          <w:lang w:val="fr-BE"/>
        </w:rPr>
        <w:t>.</w:t>
      </w:r>
    </w:p>
    <w:p w14:paraId="191C872F" w14:textId="77777777" w:rsidR="00B628C7" w:rsidRPr="00C92E43" w:rsidRDefault="00B628C7" w:rsidP="00B628C7">
      <w:pPr>
        <w:jc w:val="both"/>
        <w:rPr>
          <w:rFonts w:ascii="Times New Roman" w:hAnsi="Times New Roman"/>
          <w:bCs/>
          <w:sz w:val="22"/>
          <w:szCs w:val="22"/>
          <w:lang w:val="fr-FR"/>
        </w:rPr>
      </w:pPr>
      <w:r w:rsidRPr="00C92E43">
        <w:rPr>
          <w:rFonts w:ascii="Times New Roman" w:hAnsi="Times New Roman"/>
          <w:sz w:val="22"/>
          <w:szCs w:val="22"/>
          <w:lang w:val="fr-BE"/>
        </w:rPr>
        <w:tab/>
        <w:t>Les bénéficiaires de la prestation (</w:t>
      </w:r>
      <w:r w:rsidRPr="00C92E43">
        <w:rPr>
          <w:rFonts w:ascii="Times New Roman" w:hAnsi="Times New Roman"/>
          <w:color w:val="000000"/>
          <w:sz w:val="22"/>
          <w:szCs w:val="22"/>
          <w:bdr w:val="none" w:sz="0" w:space="0" w:color="auto" w:frame="1"/>
          <w:lang w:val="fr-FR"/>
        </w:rPr>
        <w:t xml:space="preserve">400374) </w:t>
      </w:r>
      <w:r w:rsidRPr="00C92E43">
        <w:rPr>
          <w:rFonts w:ascii="Times New Roman" w:hAnsi="Times New Roman"/>
          <w:color w:val="000000"/>
          <w:sz w:val="22"/>
          <w:szCs w:val="22"/>
          <w:shd w:val="clear" w:color="auto" w:fill="FFFFFF"/>
          <w:lang w:val="fr-FR"/>
        </w:rPr>
        <w:t>« Trajet de démarrage pour un patient diabétique de type 2 selon le protocole de soins établi par le Comité de l’assurance »</w:t>
      </w:r>
      <w:r w:rsidRPr="00C92E43">
        <w:rPr>
          <w:rFonts w:ascii="Times New Roman" w:hAnsi="Times New Roman"/>
          <w:lang w:val="fr-FR"/>
        </w:rPr>
        <w:t xml:space="preserve"> </w:t>
      </w:r>
      <w:r w:rsidRPr="00C92E43">
        <w:rPr>
          <w:rFonts w:ascii="Times New Roman" w:hAnsi="Times New Roman"/>
          <w:sz w:val="22"/>
          <w:szCs w:val="22"/>
          <w:lang w:val="fr-BE"/>
        </w:rPr>
        <w:t>ne participent pas à un trajet de soins ou à une convention pour patients diabétiques (</w:t>
      </w:r>
      <w:r w:rsidRPr="00C92E43">
        <w:rPr>
          <w:rFonts w:ascii="Times New Roman" w:hAnsi="Times New Roman"/>
          <w:sz w:val="22"/>
          <w:szCs w:val="22"/>
          <w:vertAlign w:val="superscript"/>
          <w:lang w:val="fr-BE"/>
        </w:rPr>
        <w:footnoteReference w:id="1"/>
      </w:r>
      <w:r w:rsidRPr="00C92E43">
        <w:rPr>
          <w:rFonts w:ascii="Times New Roman" w:hAnsi="Times New Roman"/>
          <w:sz w:val="22"/>
          <w:szCs w:val="22"/>
          <w:lang w:val="fr-BE"/>
        </w:rPr>
        <w:t>).</w:t>
      </w:r>
    </w:p>
    <w:p w14:paraId="767AE02D" w14:textId="77777777" w:rsidR="00B628C7" w:rsidRPr="00C92E43" w:rsidRDefault="00B628C7" w:rsidP="00B628C7">
      <w:pPr>
        <w:rPr>
          <w:rFonts w:ascii="Times New Roman" w:hAnsi="Times New Roman"/>
          <w:sz w:val="22"/>
          <w:szCs w:val="22"/>
          <w:lang w:val="fr-FR"/>
        </w:rPr>
      </w:pPr>
    </w:p>
    <w:p w14:paraId="62F710D6" w14:textId="77777777" w:rsidR="00B628C7" w:rsidRPr="00C92E43" w:rsidRDefault="00B628C7" w:rsidP="00B628C7">
      <w:pPr>
        <w:tabs>
          <w:tab w:val="left" w:pos="567"/>
        </w:tabs>
        <w:spacing w:after="100"/>
        <w:jc w:val="both"/>
        <w:rPr>
          <w:rFonts w:ascii="Times New Roman" w:hAnsi="Times New Roman"/>
          <w:sz w:val="22"/>
          <w:szCs w:val="22"/>
          <w:lang w:val="fr-FR"/>
        </w:rPr>
      </w:pPr>
      <w:r w:rsidRPr="00C92E43">
        <w:rPr>
          <w:rFonts w:ascii="Times New Roman" w:hAnsi="Times New Roman"/>
          <w:sz w:val="22"/>
          <w:szCs w:val="22"/>
          <w:lang w:val="fr-FR"/>
        </w:rPr>
        <w:t>Concrètement, les données de base suivantes doivent être enregistrées dans le DMG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3779"/>
      </w:tblGrid>
      <w:tr w:rsidR="00B628C7" w:rsidRPr="002869C6" w14:paraId="3346F097" w14:textId="77777777" w:rsidTr="00B260A7">
        <w:tc>
          <w:tcPr>
            <w:tcW w:w="8630" w:type="dxa"/>
            <w:gridSpan w:val="2"/>
            <w:shd w:val="clear" w:color="auto" w:fill="auto"/>
          </w:tcPr>
          <w:p w14:paraId="3B4DD090"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b/>
                <w:sz w:val="22"/>
                <w:szCs w:val="22"/>
                <w:lang w:val="fr-BE"/>
              </w:rPr>
              <w:t>A.</w:t>
            </w:r>
            <w:r w:rsidRPr="00C92E43">
              <w:rPr>
                <w:rFonts w:ascii="Times New Roman" w:hAnsi="Times New Roman"/>
                <w:b/>
                <w:sz w:val="22"/>
                <w:szCs w:val="22"/>
                <w:lang w:val="fr-BE"/>
              </w:rPr>
              <w:tab/>
              <w:t>DIAGNOSTIC</w:t>
            </w:r>
            <w:r w:rsidRPr="00C92E43">
              <w:rPr>
                <w:rFonts w:ascii="Times New Roman" w:hAnsi="Times New Roman"/>
                <w:sz w:val="22"/>
                <w:szCs w:val="22"/>
                <w:lang w:val="fr-BE"/>
              </w:rPr>
              <w:t xml:space="preserve"> (codé et enregistré dans la rubrique des maladies actives)</w:t>
            </w:r>
          </w:p>
        </w:tc>
      </w:tr>
      <w:tr w:rsidR="00B628C7" w:rsidRPr="002869C6" w14:paraId="6C850648" w14:textId="77777777" w:rsidTr="00B260A7">
        <w:tc>
          <w:tcPr>
            <w:tcW w:w="8630" w:type="dxa"/>
            <w:gridSpan w:val="2"/>
            <w:shd w:val="clear" w:color="auto" w:fill="auto"/>
          </w:tcPr>
          <w:p w14:paraId="4388A73F"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2869C6" w14:paraId="6DF174EA" w14:textId="77777777" w:rsidTr="00B260A7">
        <w:tc>
          <w:tcPr>
            <w:tcW w:w="4851" w:type="dxa"/>
            <w:shd w:val="clear" w:color="auto" w:fill="auto"/>
          </w:tcPr>
          <w:p w14:paraId="464EF5A9" w14:textId="77777777" w:rsidR="00B628C7" w:rsidRPr="00C92E43" w:rsidRDefault="00B628C7" w:rsidP="00B260A7">
            <w:pPr>
              <w:tabs>
                <w:tab w:val="left" w:pos="567"/>
              </w:tabs>
              <w:jc w:val="both"/>
              <w:rPr>
                <w:rFonts w:ascii="Times New Roman" w:hAnsi="Times New Roman"/>
                <w:b/>
                <w:sz w:val="22"/>
                <w:szCs w:val="22"/>
                <w:lang w:val="fr-BE"/>
              </w:rPr>
            </w:pPr>
            <w:r w:rsidRPr="00C92E43">
              <w:rPr>
                <w:rFonts w:ascii="Times New Roman" w:hAnsi="Times New Roman"/>
                <w:b/>
                <w:sz w:val="22"/>
                <w:szCs w:val="22"/>
                <w:lang w:val="fr-BE"/>
              </w:rPr>
              <w:t>B.</w:t>
            </w:r>
            <w:r w:rsidRPr="00C92E43">
              <w:rPr>
                <w:rFonts w:ascii="Times New Roman" w:hAnsi="Times New Roman"/>
                <w:b/>
                <w:sz w:val="22"/>
                <w:szCs w:val="22"/>
                <w:lang w:val="fr-BE"/>
              </w:rPr>
              <w:tab/>
              <w:t>SUIVI</w:t>
            </w:r>
          </w:p>
        </w:tc>
        <w:tc>
          <w:tcPr>
            <w:tcW w:w="3779" w:type="dxa"/>
            <w:shd w:val="clear" w:color="auto" w:fill="auto"/>
          </w:tcPr>
          <w:p w14:paraId="5E3337D3"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Temps maximum écoulé depuis le dernier enregistrement</w:t>
            </w:r>
          </w:p>
        </w:tc>
      </w:tr>
      <w:tr w:rsidR="00B628C7" w:rsidRPr="002869C6" w14:paraId="75A5C0C8" w14:textId="77777777" w:rsidTr="00B260A7">
        <w:tc>
          <w:tcPr>
            <w:tcW w:w="4851" w:type="dxa"/>
            <w:shd w:val="clear" w:color="auto" w:fill="auto"/>
          </w:tcPr>
          <w:p w14:paraId="631F17FC" w14:textId="77777777" w:rsidR="00B628C7" w:rsidRPr="00C92E43" w:rsidRDefault="00B628C7" w:rsidP="00B260A7">
            <w:pPr>
              <w:tabs>
                <w:tab w:val="left" w:pos="567"/>
              </w:tabs>
              <w:jc w:val="both"/>
              <w:rPr>
                <w:rFonts w:ascii="Times New Roman" w:hAnsi="Times New Roman"/>
                <w:b/>
                <w:sz w:val="22"/>
                <w:szCs w:val="22"/>
                <w:lang w:val="fr-BE"/>
              </w:rPr>
            </w:pPr>
          </w:p>
        </w:tc>
        <w:tc>
          <w:tcPr>
            <w:tcW w:w="3779" w:type="dxa"/>
            <w:shd w:val="clear" w:color="auto" w:fill="auto"/>
          </w:tcPr>
          <w:p w14:paraId="3AE81CCD"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27E1A9CD" w14:textId="77777777" w:rsidTr="00B260A7">
        <w:tc>
          <w:tcPr>
            <w:tcW w:w="4851" w:type="dxa"/>
            <w:shd w:val="clear" w:color="auto" w:fill="auto"/>
          </w:tcPr>
          <w:p w14:paraId="72E1B077" w14:textId="77777777" w:rsidR="00B628C7" w:rsidRPr="00C92E43" w:rsidRDefault="00B628C7" w:rsidP="00B260A7">
            <w:pPr>
              <w:numPr>
                <w:ilvl w:val="0"/>
                <w:numId w:val="11"/>
              </w:numPr>
              <w:tabs>
                <w:tab w:val="left" w:pos="567"/>
                <w:tab w:val="left" w:pos="993"/>
              </w:tabs>
              <w:jc w:val="both"/>
              <w:rPr>
                <w:rFonts w:ascii="Times New Roman" w:hAnsi="Times New Roman"/>
                <w:b/>
                <w:sz w:val="22"/>
                <w:szCs w:val="22"/>
                <w:lang w:val="fr-BE"/>
              </w:rPr>
            </w:pPr>
            <w:r w:rsidRPr="00C92E43">
              <w:rPr>
                <w:rFonts w:ascii="Times New Roman" w:hAnsi="Times New Roman"/>
                <w:b/>
                <w:sz w:val="22"/>
                <w:szCs w:val="22"/>
                <w:lang w:val="fr-BE"/>
              </w:rPr>
              <w:t>Mode de vie</w:t>
            </w:r>
          </w:p>
        </w:tc>
        <w:tc>
          <w:tcPr>
            <w:tcW w:w="3779" w:type="dxa"/>
            <w:shd w:val="clear" w:color="auto" w:fill="auto"/>
          </w:tcPr>
          <w:p w14:paraId="573BB027"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5ACD8ABA" w14:textId="77777777" w:rsidTr="00B260A7">
        <w:tc>
          <w:tcPr>
            <w:tcW w:w="4851" w:type="dxa"/>
            <w:shd w:val="clear" w:color="auto" w:fill="auto"/>
          </w:tcPr>
          <w:p w14:paraId="173BEAF4" w14:textId="77777777" w:rsidR="00B628C7" w:rsidRPr="00C92E43" w:rsidRDefault="00B628C7" w:rsidP="00B260A7">
            <w:pPr>
              <w:tabs>
                <w:tab w:val="left" w:pos="567"/>
                <w:tab w:val="left" w:pos="993"/>
              </w:tabs>
              <w:ind w:left="930"/>
              <w:jc w:val="both"/>
              <w:rPr>
                <w:rFonts w:ascii="Times New Roman" w:hAnsi="Times New Roman"/>
                <w:sz w:val="22"/>
                <w:szCs w:val="22"/>
                <w:lang w:val="fr-BE"/>
              </w:rPr>
            </w:pPr>
            <w:r w:rsidRPr="00C92E43">
              <w:rPr>
                <w:rFonts w:ascii="Times New Roman" w:hAnsi="Times New Roman"/>
                <w:sz w:val="22"/>
                <w:szCs w:val="22"/>
                <w:lang w:val="fr-BE"/>
              </w:rPr>
              <w:t>Comportement tabagique</w:t>
            </w:r>
          </w:p>
        </w:tc>
        <w:tc>
          <w:tcPr>
            <w:tcW w:w="3779" w:type="dxa"/>
            <w:shd w:val="clear" w:color="auto" w:fill="auto"/>
          </w:tcPr>
          <w:p w14:paraId="70B13F12"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27F58A82" w14:textId="77777777" w:rsidTr="00B260A7">
        <w:tc>
          <w:tcPr>
            <w:tcW w:w="4851" w:type="dxa"/>
            <w:shd w:val="clear" w:color="auto" w:fill="auto"/>
          </w:tcPr>
          <w:p w14:paraId="1A4FDEB5" w14:textId="77777777" w:rsidR="00B628C7" w:rsidRPr="00C92E43" w:rsidRDefault="00B628C7" w:rsidP="00B260A7">
            <w:pPr>
              <w:tabs>
                <w:tab w:val="left" w:pos="567"/>
                <w:tab w:val="left" w:pos="993"/>
              </w:tabs>
              <w:ind w:left="930"/>
              <w:jc w:val="both"/>
              <w:rPr>
                <w:rFonts w:ascii="Times New Roman" w:hAnsi="Times New Roman"/>
                <w:sz w:val="22"/>
                <w:szCs w:val="22"/>
                <w:lang w:val="fr-BE"/>
              </w:rPr>
            </w:pPr>
            <w:r w:rsidRPr="00C92E43">
              <w:rPr>
                <w:rFonts w:ascii="Times New Roman" w:hAnsi="Times New Roman"/>
                <w:sz w:val="22"/>
                <w:szCs w:val="22"/>
                <w:lang w:val="fr-BE"/>
              </w:rPr>
              <w:t>Alimentation</w:t>
            </w:r>
          </w:p>
        </w:tc>
        <w:tc>
          <w:tcPr>
            <w:tcW w:w="3779" w:type="dxa"/>
            <w:shd w:val="clear" w:color="auto" w:fill="auto"/>
          </w:tcPr>
          <w:p w14:paraId="051F9721"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1A5CB119" w14:textId="77777777" w:rsidTr="00B260A7">
        <w:tc>
          <w:tcPr>
            <w:tcW w:w="4851" w:type="dxa"/>
            <w:shd w:val="clear" w:color="auto" w:fill="auto"/>
          </w:tcPr>
          <w:p w14:paraId="11CF5593" w14:textId="77777777" w:rsidR="00B628C7" w:rsidRPr="00C92E43" w:rsidRDefault="00B628C7" w:rsidP="00B260A7">
            <w:pPr>
              <w:tabs>
                <w:tab w:val="left" w:pos="567"/>
                <w:tab w:val="left" w:pos="993"/>
              </w:tabs>
              <w:ind w:left="930"/>
              <w:jc w:val="both"/>
              <w:rPr>
                <w:rFonts w:ascii="Times New Roman" w:hAnsi="Times New Roman"/>
                <w:sz w:val="22"/>
                <w:szCs w:val="22"/>
                <w:lang w:val="fr-BE"/>
              </w:rPr>
            </w:pPr>
            <w:r w:rsidRPr="00C92E43">
              <w:rPr>
                <w:rFonts w:ascii="Times New Roman" w:hAnsi="Times New Roman"/>
                <w:sz w:val="22"/>
                <w:szCs w:val="22"/>
                <w:lang w:val="fr-BE"/>
              </w:rPr>
              <w:t xml:space="preserve">Activité physique </w:t>
            </w:r>
          </w:p>
        </w:tc>
        <w:tc>
          <w:tcPr>
            <w:tcW w:w="3779" w:type="dxa"/>
            <w:shd w:val="clear" w:color="auto" w:fill="auto"/>
          </w:tcPr>
          <w:p w14:paraId="5A12B2A8"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09DCD891" w14:textId="77777777" w:rsidTr="00B260A7">
        <w:tc>
          <w:tcPr>
            <w:tcW w:w="4851" w:type="dxa"/>
            <w:shd w:val="clear" w:color="auto" w:fill="auto"/>
          </w:tcPr>
          <w:p w14:paraId="7102CC4B" w14:textId="77777777" w:rsidR="00B628C7" w:rsidRPr="00C92E43" w:rsidRDefault="00B628C7" w:rsidP="00B260A7">
            <w:pPr>
              <w:tabs>
                <w:tab w:val="left" w:pos="567"/>
                <w:tab w:val="left" w:pos="993"/>
              </w:tabs>
              <w:ind w:left="930"/>
              <w:jc w:val="both"/>
              <w:rPr>
                <w:rFonts w:ascii="Times New Roman" w:hAnsi="Times New Roman"/>
                <w:sz w:val="22"/>
                <w:szCs w:val="22"/>
                <w:lang w:val="fr-BE"/>
              </w:rPr>
            </w:pPr>
          </w:p>
        </w:tc>
        <w:tc>
          <w:tcPr>
            <w:tcW w:w="3779" w:type="dxa"/>
            <w:shd w:val="clear" w:color="auto" w:fill="auto"/>
          </w:tcPr>
          <w:p w14:paraId="13644CA4"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17AEBE90" w14:textId="77777777" w:rsidTr="00B260A7">
        <w:tc>
          <w:tcPr>
            <w:tcW w:w="4851" w:type="dxa"/>
            <w:shd w:val="clear" w:color="auto" w:fill="auto"/>
          </w:tcPr>
          <w:p w14:paraId="786CF3DC" w14:textId="77777777" w:rsidR="00B628C7" w:rsidRPr="00C92E43" w:rsidRDefault="00B628C7" w:rsidP="00B260A7">
            <w:pPr>
              <w:numPr>
                <w:ilvl w:val="0"/>
                <w:numId w:val="11"/>
              </w:numPr>
              <w:tabs>
                <w:tab w:val="left" w:pos="567"/>
                <w:tab w:val="left" w:pos="993"/>
              </w:tabs>
              <w:jc w:val="both"/>
              <w:rPr>
                <w:rFonts w:ascii="Times New Roman" w:hAnsi="Times New Roman"/>
                <w:b/>
                <w:sz w:val="22"/>
                <w:szCs w:val="22"/>
                <w:lang w:val="fr-BE"/>
              </w:rPr>
            </w:pPr>
            <w:r w:rsidRPr="00C92E43">
              <w:rPr>
                <w:rFonts w:ascii="Times New Roman" w:hAnsi="Times New Roman"/>
                <w:b/>
                <w:sz w:val="22"/>
                <w:szCs w:val="22"/>
                <w:lang w:val="fr-BE"/>
              </w:rPr>
              <w:t>Clinique</w:t>
            </w:r>
          </w:p>
        </w:tc>
        <w:tc>
          <w:tcPr>
            <w:tcW w:w="3779" w:type="dxa"/>
            <w:shd w:val="clear" w:color="auto" w:fill="auto"/>
          </w:tcPr>
          <w:p w14:paraId="06D4402D"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6D19CF30" w14:textId="77777777" w:rsidTr="00B260A7">
        <w:tc>
          <w:tcPr>
            <w:tcW w:w="4851" w:type="dxa"/>
            <w:shd w:val="clear" w:color="auto" w:fill="auto"/>
          </w:tcPr>
          <w:p w14:paraId="25D16757" w14:textId="77777777" w:rsidR="00B628C7" w:rsidRPr="00C92E43" w:rsidRDefault="00B628C7" w:rsidP="00B260A7">
            <w:pPr>
              <w:tabs>
                <w:tab w:val="left" w:pos="567"/>
                <w:tab w:val="left" w:pos="993"/>
              </w:tabs>
              <w:jc w:val="both"/>
              <w:rPr>
                <w:rFonts w:ascii="Times New Roman" w:hAnsi="Times New Roman"/>
                <w:sz w:val="22"/>
                <w:szCs w:val="22"/>
                <w:lang w:val="fr-BE"/>
              </w:rPr>
            </w:pPr>
            <w:r w:rsidRPr="00C92E43">
              <w:rPr>
                <w:rFonts w:ascii="Times New Roman" w:hAnsi="Times New Roman"/>
                <w:sz w:val="22"/>
                <w:szCs w:val="22"/>
                <w:lang w:val="fr-BE"/>
              </w:rPr>
              <w:tab/>
            </w:r>
            <w:r w:rsidRPr="00C92E43">
              <w:rPr>
                <w:rFonts w:ascii="Times New Roman" w:hAnsi="Times New Roman"/>
                <w:sz w:val="22"/>
                <w:szCs w:val="22"/>
                <w:lang w:val="fr-BE"/>
              </w:rPr>
              <w:tab/>
              <w:t>BMI</w:t>
            </w:r>
          </w:p>
        </w:tc>
        <w:tc>
          <w:tcPr>
            <w:tcW w:w="3779" w:type="dxa"/>
            <w:shd w:val="clear" w:color="auto" w:fill="auto"/>
          </w:tcPr>
          <w:p w14:paraId="6D7643F4"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0B5423C4" w14:textId="77777777" w:rsidTr="00B260A7">
        <w:tc>
          <w:tcPr>
            <w:tcW w:w="4851" w:type="dxa"/>
            <w:shd w:val="clear" w:color="auto" w:fill="auto"/>
          </w:tcPr>
          <w:p w14:paraId="122E65D7" w14:textId="77777777" w:rsidR="00B628C7" w:rsidRPr="00C92E43" w:rsidRDefault="00B628C7" w:rsidP="00B260A7">
            <w:pPr>
              <w:tabs>
                <w:tab w:val="left" w:pos="567"/>
                <w:tab w:val="left" w:pos="993"/>
              </w:tabs>
              <w:jc w:val="both"/>
              <w:rPr>
                <w:rFonts w:ascii="Times New Roman" w:hAnsi="Times New Roman"/>
                <w:sz w:val="22"/>
                <w:szCs w:val="22"/>
                <w:lang w:val="fr-BE"/>
              </w:rPr>
            </w:pPr>
            <w:r w:rsidRPr="00C92E43">
              <w:rPr>
                <w:rFonts w:ascii="Times New Roman" w:hAnsi="Times New Roman"/>
                <w:sz w:val="22"/>
                <w:szCs w:val="22"/>
                <w:lang w:val="fr-BE"/>
              </w:rPr>
              <w:tab/>
            </w:r>
            <w:r w:rsidRPr="00C92E43">
              <w:rPr>
                <w:rFonts w:ascii="Times New Roman" w:hAnsi="Times New Roman"/>
                <w:sz w:val="22"/>
                <w:szCs w:val="22"/>
                <w:lang w:val="fr-BE"/>
              </w:rPr>
              <w:tab/>
              <w:t>TA</w:t>
            </w:r>
          </w:p>
        </w:tc>
        <w:tc>
          <w:tcPr>
            <w:tcW w:w="3779" w:type="dxa"/>
            <w:shd w:val="clear" w:color="auto" w:fill="auto"/>
          </w:tcPr>
          <w:p w14:paraId="1905B742"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6 mois</w:t>
            </w:r>
          </w:p>
        </w:tc>
      </w:tr>
      <w:tr w:rsidR="00B628C7" w:rsidRPr="00C92E43" w14:paraId="5CB496B4" w14:textId="77777777" w:rsidTr="00B260A7">
        <w:tc>
          <w:tcPr>
            <w:tcW w:w="4851" w:type="dxa"/>
            <w:shd w:val="clear" w:color="auto" w:fill="auto"/>
          </w:tcPr>
          <w:p w14:paraId="35ECBFF0" w14:textId="77777777" w:rsidR="00B628C7" w:rsidRPr="00C92E43" w:rsidRDefault="00B628C7" w:rsidP="00B260A7">
            <w:pPr>
              <w:tabs>
                <w:tab w:val="left" w:pos="567"/>
                <w:tab w:val="left" w:pos="993"/>
              </w:tabs>
              <w:jc w:val="both"/>
              <w:rPr>
                <w:rFonts w:ascii="Times New Roman" w:hAnsi="Times New Roman"/>
                <w:sz w:val="22"/>
                <w:szCs w:val="22"/>
                <w:lang w:val="fr-BE"/>
              </w:rPr>
            </w:pPr>
            <w:r w:rsidRPr="00C92E43">
              <w:rPr>
                <w:rFonts w:ascii="Times New Roman" w:hAnsi="Times New Roman"/>
                <w:sz w:val="22"/>
                <w:szCs w:val="22"/>
                <w:lang w:val="fr-BE"/>
              </w:rPr>
              <w:tab/>
            </w:r>
            <w:r w:rsidRPr="00C92E43">
              <w:rPr>
                <w:rFonts w:ascii="Times New Roman" w:hAnsi="Times New Roman"/>
                <w:sz w:val="22"/>
                <w:szCs w:val="22"/>
                <w:lang w:val="fr-BE"/>
              </w:rPr>
              <w:tab/>
              <w:t>Evaluation du risque de plaie aux pieds</w:t>
            </w:r>
          </w:p>
        </w:tc>
        <w:tc>
          <w:tcPr>
            <w:tcW w:w="3779" w:type="dxa"/>
            <w:shd w:val="clear" w:color="auto" w:fill="auto"/>
          </w:tcPr>
          <w:p w14:paraId="568C3AB2"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C92E43" w14:paraId="2C047941" w14:textId="77777777" w:rsidTr="00B260A7">
        <w:tc>
          <w:tcPr>
            <w:tcW w:w="4851" w:type="dxa"/>
            <w:shd w:val="clear" w:color="auto" w:fill="auto"/>
          </w:tcPr>
          <w:p w14:paraId="170661A4" w14:textId="77777777" w:rsidR="00B628C7" w:rsidRPr="00C92E43" w:rsidRDefault="00B628C7" w:rsidP="00B260A7">
            <w:pPr>
              <w:tabs>
                <w:tab w:val="left" w:pos="567"/>
                <w:tab w:val="left" w:pos="993"/>
              </w:tabs>
              <w:jc w:val="both"/>
              <w:rPr>
                <w:rFonts w:ascii="Times New Roman" w:hAnsi="Times New Roman"/>
                <w:sz w:val="22"/>
                <w:szCs w:val="22"/>
                <w:lang w:val="fr-BE"/>
              </w:rPr>
            </w:pPr>
          </w:p>
        </w:tc>
        <w:tc>
          <w:tcPr>
            <w:tcW w:w="3779" w:type="dxa"/>
            <w:shd w:val="clear" w:color="auto" w:fill="auto"/>
          </w:tcPr>
          <w:p w14:paraId="6ADC99C8"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7271B922" w14:textId="77777777" w:rsidTr="00B260A7">
        <w:tc>
          <w:tcPr>
            <w:tcW w:w="4851" w:type="dxa"/>
            <w:shd w:val="clear" w:color="auto" w:fill="auto"/>
          </w:tcPr>
          <w:p w14:paraId="42AC8629" w14:textId="77777777" w:rsidR="00B628C7" w:rsidRPr="00C92E43" w:rsidRDefault="00B628C7" w:rsidP="00B260A7">
            <w:pPr>
              <w:numPr>
                <w:ilvl w:val="0"/>
                <w:numId w:val="11"/>
              </w:numPr>
              <w:tabs>
                <w:tab w:val="left" w:pos="567"/>
                <w:tab w:val="left" w:pos="993"/>
              </w:tabs>
              <w:jc w:val="both"/>
              <w:rPr>
                <w:rFonts w:ascii="Times New Roman" w:hAnsi="Times New Roman"/>
                <w:b/>
                <w:sz w:val="22"/>
                <w:szCs w:val="22"/>
                <w:lang w:val="fr-BE"/>
              </w:rPr>
            </w:pPr>
            <w:r w:rsidRPr="00C92E43">
              <w:rPr>
                <w:rFonts w:ascii="Times New Roman" w:hAnsi="Times New Roman"/>
                <w:b/>
                <w:sz w:val="22"/>
                <w:szCs w:val="22"/>
                <w:lang w:val="fr-BE"/>
              </w:rPr>
              <w:t>Analyses</w:t>
            </w:r>
          </w:p>
        </w:tc>
        <w:tc>
          <w:tcPr>
            <w:tcW w:w="3779" w:type="dxa"/>
            <w:shd w:val="clear" w:color="auto" w:fill="auto"/>
          </w:tcPr>
          <w:p w14:paraId="6FA39AAC"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65D28203" w14:textId="77777777" w:rsidTr="00B260A7">
        <w:tc>
          <w:tcPr>
            <w:tcW w:w="4851" w:type="dxa"/>
            <w:shd w:val="clear" w:color="auto" w:fill="auto"/>
          </w:tcPr>
          <w:p w14:paraId="0FD848E9" w14:textId="77777777" w:rsidR="00B628C7" w:rsidRPr="00C92E43" w:rsidRDefault="00B628C7" w:rsidP="00B260A7">
            <w:pPr>
              <w:tabs>
                <w:tab w:val="left" w:pos="567"/>
                <w:tab w:val="left" w:pos="993"/>
              </w:tabs>
              <w:jc w:val="both"/>
              <w:rPr>
                <w:rFonts w:ascii="Times New Roman" w:hAnsi="Times New Roman"/>
                <w:sz w:val="22"/>
                <w:szCs w:val="22"/>
                <w:lang w:val="fr-BE"/>
              </w:rPr>
            </w:pPr>
            <w:r w:rsidRPr="00C92E43">
              <w:rPr>
                <w:rFonts w:ascii="Times New Roman" w:hAnsi="Times New Roman"/>
                <w:sz w:val="22"/>
                <w:szCs w:val="22"/>
                <w:lang w:val="fr-BE"/>
              </w:rPr>
              <w:tab/>
            </w:r>
            <w:r w:rsidRPr="00C92E43">
              <w:rPr>
                <w:rFonts w:ascii="Times New Roman" w:hAnsi="Times New Roman"/>
                <w:sz w:val="22"/>
                <w:szCs w:val="22"/>
                <w:lang w:val="fr-BE"/>
              </w:rPr>
              <w:tab/>
              <w:t>HbA1c</w:t>
            </w:r>
          </w:p>
        </w:tc>
        <w:tc>
          <w:tcPr>
            <w:tcW w:w="3779" w:type="dxa"/>
            <w:shd w:val="clear" w:color="auto" w:fill="auto"/>
          </w:tcPr>
          <w:p w14:paraId="7771DA59"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6mois</w:t>
            </w:r>
          </w:p>
        </w:tc>
      </w:tr>
      <w:tr w:rsidR="00B628C7" w:rsidRPr="00C92E43" w14:paraId="23F0ACA3" w14:textId="77777777" w:rsidTr="00B260A7">
        <w:tc>
          <w:tcPr>
            <w:tcW w:w="4851" w:type="dxa"/>
            <w:shd w:val="clear" w:color="auto" w:fill="auto"/>
          </w:tcPr>
          <w:p w14:paraId="57D2ACB1" w14:textId="77777777" w:rsidR="00B628C7" w:rsidRPr="00C92E43" w:rsidRDefault="00B628C7" w:rsidP="00B260A7">
            <w:pPr>
              <w:tabs>
                <w:tab w:val="left" w:pos="567"/>
                <w:tab w:val="left" w:pos="993"/>
              </w:tabs>
              <w:jc w:val="both"/>
              <w:rPr>
                <w:rFonts w:ascii="Times New Roman" w:hAnsi="Times New Roman"/>
                <w:sz w:val="22"/>
                <w:szCs w:val="22"/>
                <w:lang w:val="fr-BE"/>
              </w:rPr>
            </w:pPr>
            <w:r w:rsidRPr="00C92E43">
              <w:rPr>
                <w:rFonts w:ascii="Times New Roman" w:hAnsi="Times New Roman"/>
                <w:sz w:val="22"/>
                <w:szCs w:val="22"/>
                <w:lang w:val="fr-BE"/>
              </w:rPr>
              <w:tab/>
            </w:r>
            <w:r w:rsidRPr="00C92E43">
              <w:rPr>
                <w:rFonts w:ascii="Times New Roman" w:hAnsi="Times New Roman"/>
                <w:sz w:val="22"/>
                <w:szCs w:val="22"/>
                <w:lang w:val="fr-BE"/>
              </w:rPr>
              <w:tab/>
              <w:t>Bilan lipidique</w:t>
            </w:r>
          </w:p>
        </w:tc>
        <w:tc>
          <w:tcPr>
            <w:tcW w:w="3779" w:type="dxa"/>
            <w:shd w:val="clear" w:color="auto" w:fill="auto"/>
          </w:tcPr>
          <w:p w14:paraId="4837E8F4"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C92E43" w14:paraId="7371602F" w14:textId="77777777" w:rsidTr="00B260A7">
        <w:tc>
          <w:tcPr>
            <w:tcW w:w="4851" w:type="dxa"/>
            <w:shd w:val="clear" w:color="auto" w:fill="auto"/>
          </w:tcPr>
          <w:p w14:paraId="631BB471" w14:textId="77777777" w:rsidR="00B628C7" w:rsidRPr="00C92E43" w:rsidRDefault="00B628C7" w:rsidP="00B260A7">
            <w:pPr>
              <w:tabs>
                <w:tab w:val="left" w:pos="567"/>
                <w:tab w:val="left" w:pos="993"/>
                <w:tab w:val="left" w:pos="1276"/>
              </w:tabs>
              <w:rPr>
                <w:rFonts w:ascii="Times New Roman" w:hAnsi="Times New Roman"/>
                <w:sz w:val="22"/>
                <w:szCs w:val="22"/>
                <w:lang w:val="fr-BE"/>
              </w:rPr>
            </w:pPr>
            <w:r w:rsidRPr="00C92E43">
              <w:rPr>
                <w:rFonts w:ascii="Times New Roman" w:hAnsi="Times New Roman"/>
                <w:sz w:val="22"/>
                <w:szCs w:val="22"/>
                <w:lang w:val="fr-BE"/>
              </w:rPr>
              <w:t xml:space="preserve">                  Fonction rénale</w:t>
            </w:r>
          </w:p>
        </w:tc>
        <w:tc>
          <w:tcPr>
            <w:tcW w:w="3779" w:type="dxa"/>
            <w:shd w:val="clear" w:color="auto" w:fill="auto"/>
          </w:tcPr>
          <w:p w14:paraId="38E63AFA"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C92E43" w14:paraId="7CEFBA14" w14:textId="77777777" w:rsidTr="00B260A7">
        <w:tc>
          <w:tcPr>
            <w:tcW w:w="4851" w:type="dxa"/>
            <w:shd w:val="clear" w:color="auto" w:fill="auto"/>
          </w:tcPr>
          <w:p w14:paraId="5F83E355" w14:textId="006179EC" w:rsidR="00B628C7" w:rsidRPr="00C92E43" w:rsidRDefault="00B628C7" w:rsidP="00B260A7">
            <w:pPr>
              <w:tabs>
                <w:tab w:val="left" w:pos="567"/>
                <w:tab w:val="left" w:pos="993"/>
                <w:tab w:val="left" w:pos="1276"/>
              </w:tabs>
              <w:rPr>
                <w:rFonts w:ascii="Times New Roman" w:hAnsi="Times New Roman"/>
                <w:sz w:val="22"/>
                <w:szCs w:val="22"/>
                <w:lang w:val="fr-BE"/>
              </w:rPr>
            </w:pPr>
            <w:r w:rsidRPr="00C92E43">
              <w:rPr>
                <w:rFonts w:ascii="Times New Roman" w:hAnsi="Times New Roman"/>
                <w:sz w:val="22"/>
                <w:szCs w:val="22"/>
                <w:lang w:val="fr-BE"/>
              </w:rPr>
              <w:t xml:space="preserve">                  </w:t>
            </w:r>
            <w:r w:rsidR="00344E8A">
              <w:rPr>
                <w:rFonts w:ascii="Times New Roman" w:hAnsi="Times New Roman"/>
                <w:sz w:val="22"/>
                <w:szCs w:val="22"/>
                <w:lang w:val="fr-BE"/>
              </w:rPr>
              <w:t xml:space="preserve">Urine </w:t>
            </w:r>
            <w:proofErr w:type="spellStart"/>
            <w:r w:rsidR="00344E8A">
              <w:rPr>
                <w:rFonts w:ascii="Times New Roman" w:hAnsi="Times New Roman"/>
                <w:sz w:val="22"/>
                <w:szCs w:val="22"/>
                <w:lang w:val="fr-BE"/>
              </w:rPr>
              <w:t>albumin-creatinine</w:t>
            </w:r>
            <w:proofErr w:type="spellEnd"/>
            <w:r w:rsidR="00344E8A">
              <w:rPr>
                <w:rFonts w:ascii="Times New Roman" w:hAnsi="Times New Roman"/>
                <w:sz w:val="22"/>
                <w:szCs w:val="22"/>
                <w:lang w:val="fr-BE"/>
              </w:rPr>
              <w:t xml:space="preserve"> ratio</w:t>
            </w:r>
          </w:p>
        </w:tc>
        <w:tc>
          <w:tcPr>
            <w:tcW w:w="3779" w:type="dxa"/>
            <w:shd w:val="clear" w:color="auto" w:fill="auto"/>
          </w:tcPr>
          <w:p w14:paraId="61B5223F"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C92E43" w14:paraId="28D2ECE5" w14:textId="77777777" w:rsidTr="00B260A7">
        <w:tc>
          <w:tcPr>
            <w:tcW w:w="4851" w:type="dxa"/>
            <w:shd w:val="clear" w:color="auto" w:fill="auto"/>
          </w:tcPr>
          <w:p w14:paraId="13C28063" w14:textId="77777777" w:rsidR="00B628C7" w:rsidRPr="00C92E43" w:rsidRDefault="00B628C7" w:rsidP="00B260A7">
            <w:pPr>
              <w:tabs>
                <w:tab w:val="left" w:pos="567"/>
                <w:tab w:val="left" w:pos="993"/>
                <w:tab w:val="left" w:pos="1276"/>
              </w:tabs>
              <w:jc w:val="both"/>
              <w:rPr>
                <w:rFonts w:ascii="Times New Roman" w:hAnsi="Times New Roman"/>
                <w:sz w:val="22"/>
                <w:szCs w:val="22"/>
                <w:lang w:val="fr-BE"/>
              </w:rPr>
            </w:pPr>
          </w:p>
        </w:tc>
        <w:tc>
          <w:tcPr>
            <w:tcW w:w="3779" w:type="dxa"/>
            <w:shd w:val="clear" w:color="auto" w:fill="auto"/>
          </w:tcPr>
          <w:p w14:paraId="27C417D4"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6E6E01CC" w14:textId="77777777" w:rsidTr="00B260A7">
        <w:tc>
          <w:tcPr>
            <w:tcW w:w="4851" w:type="dxa"/>
            <w:shd w:val="clear" w:color="auto" w:fill="auto"/>
          </w:tcPr>
          <w:p w14:paraId="3ED6CE9B" w14:textId="77777777" w:rsidR="00B628C7" w:rsidRPr="00C92E43" w:rsidRDefault="00B628C7" w:rsidP="00B260A7">
            <w:pPr>
              <w:numPr>
                <w:ilvl w:val="0"/>
                <w:numId w:val="11"/>
              </w:numPr>
              <w:tabs>
                <w:tab w:val="left" w:pos="567"/>
                <w:tab w:val="left" w:pos="993"/>
                <w:tab w:val="left" w:pos="1276"/>
              </w:tabs>
              <w:jc w:val="both"/>
              <w:rPr>
                <w:rFonts w:ascii="Times New Roman" w:hAnsi="Times New Roman"/>
                <w:b/>
                <w:sz w:val="22"/>
                <w:szCs w:val="22"/>
                <w:lang w:val="fr-BE"/>
              </w:rPr>
            </w:pPr>
            <w:r w:rsidRPr="00C92E43">
              <w:rPr>
                <w:rFonts w:ascii="Times New Roman" w:hAnsi="Times New Roman"/>
                <w:b/>
                <w:sz w:val="22"/>
                <w:szCs w:val="22"/>
                <w:lang w:val="fr-BE"/>
              </w:rPr>
              <w:t>Consultations spécialisées</w:t>
            </w:r>
          </w:p>
        </w:tc>
        <w:tc>
          <w:tcPr>
            <w:tcW w:w="3779" w:type="dxa"/>
            <w:shd w:val="clear" w:color="auto" w:fill="auto"/>
          </w:tcPr>
          <w:p w14:paraId="51C0D9BD" w14:textId="77777777" w:rsidR="00B628C7" w:rsidRPr="00C92E43" w:rsidRDefault="00B628C7" w:rsidP="00B260A7">
            <w:pPr>
              <w:tabs>
                <w:tab w:val="left" w:pos="567"/>
              </w:tabs>
              <w:jc w:val="both"/>
              <w:rPr>
                <w:rFonts w:ascii="Times New Roman" w:hAnsi="Times New Roman"/>
                <w:sz w:val="22"/>
                <w:szCs w:val="22"/>
                <w:lang w:val="fr-BE"/>
              </w:rPr>
            </w:pPr>
          </w:p>
        </w:tc>
      </w:tr>
      <w:tr w:rsidR="00B628C7" w:rsidRPr="00C92E43" w14:paraId="393643A7" w14:textId="77777777" w:rsidTr="00B260A7">
        <w:tc>
          <w:tcPr>
            <w:tcW w:w="4851" w:type="dxa"/>
            <w:shd w:val="clear" w:color="auto" w:fill="auto"/>
          </w:tcPr>
          <w:p w14:paraId="0D47DCA8" w14:textId="77777777" w:rsidR="00B628C7" w:rsidRPr="00C92E43" w:rsidRDefault="00B628C7" w:rsidP="00B260A7">
            <w:pPr>
              <w:tabs>
                <w:tab w:val="left" w:pos="567"/>
                <w:tab w:val="left" w:pos="993"/>
                <w:tab w:val="left" w:pos="1276"/>
              </w:tabs>
              <w:ind w:left="930"/>
              <w:jc w:val="both"/>
              <w:rPr>
                <w:rFonts w:ascii="Times New Roman" w:hAnsi="Times New Roman"/>
                <w:sz w:val="22"/>
                <w:szCs w:val="22"/>
                <w:lang w:val="fr-BE"/>
              </w:rPr>
            </w:pPr>
            <w:r w:rsidRPr="00C92E43">
              <w:rPr>
                <w:rFonts w:ascii="Times New Roman" w:hAnsi="Times New Roman"/>
                <w:sz w:val="22"/>
                <w:szCs w:val="22"/>
                <w:lang w:val="fr-BE"/>
              </w:rPr>
              <w:t>Demande d’examen ophtalmologique</w:t>
            </w:r>
          </w:p>
        </w:tc>
        <w:tc>
          <w:tcPr>
            <w:tcW w:w="3779" w:type="dxa"/>
            <w:shd w:val="clear" w:color="auto" w:fill="auto"/>
          </w:tcPr>
          <w:p w14:paraId="18E8E217"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C92E43" w14:paraId="16DDDD1B" w14:textId="77777777" w:rsidTr="00B260A7">
        <w:tc>
          <w:tcPr>
            <w:tcW w:w="4851" w:type="dxa"/>
            <w:shd w:val="clear" w:color="auto" w:fill="auto"/>
          </w:tcPr>
          <w:p w14:paraId="71CE3974" w14:textId="77777777" w:rsidR="00B628C7" w:rsidRPr="00C92E43" w:rsidRDefault="00B628C7" w:rsidP="00B260A7">
            <w:pPr>
              <w:tabs>
                <w:tab w:val="left" w:pos="567"/>
                <w:tab w:val="left" w:pos="993"/>
                <w:tab w:val="left" w:pos="1276"/>
              </w:tabs>
              <w:ind w:left="930"/>
              <w:jc w:val="both"/>
              <w:rPr>
                <w:rFonts w:ascii="Times New Roman" w:hAnsi="Times New Roman"/>
                <w:sz w:val="22"/>
                <w:szCs w:val="22"/>
                <w:lang w:val="fr-BE"/>
              </w:rPr>
            </w:pPr>
            <w:r w:rsidRPr="00C92E43">
              <w:rPr>
                <w:rFonts w:ascii="Times New Roman" w:hAnsi="Times New Roman"/>
                <w:sz w:val="22"/>
                <w:szCs w:val="22"/>
                <w:lang w:val="fr-BE"/>
              </w:rPr>
              <w:t>Consultation chez le dentiste</w:t>
            </w:r>
          </w:p>
        </w:tc>
        <w:tc>
          <w:tcPr>
            <w:tcW w:w="3779" w:type="dxa"/>
            <w:shd w:val="clear" w:color="auto" w:fill="auto"/>
          </w:tcPr>
          <w:p w14:paraId="0F7F048A" w14:textId="77777777" w:rsidR="00B628C7" w:rsidRPr="00C92E43" w:rsidRDefault="00B628C7" w:rsidP="00B260A7">
            <w:pPr>
              <w:tabs>
                <w:tab w:val="left" w:pos="567"/>
              </w:tabs>
              <w:jc w:val="both"/>
              <w:rPr>
                <w:rFonts w:ascii="Times New Roman" w:hAnsi="Times New Roman"/>
                <w:sz w:val="22"/>
                <w:szCs w:val="22"/>
                <w:lang w:val="fr-BE"/>
              </w:rPr>
            </w:pPr>
            <w:r w:rsidRPr="00C92E43">
              <w:rPr>
                <w:rFonts w:ascii="Times New Roman" w:hAnsi="Times New Roman"/>
                <w:sz w:val="22"/>
                <w:szCs w:val="22"/>
                <w:lang w:val="fr-BE"/>
              </w:rPr>
              <w:t>15 mois</w:t>
            </w:r>
          </w:p>
        </w:tc>
      </w:tr>
      <w:tr w:rsidR="00B628C7" w:rsidRPr="002869C6" w14:paraId="0F9ACD6E" w14:textId="77777777" w:rsidTr="00B260A7">
        <w:tc>
          <w:tcPr>
            <w:tcW w:w="8630" w:type="dxa"/>
            <w:gridSpan w:val="2"/>
            <w:shd w:val="clear" w:color="auto" w:fill="auto"/>
          </w:tcPr>
          <w:p w14:paraId="58780669" w14:textId="77777777" w:rsidR="00B628C7" w:rsidRPr="00C92E43" w:rsidRDefault="00B628C7" w:rsidP="00B260A7">
            <w:pPr>
              <w:tabs>
                <w:tab w:val="left" w:pos="567"/>
              </w:tabs>
              <w:jc w:val="both"/>
              <w:rPr>
                <w:rFonts w:ascii="Times New Roman" w:hAnsi="Times New Roman"/>
                <w:b/>
                <w:sz w:val="22"/>
                <w:szCs w:val="22"/>
                <w:lang w:val="fr-BE"/>
              </w:rPr>
            </w:pPr>
            <w:r w:rsidRPr="00C92E43">
              <w:rPr>
                <w:rFonts w:ascii="Times New Roman" w:hAnsi="Times New Roman"/>
                <w:b/>
                <w:sz w:val="22"/>
                <w:szCs w:val="22"/>
                <w:lang w:val="fr-BE"/>
              </w:rPr>
              <w:t>C.</w:t>
            </w:r>
            <w:r w:rsidRPr="00C92E43">
              <w:rPr>
                <w:rFonts w:ascii="Times New Roman" w:hAnsi="Times New Roman"/>
                <w:b/>
                <w:sz w:val="22"/>
                <w:szCs w:val="22"/>
                <w:lang w:val="fr-BE"/>
              </w:rPr>
              <w:tab/>
              <w:t>FIXATION DES OBJECTIFS AVEC LE PATIENT</w:t>
            </w:r>
          </w:p>
        </w:tc>
      </w:tr>
    </w:tbl>
    <w:p w14:paraId="40C79BED" w14:textId="77777777" w:rsidR="00B628C7" w:rsidRPr="00C92E43" w:rsidRDefault="00B628C7" w:rsidP="002869C6">
      <w:pPr>
        <w:tabs>
          <w:tab w:val="left" w:pos="567"/>
        </w:tabs>
        <w:spacing w:after="100"/>
        <w:jc w:val="both"/>
        <w:rPr>
          <w:rFonts w:ascii="Times New Roman" w:hAnsi="Times New Roman"/>
          <w:sz w:val="22"/>
          <w:szCs w:val="22"/>
          <w:lang w:val="fr-BE"/>
        </w:rPr>
      </w:pPr>
    </w:p>
    <w:sectPr w:rsidR="00B628C7" w:rsidRPr="00C92E43" w:rsidSect="008E169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38DA" w14:textId="77777777" w:rsidR="0009420C" w:rsidRDefault="0009420C" w:rsidP="0011649F">
      <w:r>
        <w:separator/>
      </w:r>
    </w:p>
  </w:endnote>
  <w:endnote w:type="continuationSeparator" w:id="0">
    <w:p w14:paraId="3C1ED498" w14:textId="77777777" w:rsidR="0009420C" w:rsidRDefault="0009420C" w:rsidP="0011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1ACE" w14:textId="77777777" w:rsidR="00A90FAA" w:rsidRDefault="00A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A0FF" w14:textId="77777777" w:rsidR="00A90FAA" w:rsidRDefault="00A90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2EFD" w14:textId="77777777" w:rsidR="00A90FAA" w:rsidRDefault="00A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B52" w14:textId="77777777" w:rsidR="0009420C" w:rsidRDefault="0009420C" w:rsidP="0011649F">
      <w:r>
        <w:separator/>
      </w:r>
    </w:p>
  </w:footnote>
  <w:footnote w:type="continuationSeparator" w:id="0">
    <w:p w14:paraId="75C1C897" w14:textId="77777777" w:rsidR="0009420C" w:rsidRDefault="0009420C" w:rsidP="0011649F">
      <w:r>
        <w:continuationSeparator/>
      </w:r>
    </w:p>
  </w:footnote>
  <w:footnote w:id="1">
    <w:p w14:paraId="5896F5B9" w14:textId="0A89EAB2" w:rsidR="00B628C7" w:rsidRPr="006104F1" w:rsidRDefault="00B628C7" w:rsidP="002869C6">
      <w:pPr>
        <w:jc w:val="both"/>
        <w:rPr>
          <w:lang w:val="fr-FR"/>
        </w:rPr>
      </w:pPr>
      <w:r w:rsidRPr="00B3264D">
        <w:rPr>
          <w:rStyle w:val="FootnoteReference"/>
          <w:rFonts w:ascii="Times New Roman" w:hAnsi="Times New Roman"/>
          <w:sz w:val="22"/>
          <w:szCs w:val="22"/>
        </w:rPr>
        <w:footnoteRef/>
      </w:r>
      <w:r w:rsidRPr="00B3264D">
        <w:rPr>
          <w:rFonts w:ascii="Times New Roman" w:hAnsi="Times New Roman"/>
          <w:sz w:val="22"/>
          <w:szCs w:val="22"/>
          <w:lang w:val="fr-FR"/>
        </w:rPr>
        <w:t xml:space="preserve"> </w:t>
      </w:r>
      <w:r w:rsidRPr="00B3264D">
        <w:rPr>
          <w:rFonts w:ascii="Times New Roman" w:hAnsi="Times New Roman"/>
          <w:color w:val="000000"/>
          <w:sz w:val="22"/>
          <w:szCs w:val="22"/>
          <w:lang w:val="fr-BE"/>
        </w:rPr>
        <w:t xml:space="preserve">Le médecin généraliste pourra toujours avoir recours à l'expertise d'un confrère diabétologue pour transférer le patient vers un trajet de soins ou vers une convention. </w:t>
      </w:r>
      <w:r w:rsidRPr="00B3264D">
        <w:rPr>
          <w:rFonts w:ascii="Times New Roman" w:hAnsi="Times New Roman"/>
          <w:sz w:val="22"/>
          <w:szCs w:val="22"/>
          <w:lang w:val="fr-BE"/>
        </w:rPr>
        <w:t xml:space="preserve">Les patients ayant un diabète de type 1, </w:t>
      </w:r>
      <w:r w:rsidRPr="00B3264D">
        <w:rPr>
          <w:rFonts w:ascii="Times New Roman" w:hAnsi="Times New Roman"/>
          <w:sz w:val="22"/>
          <w:szCs w:val="22"/>
          <w:lang w:val="fr-FR"/>
        </w:rPr>
        <w:t>les patients avec une forme spécifique de diabète (</w:t>
      </w:r>
      <w:r w:rsidRPr="00B3264D">
        <w:rPr>
          <w:rFonts w:ascii="Times New Roman" w:hAnsi="Times New Roman"/>
          <w:spacing w:val="-2"/>
          <w:sz w:val="22"/>
          <w:szCs w:val="22"/>
          <w:lang w:val="fr-FR"/>
        </w:rPr>
        <w:t>les patients avec une perte quasi totale de la fonction endocrine du pancréas, les patients qui souffrent de diabète monogénique</w:t>
      </w:r>
      <w:r w:rsidRPr="00B3264D">
        <w:rPr>
          <w:rFonts w:ascii="Times New Roman" w:hAnsi="Times New Roman"/>
          <w:sz w:val="22"/>
          <w:szCs w:val="22"/>
          <w:lang w:val="fr-BE"/>
        </w:rPr>
        <w:t>, …), les femmes qui présentent un diabète de grossesse, les femmes diabétiques qui souhaitent être enceintes et les femmes diabétiques qui sont enceintes sont pris en charge dans le cadre de la convention diabète conclue entre l’INAMI et les hôpitaux.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79B5" w14:textId="77777777" w:rsidR="00A90FAA" w:rsidRDefault="00A9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E989" w14:textId="77777777" w:rsidR="00A90FAA" w:rsidRDefault="00A90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C363" w14:textId="77777777" w:rsidR="00A90FAA" w:rsidRDefault="00A9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8A2"/>
    <w:multiLevelType w:val="hybridMultilevel"/>
    <w:tmpl w:val="84DEC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D4BAF"/>
    <w:multiLevelType w:val="hybridMultilevel"/>
    <w:tmpl w:val="62D4C110"/>
    <w:lvl w:ilvl="0" w:tplc="A09C32A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8D2299"/>
    <w:multiLevelType w:val="hybridMultilevel"/>
    <w:tmpl w:val="FB2ECB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679087B"/>
    <w:multiLevelType w:val="hybridMultilevel"/>
    <w:tmpl w:val="BE8EE684"/>
    <w:lvl w:ilvl="0" w:tplc="44D05D4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B1E286D"/>
    <w:multiLevelType w:val="hybridMultilevel"/>
    <w:tmpl w:val="2D244DD2"/>
    <w:lvl w:ilvl="0" w:tplc="C796418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1336AD"/>
    <w:multiLevelType w:val="hybridMultilevel"/>
    <w:tmpl w:val="B4081660"/>
    <w:lvl w:ilvl="0" w:tplc="373ED8AA">
      <w:start w:val="1"/>
      <w:numFmt w:val="decimal"/>
      <w:lvlText w:val="(%1)"/>
      <w:lvlJc w:val="left"/>
      <w:pPr>
        <w:ind w:left="720" w:hanging="360"/>
      </w:pPr>
      <w:rPr>
        <w:rFonts w:ascii="Arial" w:hAnsi="Arial" w:cs="Times New Roman" w:hint="default"/>
        <w:sz w:val="12"/>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674623F"/>
    <w:multiLevelType w:val="hybridMultilevel"/>
    <w:tmpl w:val="952886BA"/>
    <w:lvl w:ilvl="0" w:tplc="8C4487FE">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578B"/>
    <w:multiLevelType w:val="hybridMultilevel"/>
    <w:tmpl w:val="1B028CD8"/>
    <w:lvl w:ilvl="0" w:tplc="D790578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EE620A"/>
    <w:multiLevelType w:val="hybridMultilevel"/>
    <w:tmpl w:val="758260F8"/>
    <w:lvl w:ilvl="0" w:tplc="A34E5F7E">
      <w:start w:val="1"/>
      <w:numFmt w:val="lowerLetter"/>
      <w:lvlText w:val="%1)"/>
      <w:lvlJc w:val="left"/>
      <w:pPr>
        <w:ind w:left="930" w:hanging="360"/>
      </w:pPr>
      <w:rPr>
        <w:rFonts w:hint="default"/>
        <w:b/>
        <w:bCs/>
      </w:rPr>
    </w:lvl>
    <w:lvl w:ilvl="1" w:tplc="080C0019" w:tentative="1">
      <w:start w:val="1"/>
      <w:numFmt w:val="lowerLetter"/>
      <w:lvlText w:val="%2."/>
      <w:lvlJc w:val="left"/>
      <w:pPr>
        <w:ind w:left="1650" w:hanging="360"/>
      </w:pPr>
    </w:lvl>
    <w:lvl w:ilvl="2" w:tplc="080C001B" w:tentative="1">
      <w:start w:val="1"/>
      <w:numFmt w:val="lowerRoman"/>
      <w:lvlText w:val="%3."/>
      <w:lvlJc w:val="right"/>
      <w:pPr>
        <w:ind w:left="2370" w:hanging="180"/>
      </w:pPr>
    </w:lvl>
    <w:lvl w:ilvl="3" w:tplc="080C000F" w:tentative="1">
      <w:start w:val="1"/>
      <w:numFmt w:val="decimal"/>
      <w:lvlText w:val="%4."/>
      <w:lvlJc w:val="left"/>
      <w:pPr>
        <w:ind w:left="3090" w:hanging="360"/>
      </w:pPr>
    </w:lvl>
    <w:lvl w:ilvl="4" w:tplc="080C0019" w:tentative="1">
      <w:start w:val="1"/>
      <w:numFmt w:val="lowerLetter"/>
      <w:lvlText w:val="%5."/>
      <w:lvlJc w:val="left"/>
      <w:pPr>
        <w:ind w:left="3810" w:hanging="360"/>
      </w:pPr>
    </w:lvl>
    <w:lvl w:ilvl="5" w:tplc="080C001B" w:tentative="1">
      <w:start w:val="1"/>
      <w:numFmt w:val="lowerRoman"/>
      <w:lvlText w:val="%6."/>
      <w:lvlJc w:val="right"/>
      <w:pPr>
        <w:ind w:left="4530" w:hanging="180"/>
      </w:pPr>
    </w:lvl>
    <w:lvl w:ilvl="6" w:tplc="080C000F" w:tentative="1">
      <w:start w:val="1"/>
      <w:numFmt w:val="decimal"/>
      <w:lvlText w:val="%7."/>
      <w:lvlJc w:val="left"/>
      <w:pPr>
        <w:ind w:left="5250" w:hanging="360"/>
      </w:pPr>
    </w:lvl>
    <w:lvl w:ilvl="7" w:tplc="080C0019" w:tentative="1">
      <w:start w:val="1"/>
      <w:numFmt w:val="lowerLetter"/>
      <w:lvlText w:val="%8."/>
      <w:lvlJc w:val="left"/>
      <w:pPr>
        <w:ind w:left="5970" w:hanging="360"/>
      </w:pPr>
    </w:lvl>
    <w:lvl w:ilvl="8" w:tplc="080C001B" w:tentative="1">
      <w:start w:val="1"/>
      <w:numFmt w:val="lowerRoman"/>
      <w:lvlText w:val="%9."/>
      <w:lvlJc w:val="right"/>
      <w:pPr>
        <w:ind w:left="6690" w:hanging="180"/>
      </w:pPr>
    </w:lvl>
  </w:abstractNum>
  <w:abstractNum w:abstractNumId="9" w15:restartNumberingAfterBreak="0">
    <w:nsid w:val="40D86558"/>
    <w:multiLevelType w:val="hybridMultilevel"/>
    <w:tmpl w:val="F182A7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900E9D"/>
    <w:multiLevelType w:val="hybridMultilevel"/>
    <w:tmpl w:val="4F9A2E68"/>
    <w:lvl w:ilvl="0" w:tplc="08090017">
      <w:start w:val="1"/>
      <w:numFmt w:val="lowerLetter"/>
      <w:lvlText w:val="%1)"/>
      <w:lvlJc w:val="left"/>
      <w:pPr>
        <w:ind w:left="720" w:hanging="360"/>
      </w:pPr>
    </w:lvl>
    <w:lvl w:ilvl="1" w:tplc="C18811EA">
      <w:start w:val="3"/>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701629">
    <w:abstractNumId w:val="10"/>
  </w:num>
  <w:num w:numId="2" w16cid:durableId="930577793">
    <w:abstractNumId w:val="6"/>
  </w:num>
  <w:num w:numId="3" w16cid:durableId="1556551342">
    <w:abstractNumId w:val="0"/>
  </w:num>
  <w:num w:numId="4" w16cid:durableId="734666296">
    <w:abstractNumId w:val="9"/>
  </w:num>
  <w:num w:numId="5" w16cid:durableId="1450777117">
    <w:abstractNumId w:val="4"/>
  </w:num>
  <w:num w:numId="6" w16cid:durableId="1202014679">
    <w:abstractNumId w:val="3"/>
  </w:num>
  <w:num w:numId="7" w16cid:durableId="1150707829">
    <w:abstractNumId w:val="1"/>
  </w:num>
  <w:num w:numId="8" w16cid:durableId="527178317">
    <w:abstractNumId w:val="5"/>
  </w:num>
  <w:num w:numId="9" w16cid:durableId="105275966">
    <w:abstractNumId w:val="7"/>
  </w:num>
  <w:num w:numId="10" w16cid:durableId="1303342931">
    <w:abstractNumId w:val="2"/>
  </w:num>
  <w:num w:numId="11" w16cid:durableId="388772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E3"/>
    <w:rsid w:val="000609BB"/>
    <w:rsid w:val="0009420C"/>
    <w:rsid w:val="000B6B31"/>
    <w:rsid w:val="000D21AF"/>
    <w:rsid w:val="000D605B"/>
    <w:rsid w:val="000E075C"/>
    <w:rsid w:val="0011649F"/>
    <w:rsid w:val="00130B8F"/>
    <w:rsid w:val="00133DFA"/>
    <w:rsid w:val="00137E68"/>
    <w:rsid w:val="00172089"/>
    <w:rsid w:val="00176C99"/>
    <w:rsid w:val="00193D71"/>
    <w:rsid w:val="0019686E"/>
    <w:rsid w:val="001B35DD"/>
    <w:rsid w:val="001C2038"/>
    <w:rsid w:val="001D7CE2"/>
    <w:rsid w:val="001E3FA4"/>
    <w:rsid w:val="001F2017"/>
    <w:rsid w:val="001F5344"/>
    <w:rsid w:val="00201909"/>
    <w:rsid w:val="00206E5F"/>
    <w:rsid w:val="00223FAE"/>
    <w:rsid w:val="0024250C"/>
    <w:rsid w:val="00251EE5"/>
    <w:rsid w:val="00253AF8"/>
    <w:rsid w:val="002804B8"/>
    <w:rsid w:val="002869C6"/>
    <w:rsid w:val="00286DBA"/>
    <w:rsid w:val="002A6776"/>
    <w:rsid w:val="002C6574"/>
    <w:rsid w:val="002E5638"/>
    <w:rsid w:val="002F2C2B"/>
    <w:rsid w:val="002F7A90"/>
    <w:rsid w:val="003008B4"/>
    <w:rsid w:val="00335057"/>
    <w:rsid w:val="00344E8A"/>
    <w:rsid w:val="0038182C"/>
    <w:rsid w:val="003D7148"/>
    <w:rsid w:val="003E42C8"/>
    <w:rsid w:val="004360DB"/>
    <w:rsid w:val="00440396"/>
    <w:rsid w:val="00460DA4"/>
    <w:rsid w:val="004645D6"/>
    <w:rsid w:val="004712A3"/>
    <w:rsid w:val="00475495"/>
    <w:rsid w:val="00490F95"/>
    <w:rsid w:val="004A1A8E"/>
    <w:rsid w:val="004A568A"/>
    <w:rsid w:val="004C2047"/>
    <w:rsid w:val="004C50B8"/>
    <w:rsid w:val="004E5791"/>
    <w:rsid w:val="005008E3"/>
    <w:rsid w:val="005134CF"/>
    <w:rsid w:val="00533B49"/>
    <w:rsid w:val="00536F72"/>
    <w:rsid w:val="005543E0"/>
    <w:rsid w:val="00555A4A"/>
    <w:rsid w:val="00556B63"/>
    <w:rsid w:val="00564818"/>
    <w:rsid w:val="005855AA"/>
    <w:rsid w:val="00590FFB"/>
    <w:rsid w:val="00686F7C"/>
    <w:rsid w:val="00693A83"/>
    <w:rsid w:val="006D0025"/>
    <w:rsid w:val="006E292E"/>
    <w:rsid w:val="006F1F92"/>
    <w:rsid w:val="006F1FDE"/>
    <w:rsid w:val="0071099B"/>
    <w:rsid w:val="00760840"/>
    <w:rsid w:val="00766B78"/>
    <w:rsid w:val="007807B0"/>
    <w:rsid w:val="00786674"/>
    <w:rsid w:val="00797031"/>
    <w:rsid w:val="007C6F7F"/>
    <w:rsid w:val="007D1B70"/>
    <w:rsid w:val="007E68E1"/>
    <w:rsid w:val="007F29B8"/>
    <w:rsid w:val="0083337E"/>
    <w:rsid w:val="008B3494"/>
    <w:rsid w:val="008C338D"/>
    <w:rsid w:val="008E1698"/>
    <w:rsid w:val="00906278"/>
    <w:rsid w:val="0090698E"/>
    <w:rsid w:val="00913282"/>
    <w:rsid w:val="009476C9"/>
    <w:rsid w:val="00981244"/>
    <w:rsid w:val="009B0A4E"/>
    <w:rsid w:val="009F07F2"/>
    <w:rsid w:val="00A12E8B"/>
    <w:rsid w:val="00A3421A"/>
    <w:rsid w:val="00A50FDF"/>
    <w:rsid w:val="00A548ED"/>
    <w:rsid w:val="00A90FAA"/>
    <w:rsid w:val="00AD5AE4"/>
    <w:rsid w:val="00B04F22"/>
    <w:rsid w:val="00B14210"/>
    <w:rsid w:val="00B2428D"/>
    <w:rsid w:val="00B3264D"/>
    <w:rsid w:val="00B37104"/>
    <w:rsid w:val="00B54AAC"/>
    <w:rsid w:val="00B628C7"/>
    <w:rsid w:val="00BB2B59"/>
    <w:rsid w:val="00BE4560"/>
    <w:rsid w:val="00C06E61"/>
    <w:rsid w:val="00C7120D"/>
    <w:rsid w:val="00C84219"/>
    <w:rsid w:val="00C865E3"/>
    <w:rsid w:val="00C92E43"/>
    <w:rsid w:val="00CB2F85"/>
    <w:rsid w:val="00CE5D40"/>
    <w:rsid w:val="00D21CA9"/>
    <w:rsid w:val="00D26CEC"/>
    <w:rsid w:val="00D55D2C"/>
    <w:rsid w:val="00D97E3D"/>
    <w:rsid w:val="00DD55AA"/>
    <w:rsid w:val="00DD6034"/>
    <w:rsid w:val="00E231D9"/>
    <w:rsid w:val="00E37459"/>
    <w:rsid w:val="00E44D1F"/>
    <w:rsid w:val="00E546BA"/>
    <w:rsid w:val="00E77E9D"/>
    <w:rsid w:val="00E830B3"/>
    <w:rsid w:val="00EB3AF5"/>
    <w:rsid w:val="00F01E5C"/>
    <w:rsid w:val="00F14E50"/>
    <w:rsid w:val="00F24ADD"/>
    <w:rsid w:val="00F45435"/>
    <w:rsid w:val="00F55644"/>
    <w:rsid w:val="00F852A9"/>
    <w:rsid w:val="00F94472"/>
    <w:rsid w:val="00FA1910"/>
    <w:rsid w:val="00FA3A42"/>
    <w:rsid w:val="00FD5500"/>
    <w:rsid w:val="00FE3CBC"/>
    <w:rsid w:val="00FF1F1D"/>
    <w:rsid w:val="00FF7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8428B"/>
  <w15:chartTrackingRefBased/>
  <w15:docId w15:val="{951AB460-FAB1-44BF-AE8A-0EAA8928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698"/>
    <w:rPr>
      <w:rFonts w:ascii="Arial" w:hAnsi="Arial"/>
      <w:sz w:val="24"/>
      <w:szCs w:val="24"/>
      <w:lang w:val="nl-BE" w:eastAsia="en-US"/>
    </w:rPr>
  </w:style>
  <w:style w:type="paragraph" w:styleId="Heading7">
    <w:name w:val="heading 7"/>
    <w:basedOn w:val="Normal"/>
    <w:next w:val="Normal"/>
    <w:link w:val="Heading7Char"/>
    <w:qFormat/>
    <w:rsid w:val="008B3494"/>
    <w:pPr>
      <w:keepNext/>
      <w:spacing w:after="120"/>
      <w:jc w:val="center"/>
      <w:outlineLvl w:val="6"/>
    </w:pPr>
    <w:rPr>
      <w:b/>
      <w:sz w:val="22"/>
      <w:szCs w:val="20"/>
      <w:lang w:val="fr-FR"/>
    </w:rPr>
  </w:style>
  <w:style w:type="paragraph" w:styleId="Heading8">
    <w:name w:val="heading 8"/>
    <w:basedOn w:val="Normal"/>
    <w:next w:val="Normal"/>
    <w:link w:val="Heading8Char"/>
    <w:uiPriority w:val="9"/>
    <w:qFormat/>
    <w:rsid w:val="008B3494"/>
    <w:pPr>
      <w:keepNext/>
      <w:jc w:val="center"/>
      <w:outlineLvl w:val="7"/>
    </w:pPr>
    <w:rPr>
      <w:b/>
      <w:sz w:val="22"/>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B3494"/>
    <w:rPr>
      <w:rFonts w:ascii="Arial" w:hAnsi="Arial"/>
      <w:b/>
      <w:sz w:val="22"/>
      <w:lang w:val="fr-FR" w:eastAsia="en-US"/>
    </w:rPr>
  </w:style>
  <w:style w:type="character" w:customStyle="1" w:styleId="Heading8Char">
    <w:name w:val="Heading 8 Char"/>
    <w:basedOn w:val="DefaultParagraphFont"/>
    <w:link w:val="Heading8"/>
    <w:uiPriority w:val="9"/>
    <w:rsid w:val="008B3494"/>
    <w:rPr>
      <w:rFonts w:ascii="Arial" w:hAnsi="Arial"/>
      <w:b/>
      <w:sz w:val="22"/>
      <w:u w:val="single"/>
      <w:lang w:val="fr-FR" w:eastAsia="en-US"/>
    </w:rPr>
  </w:style>
  <w:style w:type="paragraph" w:styleId="Header">
    <w:name w:val="header"/>
    <w:basedOn w:val="Normal"/>
    <w:link w:val="HeaderChar"/>
    <w:uiPriority w:val="99"/>
    <w:rsid w:val="008B3494"/>
    <w:pPr>
      <w:tabs>
        <w:tab w:val="center" w:pos="4153"/>
        <w:tab w:val="right" w:pos="8306"/>
      </w:tabs>
    </w:pPr>
    <w:rPr>
      <w:rFonts w:ascii="Times New Roman" w:hAnsi="Times New Roman"/>
      <w:sz w:val="20"/>
      <w:szCs w:val="20"/>
      <w:lang w:val="fr-FR"/>
    </w:rPr>
  </w:style>
  <w:style w:type="character" w:customStyle="1" w:styleId="HeaderChar">
    <w:name w:val="Header Char"/>
    <w:basedOn w:val="DefaultParagraphFont"/>
    <w:link w:val="Header"/>
    <w:uiPriority w:val="99"/>
    <w:rsid w:val="008B3494"/>
    <w:rPr>
      <w:lang w:val="fr-FR" w:eastAsia="en-US"/>
    </w:rPr>
  </w:style>
  <w:style w:type="table" w:styleId="TableGrid">
    <w:name w:val="Table Grid"/>
    <w:basedOn w:val="TableNormal"/>
    <w:uiPriority w:val="59"/>
    <w:rsid w:val="008B34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3494"/>
    <w:pPr>
      <w:ind w:left="720"/>
      <w:contextualSpacing/>
    </w:pPr>
    <w:rPr>
      <w:lang w:val="en-US"/>
    </w:rPr>
  </w:style>
  <w:style w:type="paragraph" w:customStyle="1" w:styleId="Default">
    <w:name w:val="Default"/>
    <w:rsid w:val="008B3494"/>
    <w:pPr>
      <w:autoSpaceDE w:val="0"/>
      <w:autoSpaceDN w:val="0"/>
      <w:adjustRightInd w:val="0"/>
    </w:pPr>
    <w:rPr>
      <w:rFonts w:ascii="Arial" w:eastAsiaTheme="minorEastAsia" w:hAnsi="Arial" w:cs="Arial"/>
      <w:color w:val="000000"/>
      <w:sz w:val="24"/>
      <w:szCs w:val="24"/>
      <w:lang w:val="en-US" w:eastAsia="fr-BE"/>
    </w:rPr>
  </w:style>
  <w:style w:type="table" w:customStyle="1" w:styleId="Grilledutableau1">
    <w:name w:val="Grille du tableau1"/>
    <w:basedOn w:val="TableNormal"/>
    <w:next w:val="TableGrid"/>
    <w:uiPriority w:val="59"/>
    <w:rsid w:val="002F7A90"/>
    <w:rPr>
      <w:rFonts w:ascii="Arial" w:eastAsia="Calibri" w:hAnsi="Arial" w:cs="Arial"/>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F29B8"/>
    <w:rPr>
      <w:sz w:val="16"/>
      <w:szCs w:val="16"/>
    </w:rPr>
  </w:style>
  <w:style w:type="paragraph" w:styleId="CommentText">
    <w:name w:val="annotation text"/>
    <w:basedOn w:val="Normal"/>
    <w:link w:val="CommentTextChar"/>
    <w:rsid w:val="007F29B8"/>
    <w:rPr>
      <w:sz w:val="20"/>
      <w:szCs w:val="20"/>
    </w:rPr>
  </w:style>
  <w:style w:type="character" w:customStyle="1" w:styleId="CommentTextChar">
    <w:name w:val="Comment Text Char"/>
    <w:basedOn w:val="DefaultParagraphFont"/>
    <w:link w:val="CommentText"/>
    <w:rsid w:val="007F29B8"/>
    <w:rPr>
      <w:rFonts w:ascii="Arial" w:hAnsi="Arial"/>
      <w:lang w:val="nl-BE" w:eastAsia="en-US"/>
    </w:rPr>
  </w:style>
  <w:style w:type="paragraph" w:styleId="CommentSubject">
    <w:name w:val="annotation subject"/>
    <w:basedOn w:val="CommentText"/>
    <w:next w:val="CommentText"/>
    <w:link w:val="CommentSubjectChar"/>
    <w:semiHidden/>
    <w:unhideWhenUsed/>
    <w:rsid w:val="007F29B8"/>
    <w:rPr>
      <w:b/>
      <w:bCs/>
    </w:rPr>
  </w:style>
  <w:style w:type="character" w:customStyle="1" w:styleId="CommentSubjectChar">
    <w:name w:val="Comment Subject Char"/>
    <w:basedOn w:val="CommentTextChar"/>
    <w:link w:val="CommentSubject"/>
    <w:semiHidden/>
    <w:rsid w:val="007F29B8"/>
    <w:rPr>
      <w:rFonts w:ascii="Arial" w:hAnsi="Arial"/>
      <w:b/>
      <w:bCs/>
      <w:lang w:val="nl-BE" w:eastAsia="en-US"/>
    </w:rPr>
  </w:style>
  <w:style w:type="table" w:customStyle="1" w:styleId="Tabelraster1">
    <w:name w:val="Tabelraster1"/>
    <w:basedOn w:val="TableNormal"/>
    <w:next w:val="TableGrid"/>
    <w:uiPriority w:val="59"/>
    <w:rsid w:val="0024250C"/>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4219"/>
    <w:rPr>
      <w:rFonts w:ascii="Arial" w:hAnsi="Arial"/>
      <w:sz w:val="24"/>
      <w:szCs w:val="24"/>
      <w:lang w:val="nl-BE" w:eastAsia="en-US"/>
    </w:rPr>
  </w:style>
  <w:style w:type="table" w:customStyle="1" w:styleId="TableGrid1">
    <w:name w:val="Table Grid1"/>
    <w:basedOn w:val="TableNormal"/>
    <w:next w:val="TableGrid"/>
    <w:uiPriority w:val="39"/>
    <w:rsid w:val="001164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1649F"/>
    <w:rPr>
      <w:rFonts w:asciiTheme="minorHAnsi" w:eastAsiaTheme="minorHAnsi" w:hAnsiTheme="minorHAnsi" w:cstheme="minorBidi"/>
      <w:sz w:val="20"/>
      <w:szCs w:val="20"/>
      <w:lang w:val="nl-NL"/>
    </w:rPr>
  </w:style>
  <w:style w:type="character" w:customStyle="1" w:styleId="FootnoteTextChar">
    <w:name w:val="Footnote Text Char"/>
    <w:basedOn w:val="DefaultParagraphFont"/>
    <w:link w:val="FootnoteText"/>
    <w:uiPriority w:val="99"/>
    <w:rsid w:val="0011649F"/>
    <w:rPr>
      <w:rFonts w:asciiTheme="minorHAnsi" w:eastAsiaTheme="minorHAnsi" w:hAnsiTheme="minorHAnsi" w:cstheme="minorBidi"/>
      <w:lang w:val="nl-NL" w:eastAsia="en-US"/>
    </w:rPr>
  </w:style>
  <w:style w:type="character" w:styleId="FootnoteReference">
    <w:name w:val="footnote reference"/>
    <w:basedOn w:val="DefaultParagraphFont"/>
    <w:uiPriority w:val="99"/>
    <w:unhideWhenUsed/>
    <w:rsid w:val="0011649F"/>
    <w:rPr>
      <w:vertAlign w:val="superscript"/>
    </w:rPr>
  </w:style>
  <w:style w:type="table" w:customStyle="1" w:styleId="Tabelraster2">
    <w:name w:val="Tabelraster2"/>
    <w:basedOn w:val="TableNormal"/>
    <w:next w:val="TableGrid"/>
    <w:uiPriority w:val="39"/>
    <w:rsid w:val="007608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E231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134CF"/>
    <w:pPr>
      <w:tabs>
        <w:tab w:val="center" w:pos="4513"/>
        <w:tab w:val="right" w:pos="9026"/>
      </w:tabs>
    </w:pPr>
  </w:style>
  <w:style w:type="character" w:customStyle="1" w:styleId="FooterChar">
    <w:name w:val="Footer Char"/>
    <w:basedOn w:val="DefaultParagraphFont"/>
    <w:link w:val="Footer"/>
    <w:rsid w:val="005134CF"/>
    <w:rPr>
      <w:rFonts w:ascii="Arial" w:hAnsi="Arial"/>
      <w:sz w:val="24"/>
      <w:szCs w:val="24"/>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7" ma:contentTypeDescription="Create a new document." ma:contentTypeScope="" ma:versionID="b7e5a58e8547aee10665ee39c61a025d">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6fa60212aa4f618635d100911836c9e6"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A0105-A08E-4FA8-8247-291091695F49}"/>
</file>

<file path=customXml/itemProps2.xml><?xml version="1.0" encoding="utf-8"?>
<ds:datastoreItem xmlns:ds="http://schemas.openxmlformats.org/officeDocument/2006/customXml" ds:itemID="{6BA53899-BD85-49D6-B230-35473FF8AAC5}"/>
</file>

<file path=customXml/itemProps3.xml><?xml version="1.0" encoding="utf-8"?>
<ds:datastoreItem xmlns:ds="http://schemas.openxmlformats.org/officeDocument/2006/customXml" ds:itemID="{D7AB9643-CF30-4180-8697-99E708F155A1}"/>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1438</Characters>
  <Application>Microsoft Office Word</Application>
  <DocSecurity>4</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Muysewinkel (RIZIV-INAMI)</dc:creator>
  <cp:keywords/>
  <dc:description/>
  <cp:lastModifiedBy>Sandrine Bingen (RIZIV-INAMI)</cp:lastModifiedBy>
  <cp:revision>2</cp:revision>
  <cp:lastPrinted>2022-12-16T13:44:00Z</cp:lastPrinted>
  <dcterms:created xsi:type="dcterms:W3CDTF">2025-05-27T14:14:00Z</dcterms:created>
  <dcterms:modified xsi:type="dcterms:W3CDTF">2025-05-27T14:14:00Z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ies>
</file>