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F" w:rsidRPr="00C06044" w:rsidRDefault="00CC0C8E">
      <w:pPr>
        <w:rPr>
          <w:b/>
          <w:lang w:val="nl-BE"/>
        </w:rPr>
      </w:pPr>
      <w:bookmarkStart w:id="0" w:name="_GoBack"/>
      <w:bookmarkEnd w:id="0"/>
      <w:r w:rsidRPr="00C06044">
        <w:rPr>
          <w:b/>
          <w:lang w:val="nl-BE"/>
        </w:rPr>
        <w:t xml:space="preserve">Verbintenisformulier </w:t>
      </w:r>
      <w:r w:rsidR="00C87D8A">
        <w:rPr>
          <w:b/>
          <w:lang w:val="nl-BE"/>
        </w:rPr>
        <w:t xml:space="preserve">van de </w:t>
      </w:r>
      <w:r w:rsidRPr="00C06044">
        <w:rPr>
          <w:b/>
          <w:lang w:val="nl-BE"/>
        </w:rPr>
        <w:t xml:space="preserve"> </w:t>
      </w:r>
      <w:r w:rsidR="00C06044">
        <w:rPr>
          <w:b/>
          <w:lang w:val="nl-BE"/>
        </w:rPr>
        <w:t>“</w:t>
      </w:r>
      <w:r w:rsidRPr="00C06044">
        <w:rPr>
          <w:b/>
          <w:lang w:val="nl-BE"/>
        </w:rPr>
        <w:t>cognitief gedragstherapeut voor CVS</w:t>
      </w:r>
      <w:r w:rsidR="00C06044">
        <w:rPr>
          <w:b/>
          <w:lang w:val="nl-BE"/>
        </w:rPr>
        <w:t>”</w:t>
      </w:r>
      <w:r w:rsidR="006E2FF4" w:rsidRPr="00C06044">
        <w:rPr>
          <w:b/>
          <w:lang w:val="nl-BE"/>
        </w:rPr>
        <w:t xml:space="preserve"> </w:t>
      </w:r>
    </w:p>
    <w:p w:rsidR="002D727A" w:rsidRDefault="002D727A">
      <w:pPr>
        <w:rPr>
          <w:lang w:val="nl-BE"/>
        </w:rPr>
      </w:pPr>
    </w:p>
    <w:p w:rsidR="00941BC4" w:rsidRDefault="00941BC4" w:rsidP="00C671FA">
      <w:pPr>
        <w:jc w:val="both"/>
        <w:rPr>
          <w:lang w:val="nl-BE"/>
        </w:rPr>
      </w:pPr>
      <w:r>
        <w:rPr>
          <w:lang w:val="nl-BE"/>
        </w:rPr>
        <w:t xml:space="preserve">Dit verbintenisformulier maakt deel uit van het aanvraagdossier </w:t>
      </w:r>
      <w:r w:rsidR="00C87D8A">
        <w:rPr>
          <w:lang w:val="nl-BE"/>
        </w:rPr>
        <w:t>om als “cognitief gedragsther</w:t>
      </w:r>
      <w:r w:rsidR="00C87D8A">
        <w:rPr>
          <w:lang w:val="nl-BE"/>
        </w:rPr>
        <w:t>a</w:t>
      </w:r>
      <w:r w:rsidR="00C87D8A">
        <w:rPr>
          <w:lang w:val="nl-BE"/>
        </w:rPr>
        <w:t>peut voor CVS</w:t>
      </w:r>
      <w:r w:rsidR="00FD7284">
        <w:rPr>
          <w:lang w:val="nl-BE"/>
        </w:rPr>
        <w:t xml:space="preserve">” (chronisch vermoeidheidssyndroom) zoals bedoeld in de overeenkomst tussen het Verzekeringscomité van het RIZIV en de multidisciplinaire diagnostische centra voor CVS, vergoedbare sessies van cognitieve gedragstherapie te kunnen realiseren voor </w:t>
      </w:r>
      <w:r w:rsidR="009B1E2D">
        <w:rPr>
          <w:lang w:val="nl-BE"/>
        </w:rPr>
        <w:t xml:space="preserve">de </w:t>
      </w:r>
      <w:r w:rsidR="00FD7284">
        <w:rPr>
          <w:lang w:val="nl-BE"/>
        </w:rPr>
        <w:t>rechthe</w:t>
      </w:r>
      <w:r w:rsidR="00FD7284">
        <w:rPr>
          <w:lang w:val="nl-BE"/>
        </w:rPr>
        <w:t>b</w:t>
      </w:r>
      <w:r w:rsidR="00FD7284">
        <w:rPr>
          <w:lang w:val="nl-BE"/>
        </w:rPr>
        <w:t xml:space="preserve">benden van deze overeenkomst. Ondertekende </w:t>
      </w:r>
      <w:r w:rsidR="00BC61F6">
        <w:rPr>
          <w:lang w:val="nl-BE"/>
        </w:rPr>
        <w:t xml:space="preserve">verbindt </w:t>
      </w:r>
      <w:r w:rsidR="00FD7284">
        <w:rPr>
          <w:lang w:val="nl-BE"/>
        </w:rPr>
        <w:t>zich ertoe de hierna op</w:t>
      </w:r>
      <w:r w:rsidR="00126B9E">
        <w:rPr>
          <w:lang w:val="nl-BE"/>
        </w:rPr>
        <w:t>gesomde voo</w:t>
      </w:r>
      <w:r w:rsidR="00126B9E">
        <w:rPr>
          <w:lang w:val="nl-BE"/>
        </w:rPr>
        <w:t>r</w:t>
      </w:r>
      <w:r w:rsidR="00126B9E">
        <w:rPr>
          <w:lang w:val="nl-BE"/>
        </w:rPr>
        <w:t>waarden na te leven:</w:t>
      </w:r>
    </w:p>
    <w:p w:rsidR="00FD7284" w:rsidRDefault="00FD7284" w:rsidP="00C671FA">
      <w:pPr>
        <w:jc w:val="both"/>
        <w:rPr>
          <w:lang w:val="nl-BE"/>
        </w:rPr>
      </w:pPr>
    </w:p>
    <w:p w:rsidR="009B1E2D" w:rsidRDefault="00FD7284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 xml:space="preserve">Hij/zij voert de bepalingen uit </w:t>
      </w:r>
      <w:r w:rsidR="009B1E2D" w:rsidRPr="009B1E2D">
        <w:rPr>
          <w:lang w:val="nl-BE"/>
        </w:rPr>
        <w:t xml:space="preserve">van het in de overeenkomst vastgestelde multidisciplinair zorgmodel die op </w:t>
      </w:r>
      <w:r w:rsidR="009B1E2D">
        <w:rPr>
          <w:lang w:val="nl-BE"/>
        </w:rPr>
        <w:t>de cognitief gedragstherapeut</w:t>
      </w:r>
      <w:r w:rsidR="009B1E2D" w:rsidRPr="009B1E2D">
        <w:rPr>
          <w:lang w:val="nl-BE"/>
        </w:rPr>
        <w:t xml:space="preserve"> </w:t>
      </w:r>
      <w:r w:rsidR="00C671FA">
        <w:rPr>
          <w:lang w:val="nl-BE"/>
        </w:rPr>
        <w:t>betrekking h</w:t>
      </w:r>
      <w:r w:rsidR="009B1E2D" w:rsidRPr="009B1E2D">
        <w:rPr>
          <w:lang w:val="nl-BE"/>
        </w:rPr>
        <w:t>ebben</w:t>
      </w:r>
      <w:r w:rsidR="009B1E2D">
        <w:rPr>
          <w:lang w:val="nl-BE"/>
        </w:rPr>
        <w:t xml:space="preserve">. </w:t>
      </w:r>
    </w:p>
    <w:p w:rsidR="009B1E2D" w:rsidRDefault="009B1E2D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9B1E2D">
        <w:rPr>
          <w:lang w:val="nl-BE"/>
        </w:rPr>
        <w:t>Hij</w:t>
      </w:r>
      <w:r>
        <w:rPr>
          <w:lang w:val="nl-BE"/>
        </w:rPr>
        <w:t>/zij</w:t>
      </w:r>
      <w:r w:rsidRPr="009B1E2D">
        <w:rPr>
          <w:lang w:val="nl-BE"/>
        </w:rPr>
        <w:t xml:space="preserve"> volgt bij de behandeling van de rechthebbenden een therapieprotocol van cogn</w:t>
      </w:r>
      <w:r w:rsidRPr="009B1E2D">
        <w:rPr>
          <w:lang w:val="nl-BE"/>
        </w:rPr>
        <w:t>i</w:t>
      </w:r>
      <w:r w:rsidRPr="009B1E2D">
        <w:rPr>
          <w:lang w:val="nl-BE"/>
        </w:rPr>
        <w:t xml:space="preserve">tieve gedragstherapie dat in </w:t>
      </w:r>
      <w:proofErr w:type="spellStart"/>
      <w:r w:rsidRPr="009B1E2D">
        <w:rPr>
          <w:lang w:val="nl-BE"/>
        </w:rPr>
        <w:t>evidence</w:t>
      </w:r>
      <w:proofErr w:type="spellEnd"/>
      <w:r w:rsidRPr="009B1E2D">
        <w:rPr>
          <w:lang w:val="nl-BE"/>
        </w:rPr>
        <w:t xml:space="preserve"> </w:t>
      </w:r>
      <w:proofErr w:type="spellStart"/>
      <w:r w:rsidRPr="009B1E2D">
        <w:rPr>
          <w:lang w:val="nl-BE"/>
        </w:rPr>
        <w:t>based</w:t>
      </w:r>
      <w:proofErr w:type="spellEnd"/>
      <w:r w:rsidRPr="009B1E2D">
        <w:rPr>
          <w:lang w:val="nl-BE"/>
        </w:rPr>
        <w:t xml:space="preserve"> onderzoek effectief is gebleken bij de b</w:t>
      </w:r>
      <w:r w:rsidRPr="009B1E2D">
        <w:rPr>
          <w:lang w:val="nl-BE"/>
        </w:rPr>
        <w:t>e</w:t>
      </w:r>
      <w:r w:rsidRPr="009B1E2D">
        <w:rPr>
          <w:lang w:val="nl-BE"/>
        </w:rPr>
        <w:t>handeling van CVS. Het College van geneesheren-directeurs</w:t>
      </w:r>
      <w:r w:rsidR="00334905">
        <w:rPr>
          <w:lang w:val="nl-BE"/>
        </w:rPr>
        <w:t xml:space="preserve"> van het RIZIV</w:t>
      </w:r>
      <w:r w:rsidRPr="009B1E2D">
        <w:rPr>
          <w:lang w:val="nl-BE"/>
        </w:rPr>
        <w:t xml:space="preserve"> stelt vast welk(e) protocol(</w:t>
      </w:r>
      <w:proofErr w:type="spellStart"/>
      <w:r w:rsidRPr="009B1E2D">
        <w:rPr>
          <w:lang w:val="nl-BE"/>
        </w:rPr>
        <w:t>len</w:t>
      </w:r>
      <w:proofErr w:type="spellEnd"/>
      <w:r w:rsidRPr="009B1E2D">
        <w:rPr>
          <w:lang w:val="nl-BE"/>
        </w:rPr>
        <w:t>) hieraan beantwoorden.</w:t>
      </w:r>
      <w:r>
        <w:rPr>
          <w:lang w:val="nl-BE"/>
        </w:rPr>
        <w:t xml:space="preserve"> De referenties van deze protocollen wo</w:t>
      </w:r>
      <w:r>
        <w:rPr>
          <w:lang w:val="nl-BE"/>
        </w:rPr>
        <w:t>r</w:t>
      </w:r>
      <w:r>
        <w:rPr>
          <w:lang w:val="nl-BE"/>
        </w:rPr>
        <w:t>den vermeld op de website van het RIZIV</w:t>
      </w:r>
    </w:p>
    <w:p w:rsidR="00C53624" w:rsidRDefault="00126B9E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126B9E">
        <w:rPr>
          <w:lang w:val="nl-BE"/>
        </w:rPr>
        <w:t>Tijdens de periodes van tegemoetkoming in de kosten van de “CGT-sessies” realiseert de “cognitief gedragstherapeut” geen andere sessies voor de rechthebbende in kwestie dan de “CGT-sessies” die door het diagnostisch centrum zijn voorgeschreven en waa</w:t>
      </w:r>
      <w:r w:rsidRPr="00126B9E">
        <w:rPr>
          <w:lang w:val="nl-BE"/>
        </w:rPr>
        <w:t>r</w:t>
      </w:r>
      <w:r w:rsidRPr="00126B9E">
        <w:rPr>
          <w:lang w:val="nl-BE"/>
        </w:rPr>
        <w:t>voor de patiënt van het diagnostisch centrum een “CGT-attest” heeft ontvangen.</w:t>
      </w:r>
    </w:p>
    <w:p w:rsidR="004B1B9B" w:rsidRDefault="00C53624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C53624">
        <w:rPr>
          <w:lang w:val="nl-BE"/>
        </w:rPr>
        <w:t>Hij</w:t>
      </w:r>
      <w:r w:rsidR="002C7C88">
        <w:rPr>
          <w:lang w:val="nl-BE"/>
        </w:rPr>
        <w:t>/zij</w:t>
      </w:r>
      <w:r w:rsidRPr="00C53624">
        <w:rPr>
          <w:lang w:val="nl-BE"/>
        </w:rPr>
        <w:t xml:space="preserve"> rekent geen toeslag aan bovenop de prijs van de CGT-sessie ook niet als </w:t>
      </w:r>
      <w:r>
        <w:rPr>
          <w:lang w:val="nl-BE"/>
        </w:rPr>
        <w:t xml:space="preserve">(in de gevallen dat dit uitzonderlijk is toegestaan) </w:t>
      </w:r>
      <w:r w:rsidRPr="00C53624">
        <w:rPr>
          <w:lang w:val="nl-BE"/>
        </w:rPr>
        <w:t>een derde persoon deelneemt aan de se</w:t>
      </w:r>
      <w:r w:rsidRPr="00C53624">
        <w:rPr>
          <w:lang w:val="nl-BE"/>
        </w:rPr>
        <w:t>s</w:t>
      </w:r>
      <w:r w:rsidRPr="00C53624">
        <w:rPr>
          <w:lang w:val="nl-BE"/>
        </w:rPr>
        <w:t>sie. Het persoonlijk aandeel waarmee de verzekeringstegemoetkoming voor de “CGT-sessie” verm</w:t>
      </w:r>
      <w:r w:rsidR="00BE6A49">
        <w:rPr>
          <w:lang w:val="nl-BE"/>
        </w:rPr>
        <w:t xml:space="preserve">inderd wordt, wordt in voorkomend geval door de </w:t>
      </w:r>
      <w:r w:rsidRPr="00C53624">
        <w:rPr>
          <w:lang w:val="nl-BE"/>
        </w:rPr>
        <w:t>cognitief gedragsther</w:t>
      </w:r>
      <w:r w:rsidRPr="00C53624">
        <w:rPr>
          <w:lang w:val="nl-BE"/>
        </w:rPr>
        <w:t>a</w:t>
      </w:r>
      <w:r w:rsidRPr="00C53624">
        <w:rPr>
          <w:lang w:val="nl-BE"/>
        </w:rPr>
        <w:t>peut aangerekend aan de rechthebbende.</w:t>
      </w:r>
      <w:r w:rsidR="009B1E2D">
        <w:rPr>
          <w:lang w:val="nl-BE"/>
        </w:rPr>
        <w:t xml:space="preserve"> </w:t>
      </w:r>
    </w:p>
    <w:p w:rsidR="00900156" w:rsidRDefault="00900156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900156">
        <w:rPr>
          <w:lang w:val="nl-BE"/>
        </w:rPr>
        <w:t>De “cognitief gedragstherapeut” rekent geen vergoeding aan noch aan de verzekering</w:t>
      </w:r>
      <w:r w:rsidRPr="00900156">
        <w:rPr>
          <w:lang w:val="nl-BE"/>
        </w:rPr>
        <w:t>s</w:t>
      </w:r>
      <w:r w:rsidRPr="00900156">
        <w:rPr>
          <w:lang w:val="nl-BE"/>
        </w:rPr>
        <w:t>instelling, noch aan de rechthebbende voor prestaties die hij</w:t>
      </w:r>
      <w:r w:rsidR="002C7C88">
        <w:rPr>
          <w:lang w:val="nl-BE"/>
        </w:rPr>
        <w:t>/zij</w:t>
      </w:r>
      <w:r w:rsidRPr="00900156">
        <w:rPr>
          <w:lang w:val="nl-BE"/>
        </w:rPr>
        <w:t xml:space="preserve"> tijdens de periodes van tegemoetkoming realiseert voor de rechthebbende en die niet beantwoorden aan de vergoedingsvoorwaarden van een CGT-sessie (bijvoorbeeld een telefoongesprek)</w:t>
      </w:r>
    </w:p>
    <w:p w:rsidR="002C7C88" w:rsidRDefault="002C7C88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2C7C88">
        <w:rPr>
          <w:lang w:val="nl-BE"/>
        </w:rPr>
        <w:t>Hij</w:t>
      </w:r>
      <w:r>
        <w:rPr>
          <w:lang w:val="nl-BE"/>
        </w:rPr>
        <w:t>/zij</w:t>
      </w:r>
      <w:r w:rsidRPr="002C7C88">
        <w:rPr>
          <w:lang w:val="nl-BE"/>
        </w:rPr>
        <w:t xml:space="preserve"> verbindt zich ertoe om geen vergoeding aan te rekenen als een rechthebbende niet of te laat aanwezig is op een sessie</w:t>
      </w:r>
    </w:p>
    <w:p w:rsidR="002C7C88" w:rsidRDefault="002C7C88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2C7C88">
        <w:rPr>
          <w:lang w:val="nl-BE"/>
        </w:rPr>
        <w:t>Hij</w:t>
      </w:r>
      <w:r>
        <w:rPr>
          <w:lang w:val="nl-BE"/>
        </w:rPr>
        <w:t>/zij</w:t>
      </w:r>
      <w:r w:rsidRPr="002C7C88">
        <w:rPr>
          <w:lang w:val="nl-BE"/>
        </w:rPr>
        <w:t xml:space="preserve"> houdt een logboek bij van de gerealiseerde CGT-sessies waaruit blijkt of deze sessies beantwoorden aan de </w:t>
      </w:r>
      <w:r>
        <w:rPr>
          <w:lang w:val="nl-BE"/>
        </w:rPr>
        <w:t>vergoedings</w:t>
      </w:r>
      <w:r w:rsidRPr="002C7C88">
        <w:rPr>
          <w:lang w:val="nl-BE"/>
        </w:rPr>
        <w:t>voorwaarden</w:t>
      </w:r>
    </w:p>
    <w:p w:rsidR="002C7C88" w:rsidRDefault="002C7C88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2C7C88">
        <w:rPr>
          <w:lang w:val="nl-BE"/>
        </w:rPr>
        <w:t>Hij</w:t>
      </w:r>
      <w:r>
        <w:rPr>
          <w:lang w:val="nl-BE"/>
        </w:rPr>
        <w:t>/zij</w:t>
      </w:r>
      <w:r w:rsidRPr="002C7C88">
        <w:rPr>
          <w:lang w:val="nl-BE"/>
        </w:rPr>
        <w:t xml:space="preserve"> verbindt zich ertoe om geen “CGT-sessies” te realiseren binnen de tijd dat hij</w:t>
      </w:r>
      <w:r w:rsidR="00C671FA">
        <w:rPr>
          <w:lang w:val="nl-BE"/>
        </w:rPr>
        <w:t>/zij</w:t>
      </w:r>
      <w:r w:rsidRPr="002C7C88">
        <w:rPr>
          <w:lang w:val="nl-BE"/>
        </w:rPr>
        <w:t xml:space="preserve"> in voorkomend geval van overheidswege gesubsidieerd wordt (bijvoorbeeld binnen </w:t>
      </w:r>
      <w:r w:rsidR="00C671FA">
        <w:rPr>
          <w:lang w:val="nl-BE"/>
        </w:rPr>
        <w:t>de</w:t>
      </w:r>
      <w:r w:rsidRPr="002C7C88">
        <w:rPr>
          <w:lang w:val="nl-BE"/>
        </w:rPr>
        <w:t xml:space="preserve"> t</w:t>
      </w:r>
      <w:r w:rsidRPr="002C7C88">
        <w:rPr>
          <w:lang w:val="nl-BE"/>
        </w:rPr>
        <w:t>e</w:t>
      </w:r>
      <w:r w:rsidRPr="002C7C88">
        <w:rPr>
          <w:lang w:val="nl-BE"/>
        </w:rPr>
        <w:t>werkstelling in een Centrum voor geestelijke gezondheidszorg of een Centrum voor a</w:t>
      </w:r>
      <w:r w:rsidRPr="002C7C88">
        <w:rPr>
          <w:lang w:val="nl-BE"/>
        </w:rPr>
        <w:t>l</w:t>
      </w:r>
      <w:r w:rsidRPr="002C7C88">
        <w:rPr>
          <w:lang w:val="nl-BE"/>
        </w:rPr>
        <w:t>gemeen welzijnswerk)</w:t>
      </w:r>
    </w:p>
    <w:p w:rsidR="002C7C88" w:rsidRPr="002C7C88" w:rsidRDefault="002C7C88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2C7C88">
        <w:rPr>
          <w:lang w:val="nl-BE"/>
        </w:rPr>
        <w:t>De cognitief gedragstherapeut verbindt zich er toe om in voorkomend geval een beperkt aantal gegevens te registreren in het kader van de evaluatie</w:t>
      </w:r>
      <w:r>
        <w:rPr>
          <w:lang w:val="nl-BE"/>
        </w:rPr>
        <w:t xml:space="preserve"> van de overeenkomsten</w:t>
      </w:r>
      <w:r w:rsidRPr="002C7C88">
        <w:rPr>
          <w:lang w:val="nl-BE"/>
        </w:rPr>
        <w:t xml:space="preserve"> </w:t>
      </w:r>
      <w:r w:rsidRPr="002C7C88">
        <w:rPr>
          <w:rFonts w:cs="Arial"/>
          <w:lang w:val="nl-BE"/>
        </w:rPr>
        <w:t>(met respect voor de deontologie en voor de reglementering inzake de bescherming van de privacy)</w:t>
      </w:r>
    </w:p>
    <w:p w:rsidR="00C54669" w:rsidRDefault="002C7C88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C54669">
        <w:rPr>
          <w:lang w:val="nl-BE"/>
        </w:rPr>
        <w:t xml:space="preserve">Hij/zij leeft al de plichten en procedures vanwege de cognitief gedragstherapeut na die zijn opgenomen in de overeenkomst </w:t>
      </w:r>
    </w:p>
    <w:p w:rsidR="00242B1D" w:rsidRPr="00C54669" w:rsidRDefault="00242B1D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C54669">
        <w:rPr>
          <w:lang w:val="nl-BE"/>
        </w:rPr>
        <w:t>De “cognitief gedragstherapeut” verbindt zich ertoe de Dienst voor geneeskundige ve</w:t>
      </w:r>
      <w:r w:rsidRPr="00C54669">
        <w:rPr>
          <w:lang w:val="nl-BE"/>
        </w:rPr>
        <w:t>r</w:t>
      </w:r>
      <w:r w:rsidRPr="00C54669">
        <w:rPr>
          <w:lang w:val="nl-BE"/>
        </w:rPr>
        <w:t>zorging per aangetekend schrijven in te lichten, als hij de hierboven opgesomde voo</w:t>
      </w:r>
      <w:r w:rsidRPr="00C54669">
        <w:rPr>
          <w:lang w:val="nl-BE"/>
        </w:rPr>
        <w:t>r</w:t>
      </w:r>
      <w:r w:rsidRPr="00C54669">
        <w:rPr>
          <w:lang w:val="nl-BE"/>
        </w:rPr>
        <w:t>waarden niet meer wenst na te leven en vanaf welke datum dit het geval is. Vanaf die datum zal de “cognitief gedragstherapeut” geen vergoedbare “CGT-sessies” meer ku</w:t>
      </w:r>
      <w:r w:rsidRPr="00C54669">
        <w:rPr>
          <w:lang w:val="nl-BE"/>
        </w:rPr>
        <w:t>n</w:t>
      </w:r>
      <w:r w:rsidRPr="00C54669">
        <w:rPr>
          <w:lang w:val="nl-BE"/>
        </w:rPr>
        <w:t>nen realiseren.</w:t>
      </w:r>
    </w:p>
    <w:p w:rsidR="00BD332F" w:rsidRDefault="00BD332F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BD332F">
        <w:rPr>
          <w:lang w:val="nl-BE"/>
        </w:rPr>
        <w:lastRenderedPageBreak/>
        <w:t xml:space="preserve">Indien wordt vastgesteld dat een “cognitief gedragstherapeut” de </w:t>
      </w:r>
      <w:r>
        <w:rPr>
          <w:lang w:val="nl-BE"/>
        </w:rPr>
        <w:t>hierboven</w:t>
      </w:r>
      <w:r w:rsidRPr="00BD332F">
        <w:rPr>
          <w:lang w:val="nl-BE"/>
        </w:rPr>
        <w:t xml:space="preserve"> vastgeste</w:t>
      </w:r>
      <w:r w:rsidRPr="00BD332F">
        <w:rPr>
          <w:lang w:val="nl-BE"/>
        </w:rPr>
        <w:t>l</w:t>
      </w:r>
      <w:r w:rsidRPr="00BD332F">
        <w:rPr>
          <w:lang w:val="nl-BE"/>
        </w:rPr>
        <w:t>de voorwaarden niet naleeft, kan het College van geneesheren-directeurs beslissen om zijn</w:t>
      </w:r>
      <w:r>
        <w:rPr>
          <w:lang w:val="nl-BE"/>
        </w:rPr>
        <w:t>/haar</w:t>
      </w:r>
      <w:r w:rsidRPr="00BD332F">
        <w:rPr>
          <w:lang w:val="nl-BE"/>
        </w:rPr>
        <w:t xml:space="preserve"> mogelijkheid om vergoedbare “CGT-sessies” te realiseren, te beëindigen.</w:t>
      </w:r>
    </w:p>
    <w:p w:rsidR="00BD332F" w:rsidRDefault="00BD332F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BD332F">
        <w:rPr>
          <w:lang w:val="nl-BE"/>
        </w:rPr>
        <w:t>De vaststelling van het College van geneesheren-directeurs dat een persoon bean</w:t>
      </w:r>
      <w:r w:rsidRPr="00BD332F">
        <w:rPr>
          <w:lang w:val="nl-BE"/>
        </w:rPr>
        <w:t>t</w:t>
      </w:r>
      <w:r w:rsidRPr="00BD332F">
        <w:rPr>
          <w:lang w:val="nl-BE"/>
        </w:rPr>
        <w:t>woordt aan de voorwaarden om als “cognitief gedragstherapeut voor CVS” vergoedbare “CGT-sessies” te kunnen realiseren, opent voor de “cognitief gedragstherapeut” in kwestie alleen de mogelijkheid om binnen de voorwaarden en de geldigheidstermijn van de overeenkomst met de diagnostische centra voor CVS, vergoedbare CGT-sessies te realiseren voor de rechthebbenden met CVS</w:t>
      </w:r>
      <w:r>
        <w:rPr>
          <w:lang w:val="nl-BE"/>
        </w:rPr>
        <w:t xml:space="preserve"> van de overeenkomst</w:t>
      </w:r>
      <w:r w:rsidRPr="00BD332F">
        <w:rPr>
          <w:lang w:val="nl-BE"/>
        </w:rPr>
        <w:t>.</w:t>
      </w:r>
      <w:r>
        <w:rPr>
          <w:lang w:val="nl-BE"/>
        </w:rPr>
        <w:t xml:space="preserve"> </w:t>
      </w:r>
      <w:r w:rsidRPr="00BD332F">
        <w:rPr>
          <w:lang w:val="nl-BE"/>
        </w:rPr>
        <w:t xml:space="preserve">Op de datum dat de overeenkomsten met de diagnostische centra voor CVS uit werking treden, wordt de bedoelde vaststelling van het College van geneesheren-directeurs nietig want zonder voorwerp en kunnen er geen vergoedbare “CGT-sessies” meer gerealiseerd worden. Dit geldt ook als er vanaf deze datum rechthebbenden zijn die nog “CGT-attesten” in hun bezit hebben waarvoor nog geen “CGT-sessie” heeft plaatsgevonden. </w:t>
      </w:r>
    </w:p>
    <w:p w:rsidR="00C53624" w:rsidRPr="004B1B9B" w:rsidRDefault="00BD332F" w:rsidP="00C671FA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 xml:space="preserve">De </w:t>
      </w:r>
      <w:r w:rsidRPr="00BD332F">
        <w:rPr>
          <w:lang w:val="nl-BE"/>
        </w:rPr>
        <w:t>“cognitief gedragstherapeut”</w:t>
      </w:r>
      <w:r>
        <w:rPr>
          <w:lang w:val="nl-BE"/>
        </w:rPr>
        <w:t xml:space="preserve"> </w:t>
      </w:r>
      <w:r w:rsidR="004B1B9B">
        <w:rPr>
          <w:lang w:val="nl-BE"/>
        </w:rPr>
        <w:t xml:space="preserve">verbindt zich ertoe wijzigingen aan de coördinaten die onderaan dit formulier dienen </w:t>
      </w:r>
      <w:r w:rsidR="002C7C88">
        <w:rPr>
          <w:lang w:val="nl-BE"/>
        </w:rPr>
        <w:t>ingevuld</w:t>
      </w:r>
      <w:r w:rsidR="004B1B9B">
        <w:rPr>
          <w:lang w:val="nl-BE"/>
        </w:rPr>
        <w:t xml:space="preserve"> te worden, onmiddellijk mee te delen aan het RIZIV in een e-mail naar </w:t>
      </w:r>
      <w:hyperlink r:id="rId9" w:history="1">
        <w:r w:rsidR="00AB6E0C">
          <w:rPr>
            <w:rStyle w:val="Hyperlink"/>
            <w:lang w:val="nl-BE"/>
          </w:rPr>
          <w:t>cbt-cfs@riziv.fgov.be</w:t>
        </w:r>
      </w:hyperlink>
      <w:r w:rsidR="004B1B9B">
        <w:rPr>
          <w:lang w:val="nl-BE"/>
        </w:rPr>
        <w:t xml:space="preserve"> </w:t>
      </w:r>
      <w:r w:rsidR="00900156">
        <w:rPr>
          <w:lang w:val="nl-BE"/>
        </w:rPr>
        <w:t>. Alle mededelingen van het RIZIV wo</w:t>
      </w:r>
      <w:r w:rsidR="00900156">
        <w:rPr>
          <w:lang w:val="nl-BE"/>
        </w:rPr>
        <w:t>r</w:t>
      </w:r>
      <w:r w:rsidR="00900156">
        <w:rPr>
          <w:lang w:val="nl-BE"/>
        </w:rPr>
        <w:t>den in principe alleen per e-mail verzonden naar de cognitief gedragstherapeut.</w:t>
      </w:r>
      <w:r w:rsidR="00FD7284" w:rsidRPr="004B1B9B">
        <w:rPr>
          <w:lang w:val="nl-BE"/>
        </w:rPr>
        <w:t xml:space="preserve"> </w:t>
      </w:r>
    </w:p>
    <w:p w:rsidR="00C53624" w:rsidRDefault="00C53624" w:rsidP="00C671FA">
      <w:pPr>
        <w:jc w:val="both"/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1703"/>
        <w:gridCol w:w="565"/>
        <w:gridCol w:w="2126"/>
        <w:gridCol w:w="2097"/>
      </w:tblGrid>
      <w:tr w:rsidR="00A16A75" w:rsidTr="00A16A75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Naam en voornaam:</w:t>
            </w:r>
          </w:p>
        </w:tc>
      </w:tr>
      <w:tr w:rsidR="00E313CF" w:rsidTr="00A16A75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E313CF" w:rsidRDefault="00E313CF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 xml:space="preserve">Rijksregisternummer: </w:t>
            </w:r>
          </w:p>
        </w:tc>
      </w:tr>
      <w:tr w:rsidR="00A16A75" w:rsidTr="00A16A75">
        <w:tc>
          <w:tcPr>
            <w:tcW w:w="9576" w:type="dxa"/>
            <w:gridSpan w:val="5"/>
            <w:tcBorders>
              <w:bottom w:val="nil"/>
            </w:tcBorders>
          </w:tcPr>
          <w:p w:rsidR="00A16A75" w:rsidRDefault="00A16A75" w:rsidP="00A16A75">
            <w:pPr>
              <w:tabs>
                <w:tab w:val="center" w:pos="4680"/>
              </w:tabs>
              <w:spacing w:before="120" w:after="120"/>
              <w:rPr>
                <w:lang w:val="nl-BE"/>
              </w:rPr>
            </w:pPr>
            <w:r w:rsidRPr="002C7C88">
              <w:rPr>
                <w:u w:val="single"/>
                <w:lang w:val="nl-BE"/>
              </w:rPr>
              <w:t>Praktijkadres</w:t>
            </w:r>
            <w:r>
              <w:rPr>
                <w:lang w:val="nl-BE"/>
              </w:rPr>
              <w:t xml:space="preserve"> </w:t>
            </w:r>
            <w:r>
              <w:rPr>
                <w:lang w:val="nl-BE"/>
              </w:rPr>
              <w:tab/>
            </w:r>
          </w:p>
        </w:tc>
      </w:tr>
      <w:tr w:rsidR="00A16A75" w:rsidTr="00A16A75">
        <w:tc>
          <w:tcPr>
            <w:tcW w:w="5353" w:type="dxa"/>
            <w:gridSpan w:val="3"/>
            <w:tcBorders>
              <w:top w:val="nil"/>
              <w:bottom w:val="nil"/>
              <w:right w:val="nil"/>
            </w:tcBorders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Straatnaam: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Huisnummer: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proofErr w:type="spellStart"/>
            <w:r>
              <w:rPr>
                <w:lang w:val="nl-BE"/>
              </w:rPr>
              <w:t>Busnummer</w:t>
            </w:r>
            <w:proofErr w:type="spellEnd"/>
            <w:r>
              <w:rPr>
                <w:lang w:val="nl-BE"/>
              </w:rPr>
              <w:t>:</w:t>
            </w:r>
          </w:p>
        </w:tc>
      </w:tr>
      <w:tr w:rsidR="00A16A75" w:rsidTr="00A16A75">
        <w:tc>
          <w:tcPr>
            <w:tcW w:w="3085" w:type="dxa"/>
            <w:tcBorders>
              <w:top w:val="nil"/>
              <w:right w:val="nil"/>
            </w:tcBorders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Postcode:</w:t>
            </w:r>
          </w:p>
        </w:tc>
        <w:tc>
          <w:tcPr>
            <w:tcW w:w="6491" w:type="dxa"/>
            <w:gridSpan w:val="4"/>
            <w:tcBorders>
              <w:top w:val="nil"/>
              <w:left w:val="nil"/>
            </w:tcBorders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Gemeente:</w:t>
            </w:r>
          </w:p>
        </w:tc>
      </w:tr>
      <w:tr w:rsidR="00A16A75" w:rsidTr="00A16A75">
        <w:tc>
          <w:tcPr>
            <w:tcW w:w="4788" w:type="dxa"/>
            <w:gridSpan w:val="2"/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Telefoonnummer:</w:t>
            </w:r>
          </w:p>
        </w:tc>
        <w:tc>
          <w:tcPr>
            <w:tcW w:w="4788" w:type="dxa"/>
            <w:gridSpan w:val="3"/>
          </w:tcPr>
          <w:p w:rsidR="00A16A75" w:rsidRDefault="00A16A75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E-mail adres:</w:t>
            </w:r>
          </w:p>
        </w:tc>
      </w:tr>
    </w:tbl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C53624" w:rsidRPr="00C53624" w:rsidRDefault="004B1B9B" w:rsidP="00C53624">
      <w:pPr>
        <w:rPr>
          <w:lang w:val="nl-BE"/>
        </w:rPr>
      </w:pPr>
      <w:r>
        <w:rPr>
          <w:lang w:val="nl-BE"/>
        </w:rPr>
        <w:t>Datum + handtekening</w:t>
      </w:r>
      <w:r w:rsidR="00C53624">
        <w:rPr>
          <w:lang w:val="nl-BE"/>
        </w:rPr>
        <w:t xml:space="preserve">  </w:t>
      </w:r>
    </w:p>
    <w:sectPr w:rsidR="00C53624" w:rsidRPr="00C5362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88" w:rsidRDefault="00B82888" w:rsidP="000C46EA">
      <w:r>
        <w:separator/>
      </w:r>
    </w:p>
  </w:endnote>
  <w:endnote w:type="continuationSeparator" w:id="0">
    <w:p w:rsidR="00B82888" w:rsidRDefault="00B82888" w:rsidP="000C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249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8E0" w:rsidRDefault="002038E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4D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534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8E0" w:rsidRDefault="002038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88" w:rsidRDefault="00B82888" w:rsidP="000C46EA">
      <w:r>
        <w:separator/>
      </w:r>
    </w:p>
  </w:footnote>
  <w:footnote w:type="continuationSeparator" w:id="0">
    <w:p w:rsidR="00B82888" w:rsidRDefault="00B82888" w:rsidP="000C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1EE"/>
    <w:multiLevelType w:val="hybridMultilevel"/>
    <w:tmpl w:val="6C92A6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8E"/>
    <w:rsid w:val="00082F62"/>
    <w:rsid w:val="00094AD4"/>
    <w:rsid w:val="000C46EA"/>
    <w:rsid w:val="00126B9E"/>
    <w:rsid w:val="001E1FDF"/>
    <w:rsid w:val="002038E0"/>
    <w:rsid w:val="00242B1D"/>
    <w:rsid w:val="002C7C88"/>
    <w:rsid w:val="002D727A"/>
    <w:rsid w:val="003064F9"/>
    <w:rsid w:val="00334905"/>
    <w:rsid w:val="004B1B9B"/>
    <w:rsid w:val="004B4E0F"/>
    <w:rsid w:val="005344D2"/>
    <w:rsid w:val="006139B7"/>
    <w:rsid w:val="006E2FF4"/>
    <w:rsid w:val="00900156"/>
    <w:rsid w:val="00941BC4"/>
    <w:rsid w:val="009A4640"/>
    <w:rsid w:val="009B1E2D"/>
    <w:rsid w:val="009D50D1"/>
    <w:rsid w:val="00A16A75"/>
    <w:rsid w:val="00AB6E0C"/>
    <w:rsid w:val="00AE61BF"/>
    <w:rsid w:val="00B82888"/>
    <w:rsid w:val="00B93C2D"/>
    <w:rsid w:val="00BC61F6"/>
    <w:rsid w:val="00BD332F"/>
    <w:rsid w:val="00BE6A49"/>
    <w:rsid w:val="00C06044"/>
    <w:rsid w:val="00C53624"/>
    <w:rsid w:val="00C54669"/>
    <w:rsid w:val="00C671FA"/>
    <w:rsid w:val="00C87D8A"/>
    <w:rsid w:val="00CC0C8E"/>
    <w:rsid w:val="00E313CF"/>
    <w:rsid w:val="00EE3A7B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7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1E2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1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6EA"/>
  </w:style>
  <w:style w:type="paragraph" w:styleId="Voettekst">
    <w:name w:val="footer"/>
    <w:basedOn w:val="Standaard"/>
    <w:link w:val="Voet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46EA"/>
  </w:style>
  <w:style w:type="paragraph" w:styleId="Ballontekst">
    <w:name w:val="Balloon Text"/>
    <w:basedOn w:val="Standaard"/>
    <w:link w:val="BallontekstChar"/>
    <w:uiPriority w:val="99"/>
    <w:semiHidden/>
    <w:unhideWhenUsed/>
    <w:rsid w:val="002038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7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1E2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1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6EA"/>
  </w:style>
  <w:style w:type="paragraph" w:styleId="Voettekst">
    <w:name w:val="footer"/>
    <w:basedOn w:val="Standaard"/>
    <w:link w:val="Voet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46EA"/>
  </w:style>
  <w:style w:type="paragraph" w:styleId="Ballontekst">
    <w:name w:val="Balloon Text"/>
    <w:basedOn w:val="Standaard"/>
    <w:link w:val="BallontekstChar"/>
    <w:uiPriority w:val="99"/>
    <w:semiHidden/>
    <w:unhideWhenUsed/>
    <w:rsid w:val="002038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validatie@riziv.fgov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2015-06-09T22:00:00+00:00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Verbintenisformulier van de  “cognitief gedragstherapeut voor CVS”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TaxCatchAll xmlns="61fd8d87-ea47-44bb-afd6-b4d99b1d9c1f">
      <Value>32</Value>
      <Value>9</Value>
      <Value>71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6AF23-B152-4817-95FD-40D81A82AB34}"/>
</file>

<file path=customXml/itemProps2.xml><?xml version="1.0" encoding="utf-8"?>
<ds:datastoreItem xmlns:ds="http://schemas.openxmlformats.org/officeDocument/2006/customXml" ds:itemID="{DFABF1DC-A0A7-4490-A3AF-5110B54CC58F}"/>
</file>

<file path=customXml/itemProps3.xml><?xml version="1.0" encoding="utf-8"?>
<ds:datastoreItem xmlns:ds="http://schemas.openxmlformats.org/officeDocument/2006/customXml" ds:itemID="{94B45F87-AAAE-4DD5-8863-5EC312CC68D5}"/>
</file>

<file path=customXml/itemProps4.xml><?xml version="1.0" encoding="utf-8"?>
<ds:datastoreItem xmlns:ds="http://schemas.openxmlformats.org/officeDocument/2006/customXml" ds:itemID="{73231710-EB82-4FBE-8D11-7C956A6A0021}"/>
</file>

<file path=docProps/app.xml><?xml version="1.0" encoding="utf-8"?>
<Properties xmlns="http://schemas.openxmlformats.org/officeDocument/2006/extended-properties" xmlns:vt="http://schemas.openxmlformats.org/officeDocument/2006/docPropsVTypes">
  <Template>8607040D.dotm</Template>
  <TotalTime>0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Chronisch vermoeidheidssyndroom - “cognitief gedragstherapeut voor CVS”</dc:title>
  <dc:creator>Koen Deraedt</dc:creator>
  <cp:lastModifiedBy>Bruno De Bolle</cp:lastModifiedBy>
  <cp:revision>2</cp:revision>
  <cp:lastPrinted>2013-10-09T14:26:00Z</cp:lastPrinted>
  <dcterms:created xsi:type="dcterms:W3CDTF">2015-06-10T08:05:00Z</dcterms:created>
  <dcterms:modified xsi:type="dcterms:W3CDTF">2015-06-10T08:05:00Z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71;#Centre spécialisé et centre de rééducation|129a1276-b8d3-4518-bf1d-4a51502353ec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