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090" w14:textId="77777777" w:rsidR="00E72711" w:rsidRPr="003A608F" w:rsidRDefault="00E72711" w:rsidP="00E72711">
      <w:pPr>
        <w:jc w:val="both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14:paraId="25973B4E" w14:textId="77777777" w:rsidR="00E72711" w:rsidRPr="00973AEB" w:rsidRDefault="00E72711" w:rsidP="00E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fr-BE"/>
        </w:rPr>
      </w:pPr>
      <w:r w:rsidRPr="00973AEB">
        <w:rPr>
          <w:b/>
          <w:sz w:val="28"/>
          <w:szCs w:val="28"/>
          <w:lang w:val="fr-BE"/>
        </w:rPr>
        <w:t xml:space="preserve">Indications et critères supplémentaires pour hadronthérapie </w:t>
      </w:r>
    </w:p>
    <w:p w14:paraId="35CAF4C1" w14:textId="77777777" w:rsidR="00E72711" w:rsidRPr="00973AEB" w:rsidRDefault="00E72711" w:rsidP="00E72711">
      <w:pPr>
        <w:rPr>
          <w:rFonts w:ascii="Arial" w:hAnsi="Arial" w:cs="Arial"/>
          <w:sz w:val="28"/>
          <w:szCs w:val="28"/>
          <w:lang w:val="fr-BE"/>
        </w:rPr>
      </w:pPr>
    </w:p>
    <w:p w14:paraId="461C6CA6" w14:textId="77777777" w:rsidR="00E72711" w:rsidRPr="00973AEB" w:rsidRDefault="00E72711" w:rsidP="00E72711">
      <w:pPr>
        <w:rPr>
          <w:rFonts w:ascii="Arial" w:hAnsi="Arial" w:cs="Arial"/>
          <w:sz w:val="28"/>
          <w:szCs w:val="28"/>
          <w:lang w:val="fr-BE"/>
        </w:rPr>
      </w:pPr>
    </w:p>
    <w:p w14:paraId="4B8102A8" w14:textId="77777777" w:rsidR="00E72711" w:rsidRPr="00973AEB" w:rsidRDefault="00E72711" w:rsidP="00E7271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8"/>
          <w:szCs w:val="28"/>
          <w:lang w:val="fr-BE"/>
        </w:rPr>
      </w:pPr>
      <w:r w:rsidRPr="00973AEB">
        <w:rPr>
          <w:rFonts w:ascii="Arial" w:hAnsi="Arial" w:cs="Arial"/>
          <w:b/>
          <w:sz w:val="28"/>
          <w:szCs w:val="28"/>
          <w:u w:val="single"/>
          <w:lang w:val="fr-BE"/>
        </w:rPr>
        <w:t xml:space="preserve">Indications pour protonthérapie </w:t>
      </w:r>
      <w:r w:rsidRPr="00973AEB">
        <w:rPr>
          <w:rFonts w:ascii="Arial" w:hAnsi="Arial" w:cs="Arial"/>
          <w:b/>
          <w:sz w:val="28"/>
          <w:szCs w:val="28"/>
          <w:lang w:val="fr-BE"/>
        </w:rPr>
        <w:t xml:space="preserve">: </w:t>
      </w:r>
    </w:p>
    <w:p w14:paraId="2F4FC584" w14:textId="77777777" w:rsidR="00E72711" w:rsidRPr="00973AEB" w:rsidRDefault="00E72711" w:rsidP="00E72711">
      <w:pPr>
        <w:pStyle w:val="ListParagraph"/>
        <w:rPr>
          <w:rFonts w:cstheme="minorHAnsi"/>
          <w:b/>
          <w:sz w:val="28"/>
          <w:szCs w:val="28"/>
          <w:lang w:val="fr-BE"/>
        </w:rPr>
      </w:pPr>
    </w:p>
    <w:p w14:paraId="225934AB" w14:textId="77777777" w:rsidR="00E72711" w:rsidRPr="00973AEB" w:rsidRDefault="00E72711" w:rsidP="00E72711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b/>
          <w:sz w:val="28"/>
          <w:szCs w:val="28"/>
          <w:lang w:val="fr-BE"/>
        </w:rPr>
      </w:pPr>
      <w:r w:rsidRPr="00973AEB">
        <w:rPr>
          <w:rFonts w:ascii="Arial" w:hAnsi="Arial" w:cs="Arial"/>
          <w:b/>
          <w:sz w:val="28"/>
          <w:szCs w:val="28"/>
          <w:lang w:val="fr-BE"/>
        </w:rPr>
        <w:t xml:space="preserve">Enfants (&lt; 20 ans) </w:t>
      </w:r>
    </w:p>
    <w:p w14:paraId="5346442F" w14:textId="77777777" w:rsidR="00E72711" w:rsidRPr="00973AEB" w:rsidRDefault="00E72711" w:rsidP="00E72711">
      <w:pPr>
        <w:ind w:firstLine="709"/>
        <w:rPr>
          <w:rFonts w:cstheme="minorHAnsi"/>
          <w:b/>
          <w:sz w:val="28"/>
          <w:szCs w:val="28"/>
          <w:lang w:val="fr-BE"/>
        </w:rPr>
      </w:pPr>
      <w:r w:rsidRPr="00973AEB">
        <w:rPr>
          <w:rFonts w:cstheme="minorHAnsi"/>
          <w:b/>
          <w:sz w:val="28"/>
          <w:szCs w:val="28"/>
          <w:lang w:val="fr-BE"/>
        </w:rPr>
        <w:t xml:space="preserve">Type tumeur: </w:t>
      </w:r>
    </w:p>
    <w:p w14:paraId="49B2A487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/>
        <w:ind w:left="927"/>
        <w:rPr>
          <w:rFonts w:ascii="Arial" w:hAnsi="Arial" w:cs="Arial"/>
          <w:sz w:val="24"/>
          <w:szCs w:val="24"/>
          <w:lang w:val="fr-BE"/>
        </w:rPr>
      </w:pP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Chordome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de la base du crâne, (para)spinal </w:t>
      </w:r>
    </w:p>
    <w:p w14:paraId="655EA6A2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Chondrosarcome de la base du crâne</w:t>
      </w:r>
    </w:p>
    <w:p w14:paraId="7B2B7BA6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en-GB"/>
        </w:rPr>
      </w:pPr>
      <w:proofErr w:type="spellStart"/>
      <w:r w:rsidRPr="00973AEB">
        <w:rPr>
          <w:rFonts w:ascii="Arial" w:hAnsi="Arial" w:cs="Arial"/>
          <w:sz w:val="24"/>
          <w:szCs w:val="24"/>
          <w:lang w:val="en-GB"/>
        </w:rPr>
        <w:t>Sarcome</w:t>
      </w:r>
      <w:proofErr w:type="spellEnd"/>
      <w:r w:rsidRPr="00973AEB">
        <w:rPr>
          <w:rFonts w:ascii="Arial" w:hAnsi="Arial" w:cs="Arial"/>
          <w:sz w:val="24"/>
          <w:szCs w:val="24"/>
          <w:lang w:val="en-GB"/>
        </w:rPr>
        <w:t xml:space="preserve"> “adult soft tissue”, (para)spinal</w:t>
      </w:r>
    </w:p>
    <w:p w14:paraId="4E339799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nl-BE"/>
        </w:rPr>
      </w:pPr>
      <w:proofErr w:type="spellStart"/>
      <w:r w:rsidRPr="00973AEB">
        <w:rPr>
          <w:rFonts w:ascii="Arial" w:hAnsi="Arial" w:cs="Arial"/>
          <w:sz w:val="24"/>
          <w:szCs w:val="24"/>
          <w:lang w:val="nl-BE"/>
        </w:rPr>
        <w:t>Sarcome</w:t>
      </w:r>
      <w:proofErr w:type="spellEnd"/>
      <w:r w:rsidRPr="00973AEB">
        <w:rPr>
          <w:rFonts w:ascii="Arial" w:hAnsi="Arial" w:cs="Arial"/>
          <w:sz w:val="24"/>
          <w:szCs w:val="24"/>
          <w:lang w:val="nl-BE"/>
        </w:rPr>
        <w:t xml:space="preserve"> du bassin </w:t>
      </w:r>
    </w:p>
    <w:p w14:paraId="2C4BB202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nl-BE"/>
        </w:rPr>
      </w:pPr>
      <w:proofErr w:type="spellStart"/>
      <w:r w:rsidRPr="00973AEB">
        <w:rPr>
          <w:rFonts w:ascii="Arial" w:hAnsi="Arial" w:cs="Arial"/>
          <w:sz w:val="24"/>
          <w:szCs w:val="24"/>
          <w:lang w:val="nl-BE"/>
        </w:rPr>
        <w:t>Rhabdomyosarcome</w:t>
      </w:r>
      <w:proofErr w:type="spellEnd"/>
    </w:p>
    <w:p w14:paraId="6EF8C001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nl-BE"/>
        </w:rPr>
      </w:pPr>
      <w:proofErr w:type="spellStart"/>
      <w:r w:rsidRPr="00973AEB">
        <w:rPr>
          <w:rFonts w:ascii="Arial" w:hAnsi="Arial" w:cs="Arial"/>
          <w:sz w:val="24"/>
          <w:szCs w:val="24"/>
        </w:rPr>
        <w:t>Ewing's</w:t>
      </w:r>
      <w:proofErr w:type="spellEnd"/>
      <w:r w:rsidRPr="00973AEB">
        <w:rPr>
          <w:rFonts w:ascii="Arial" w:hAnsi="Arial" w:cs="Arial"/>
          <w:sz w:val="24"/>
          <w:szCs w:val="24"/>
        </w:rPr>
        <w:t xml:space="preserve"> sarcome</w:t>
      </w:r>
    </w:p>
    <w:p w14:paraId="57EAD8ED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</w:rPr>
      </w:pPr>
      <w:r w:rsidRPr="00973AEB">
        <w:rPr>
          <w:rFonts w:ascii="Arial" w:hAnsi="Arial" w:cs="Arial"/>
          <w:sz w:val="24"/>
          <w:szCs w:val="24"/>
        </w:rPr>
        <w:t xml:space="preserve">Rétinoblastome </w:t>
      </w:r>
    </w:p>
    <w:p w14:paraId="6790F1F5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Gliome de faible grade (e.a. du « 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optic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pathway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 »)  </w:t>
      </w:r>
    </w:p>
    <w:p w14:paraId="3E9F397E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nl-BE"/>
        </w:rPr>
      </w:pPr>
      <w:proofErr w:type="spellStart"/>
      <w:r w:rsidRPr="00973AEB">
        <w:rPr>
          <w:rFonts w:ascii="Arial" w:hAnsi="Arial" w:cs="Arial"/>
          <w:sz w:val="24"/>
          <w:szCs w:val="24"/>
        </w:rPr>
        <w:t>Ependymome</w:t>
      </w:r>
      <w:proofErr w:type="spellEnd"/>
    </w:p>
    <w:p w14:paraId="7D6D696A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nl-BE"/>
        </w:rPr>
      </w:pPr>
      <w:r w:rsidRPr="00973AEB">
        <w:rPr>
          <w:rFonts w:ascii="Arial" w:hAnsi="Arial" w:cs="Arial"/>
          <w:sz w:val="24"/>
          <w:szCs w:val="24"/>
        </w:rPr>
        <w:t xml:space="preserve"> Craniopharyngiome</w:t>
      </w:r>
    </w:p>
    <w:p w14:paraId="6972151F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 Tumeurs parenchymateuses de l’épiphyse (“not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pineoblastoma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>”)</w:t>
      </w:r>
    </w:p>
    <w:p w14:paraId="58A12BCA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nl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973AEB">
        <w:rPr>
          <w:rFonts w:ascii="Arial" w:hAnsi="Arial" w:cs="Arial"/>
          <w:sz w:val="24"/>
          <w:szCs w:val="24"/>
          <w:lang w:val="nl-BE"/>
        </w:rPr>
        <w:t>Esthésioneuroblastome</w:t>
      </w:r>
      <w:proofErr w:type="spellEnd"/>
    </w:p>
    <w:p w14:paraId="3A19C2F1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 Médulloblastome / tumeurs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neuroectodermales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primitives (TNEP)</w:t>
      </w:r>
    </w:p>
    <w:p w14:paraId="09587A3C" w14:textId="77777777" w:rsidR="00E72711" w:rsidRPr="00973AEB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</w:rPr>
      </w:pPr>
      <w:r w:rsidRPr="00973AEB">
        <w:rPr>
          <w:rFonts w:ascii="Arial" w:hAnsi="Arial" w:cs="Arial"/>
          <w:sz w:val="24"/>
          <w:szCs w:val="24"/>
        </w:rPr>
        <w:t xml:space="preserve"> T</w:t>
      </w:r>
      <w:proofErr w:type="spellStart"/>
      <w:r w:rsidRPr="00973AEB">
        <w:rPr>
          <w:rFonts w:ascii="Arial" w:eastAsiaTheme="minorHAnsi" w:hAnsi="Arial" w:cs="Arial"/>
          <w:sz w:val="24"/>
          <w:szCs w:val="24"/>
          <w:lang w:val="fr-BE"/>
        </w:rPr>
        <w:t>umeurs</w:t>
      </w:r>
      <w:proofErr w:type="spellEnd"/>
      <w:r w:rsidRPr="00973AEB">
        <w:rPr>
          <w:rFonts w:ascii="Arial" w:eastAsiaTheme="minorHAnsi" w:hAnsi="Arial" w:cs="Arial"/>
          <w:sz w:val="24"/>
          <w:szCs w:val="24"/>
          <w:lang w:val="fr-BE"/>
        </w:rPr>
        <w:t xml:space="preserve"> germinales du système nerveux central</w:t>
      </w:r>
    </w:p>
    <w:p w14:paraId="22560BBE" w14:textId="77777777" w:rsidR="00E72711" w:rsidRPr="00474172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</w:rPr>
      </w:pPr>
      <w:r w:rsidRPr="00973AEB">
        <w:rPr>
          <w:rFonts w:ascii="Arial" w:hAnsi="Arial" w:cs="Arial"/>
          <w:sz w:val="24"/>
          <w:szCs w:val="24"/>
        </w:rPr>
        <w:t xml:space="preserve"> </w:t>
      </w:r>
      <w:r w:rsidRPr="00474172">
        <w:rPr>
          <w:rFonts w:ascii="Arial" w:hAnsi="Arial" w:cs="Arial"/>
          <w:sz w:val="24"/>
          <w:szCs w:val="24"/>
        </w:rPr>
        <w:t xml:space="preserve">Ostéosarcome non résécable </w:t>
      </w:r>
    </w:p>
    <w:p w14:paraId="5A0D377D" w14:textId="77777777" w:rsidR="00E72711" w:rsidRPr="00474172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  <w:lang w:val="en-GB"/>
        </w:rPr>
      </w:pPr>
      <w:r w:rsidRPr="00474172">
        <w:rPr>
          <w:rFonts w:ascii="Arial" w:hAnsi="Arial" w:cs="Arial"/>
          <w:sz w:val="24"/>
          <w:szCs w:val="24"/>
          <w:lang w:val="en-GB"/>
        </w:rPr>
        <w:t xml:space="preserve"> ATRT (atypical teratoid rhabdoid </w:t>
      </w:r>
      <w:proofErr w:type="spellStart"/>
      <w:r w:rsidRPr="00474172">
        <w:rPr>
          <w:rFonts w:ascii="Arial" w:hAnsi="Arial" w:cs="Arial"/>
          <w:sz w:val="24"/>
          <w:szCs w:val="24"/>
          <w:lang w:val="en-GB"/>
        </w:rPr>
        <w:t>tumor</w:t>
      </w:r>
      <w:proofErr w:type="spellEnd"/>
      <w:r w:rsidRPr="00474172">
        <w:rPr>
          <w:rFonts w:ascii="Arial" w:hAnsi="Arial" w:cs="Arial"/>
          <w:sz w:val="24"/>
          <w:szCs w:val="24"/>
          <w:lang w:val="en-GB"/>
        </w:rPr>
        <w:t xml:space="preserve">) </w:t>
      </w:r>
    </w:p>
    <w:p w14:paraId="48168A7B" w14:textId="77777777" w:rsidR="00E72711" w:rsidRPr="00474172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</w:rPr>
      </w:pPr>
      <w:r w:rsidRPr="00474172">
        <w:rPr>
          <w:rFonts w:ascii="Arial" w:hAnsi="Arial" w:cs="Arial"/>
          <w:sz w:val="24"/>
          <w:szCs w:val="24"/>
          <w:lang w:val="en-GB"/>
        </w:rPr>
        <w:t xml:space="preserve"> </w:t>
      </w:r>
      <w:r w:rsidRPr="00474172">
        <w:rPr>
          <w:rFonts w:ascii="Arial" w:hAnsi="Arial" w:cs="Arial"/>
          <w:sz w:val="24"/>
          <w:szCs w:val="24"/>
        </w:rPr>
        <w:t xml:space="preserve">Tumeurs primaires du système nerveux central nécessitant une irradiation </w:t>
      </w:r>
      <w:proofErr w:type="spellStart"/>
      <w:r w:rsidRPr="00474172">
        <w:rPr>
          <w:rFonts w:ascii="Arial" w:hAnsi="Arial" w:cs="Arial"/>
          <w:sz w:val="24"/>
          <w:szCs w:val="24"/>
        </w:rPr>
        <w:t>craniospinale</w:t>
      </w:r>
      <w:proofErr w:type="spellEnd"/>
      <w:r w:rsidRPr="00474172">
        <w:rPr>
          <w:rFonts w:ascii="Arial" w:hAnsi="Arial" w:cs="Arial"/>
          <w:sz w:val="24"/>
          <w:szCs w:val="24"/>
        </w:rPr>
        <w:t>, dans un but curatif</w:t>
      </w:r>
    </w:p>
    <w:p w14:paraId="23CB62E2" w14:textId="77777777" w:rsidR="00E72711" w:rsidRPr="00474172" w:rsidRDefault="00E72711" w:rsidP="00E72711">
      <w:pPr>
        <w:pStyle w:val="ListParagraph"/>
        <w:numPr>
          <w:ilvl w:val="0"/>
          <w:numId w:val="1"/>
        </w:numPr>
        <w:spacing w:after="200" w:line="276" w:lineRule="auto"/>
        <w:ind w:left="927"/>
        <w:rPr>
          <w:rFonts w:ascii="Arial" w:hAnsi="Arial" w:cs="Arial"/>
          <w:sz w:val="24"/>
          <w:szCs w:val="24"/>
        </w:rPr>
      </w:pPr>
      <w:r w:rsidRPr="00474172">
        <w:rPr>
          <w:rFonts w:ascii="Arial" w:hAnsi="Arial" w:cs="Arial"/>
          <w:sz w:val="24"/>
          <w:szCs w:val="24"/>
        </w:rPr>
        <w:t xml:space="preserve"> Méningiome</w:t>
      </w:r>
    </w:p>
    <w:p w14:paraId="4C9D358B" w14:textId="77777777" w:rsidR="00E72711" w:rsidRPr="00973AEB" w:rsidRDefault="00E72711" w:rsidP="00E72711">
      <w:pPr>
        <w:ind w:firstLine="709"/>
        <w:rPr>
          <w:rFonts w:ascii="Arial" w:hAnsi="Arial" w:cs="Arial"/>
          <w:sz w:val="28"/>
          <w:szCs w:val="28"/>
          <w:lang w:val="fr-BE"/>
        </w:rPr>
      </w:pPr>
    </w:p>
    <w:p w14:paraId="461BED3D" w14:textId="77777777" w:rsidR="00E72711" w:rsidRPr="00973AEB" w:rsidRDefault="00E72711" w:rsidP="00E72711">
      <w:pPr>
        <w:ind w:firstLine="709"/>
        <w:rPr>
          <w:rFonts w:ascii="Arial" w:hAnsi="Arial" w:cs="Arial"/>
          <w:sz w:val="28"/>
          <w:szCs w:val="28"/>
          <w:lang w:val="fr-BE"/>
        </w:rPr>
      </w:pPr>
    </w:p>
    <w:p w14:paraId="38690B89" w14:textId="77777777" w:rsidR="00E72711" w:rsidRPr="00973AEB" w:rsidRDefault="00E72711" w:rsidP="00E72711">
      <w:pPr>
        <w:ind w:firstLine="709"/>
        <w:rPr>
          <w:rFonts w:cstheme="minorHAnsi"/>
          <w:b/>
          <w:sz w:val="28"/>
          <w:szCs w:val="28"/>
          <w:lang w:val="fr-BE"/>
        </w:rPr>
      </w:pPr>
      <w:r w:rsidRPr="00973AEB">
        <w:rPr>
          <w:rFonts w:cstheme="minorHAnsi"/>
          <w:b/>
          <w:sz w:val="28"/>
          <w:szCs w:val="28"/>
          <w:lang w:val="fr-BE"/>
        </w:rPr>
        <w:t xml:space="preserve">Conditions complémentaires: </w:t>
      </w:r>
    </w:p>
    <w:p w14:paraId="30EC6076" w14:textId="77777777" w:rsidR="00E72711" w:rsidRPr="00973AEB" w:rsidRDefault="00E72711" w:rsidP="00E727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Selon le rapport COM la radiothérapie est indiquée, en outre la radiothérapie avec les protons est le traitement radiothérapeutique le plus approprié.</w:t>
      </w:r>
    </w:p>
    <w:p w14:paraId="773D5299" w14:textId="77777777" w:rsidR="00E72711" w:rsidRPr="00973AEB" w:rsidRDefault="00E72711" w:rsidP="00E727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But curatif (pas de traitement palliatif).</w:t>
      </w:r>
    </w:p>
    <w:p w14:paraId="0696BF95" w14:textId="77777777" w:rsidR="00E72711" w:rsidRPr="00973AEB" w:rsidRDefault="00E72711" w:rsidP="00E727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S'il ne s'agit pas du premier traitement de radiothérapie de l'affection visée, une motivation détaillée de la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réirradiation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est requise dans le dossier de demande. La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réirradation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concerne au moins en partie le même champ d’irradiation et a une intention curative.</w:t>
      </w:r>
    </w:p>
    <w:p w14:paraId="60405E51" w14:textId="77777777" w:rsidR="00E72711" w:rsidRPr="00973AEB" w:rsidRDefault="00E72711" w:rsidP="00E727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Des tumeurs bénignes du système nerveux central qui – en raison de leur localisation - ne peuvent pas être traitées d'une autre façon, sont retenues comme indication à condition que l'on dispose d'un avis multidisciplinaire (au moins un neurochirurgien et un radiothérapeute y ont participé) par lequel la protonthérapie s’avère être l'unique traitement possible.</w:t>
      </w:r>
    </w:p>
    <w:p w14:paraId="206F2331" w14:textId="77777777" w:rsidR="00E72711" w:rsidRPr="00973AEB" w:rsidRDefault="00E72711" w:rsidP="00E72711">
      <w:pPr>
        <w:rPr>
          <w:rFonts w:ascii="Arial" w:hAnsi="Arial" w:cs="Arial"/>
          <w:sz w:val="24"/>
          <w:szCs w:val="24"/>
          <w:lang w:val="fr-BE"/>
        </w:rPr>
      </w:pPr>
    </w:p>
    <w:p w14:paraId="62A5D981" w14:textId="77777777" w:rsidR="00E72711" w:rsidRPr="00973AEB" w:rsidRDefault="00E72711" w:rsidP="00E72711">
      <w:pPr>
        <w:rPr>
          <w:rFonts w:ascii="Arial" w:hAnsi="Arial" w:cs="Arial"/>
          <w:sz w:val="24"/>
          <w:szCs w:val="24"/>
          <w:lang w:val="fr-BE"/>
        </w:rPr>
      </w:pPr>
    </w:p>
    <w:p w14:paraId="0F960761" w14:textId="77777777" w:rsidR="00E72711" w:rsidRPr="00973AEB" w:rsidRDefault="00E72711" w:rsidP="00E72711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b/>
          <w:sz w:val="28"/>
          <w:szCs w:val="28"/>
          <w:lang w:val="fr-BE"/>
        </w:rPr>
      </w:pPr>
      <w:r w:rsidRPr="00973AEB">
        <w:rPr>
          <w:rFonts w:ascii="Arial" w:hAnsi="Arial" w:cs="Arial"/>
          <w:b/>
          <w:sz w:val="28"/>
          <w:szCs w:val="28"/>
          <w:lang w:val="fr-BE"/>
        </w:rPr>
        <w:t>Adultes</w:t>
      </w:r>
    </w:p>
    <w:p w14:paraId="09A5BBBB" w14:textId="77777777" w:rsidR="00E72711" w:rsidRPr="00973AEB" w:rsidRDefault="00E72711" w:rsidP="00E72711">
      <w:pPr>
        <w:ind w:left="720"/>
        <w:rPr>
          <w:rFonts w:cstheme="minorHAnsi"/>
          <w:b/>
          <w:sz w:val="28"/>
          <w:szCs w:val="28"/>
          <w:lang w:val="fr-BE"/>
        </w:rPr>
      </w:pPr>
      <w:r w:rsidRPr="00973AEB">
        <w:rPr>
          <w:rFonts w:cstheme="minorHAnsi"/>
          <w:b/>
          <w:sz w:val="28"/>
          <w:szCs w:val="28"/>
          <w:lang w:val="fr-BE"/>
        </w:rPr>
        <w:t xml:space="preserve">Type tumeur:  </w:t>
      </w:r>
    </w:p>
    <w:p w14:paraId="361F9DD8" w14:textId="77777777" w:rsidR="00E72711" w:rsidRPr="00973AEB" w:rsidRDefault="00E72711" w:rsidP="00E7271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Mélanome oculaire, pour lequel un traitement par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brachythérapie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n’est pas possible</w:t>
      </w:r>
    </w:p>
    <w:p w14:paraId="75F7480C" w14:textId="77777777" w:rsidR="00E72711" w:rsidRPr="00973AEB" w:rsidRDefault="00E72711" w:rsidP="00E7271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  <w:lang w:val="fr-BE"/>
        </w:rPr>
      </w:pP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Chordome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de la base du crâne,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paraspinal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ou sacral</w:t>
      </w:r>
    </w:p>
    <w:p w14:paraId="2A93F9BC" w14:textId="77777777" w:rsidR="00E72711" w:rsidRPr="00973AEB" w:rsidRDefault="00E72711" w:rsidP="00E7271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Chondrosarcome/sarcome de la base du crâne,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paraspinal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ou sacral </w:t>
      </w:r>
    </w:p>
    <w:p w14:paraId="09E06111" w14:textId="77777777" w:rsidR="00E72711" w:rsidRPr="00973AEB" w:rsidRDefault="00E72711" w:rsidP="00E7271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Méningiome, pour lequel aucun autre traitement médical (chirurgie, chimiothérapie,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photonthérapie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>, …) n’est possible</w:t>
      </w:r>
    </w:p>
    <w:p w14:paraId="7FF86C63" w14:textId="77777777" w:rsidR="00E72711" w:rsidRPr="00973AEB" w:rsidRDefault="00E72711" w:rsidP="00E7271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Malformations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artério-veineuses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(MAV), intracérébral, pour lesquelles aucun traitement chirurgical, embolisation ou radiothérapie aux photons (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stéréotactique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>) n’est possible ou que cela a déjà été pratiqué sans succès.</w:t>
      </w:r>
    </w:p>
    <w:p w14:paraId="78632067" w14:textId="77777777" w:rsidR="00E72711" w:rsidRPr="00973AEB" w:rsidRDefault="00E72711" w:rsidP="00E72711">
      <w:pPr>
        <w:pStyle w:val="ListParagraph"/>
        <w:numPr>
          <w:ilvl w:val="0"/>
          <w:numId w:val="3"/>
        </w:numPr>
        <w:spacing w:after="20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Médulloblastome</w:t>
      </w:r>
    </w:p>
    <w:p w14:paraId="0DDEF4CD" w14:textId="77777777" w:rsidR="00E72711" w:rsidRPr="00973AEB" w:rsidRDefault="00E72711" w:rsidP="00E72711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bCs/>
          <w:sz w:val="24"/>
          <w:szCs w:val="24"/>
          <w:lang w:val="fr"/>
        </w:rPr>
        <w:t xml:space="preserve">Tumeurs primaires du système nerveux central nécessitant une irradiation </w:t>
      </w:r>
      <w:proofErr w:type="spellStart"/>
      <w:r w:rsidRPr="00973AEB">
        <w:rPr>
          <w:rFonts w:ascii="Arial" w:hAnsi="Arial" w:cs="Arial"/>
          <w:bCs/>
          <w:sz w:val="24"/>
          <w:szCs w:val="24"/>
          <w:lang w:val="fr"/>
        </w:rPr>
        <w:t>craniospinale</w:t>
      </w:r>
      <w:proofErr w:type="spellEnd"/>
      <w:r w:rsidRPr="00973AEB">
        <w:rPr>
          <w:rFonts w:ascii="Arial" w:hAnsi="Arial" w:cs="Arial"/>
          <w:bCs/>
          <w:sz w:val="24"/>
          <w:szCs w:val="24"/>
          <w:lang w:val="fr"/>
        </w:rPr>
        <w:t>, dans un but curatif </w:t>
      </w:r>
    </w:p>
    <w:p w14:paraId="3D6206CF" w14:textId="77777777" w:rsidR="00E72711" w:rsidRPr="00973AEB" w:rsidRDefault="00E72711" w:rsidP="00E72711">
      <w:pPr>
        <w:ind w:firstLine="709"/>
        <w:jc w:val="both"/>
        <w:rPr>
          <w:rFonts w:ascii="Arial" w:hAnsi="Arial" w:cs="Arial"/>
          <w:b/>
          <w:sz w:val="24"/>
          <w:szCs w:val="24"/>
          <w:lang w:val="fr-BE"/>
        </w:rPr>
      </w:pPr>
    </w:p>
    <w:p w14:paraId="74ABFEB9" w14:textId="77777777" w:rsidR="00E72711" w:rsidRPr="00973AEB" w:rsidRDefault="00E72711" w:rsidP="00E72711">
      <w:pPr>
        <w:ind w:firstLine="709"/>
        <w:jc w:val="both"/>
        <w:rPr>
          <w:rFonts w:ascii="Arial" w:hAnsi="Arial" w:cs="Arial"/>
          <w:b/>
          <w:sz w:val="24"/>
          <w:szCs w:val="24"/>
          <w:lang w:val="fr-BE"/>
        </w:rPr>
      </w:pPr>
      <w:r w:rsidRPr="00973AEB">
        <w:rPr>
          <w:rFonts w:ascii="Arial" w:hAnsi="Arial" w:cs="Arial"/>
          <w:b/>
          <w:sz w:val="24"/>
          <w:szCs w:val="24"/>
          <w:lang w:val="fr-BE"/>
        </w:rPr>
        <w:t xml:space="preserve">Conditions complémentaires: </w:t>
      </w:r>
    </w:p>
    <w:p w14:paraId="05580303" w14:textId="77777777" w:rsidR="00E72711" w:rsidRPr="00973AEB" w:rsidRDefault="00E72711" w:rsidP="00E727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Selon le rapport COM la radiothérapie est indiquée, en outre la radiothérapie avec les protons est le traitement radiothérapeutique le plus approprié.</w:t>
      </w:r>
    </w:p>
    <w:p w14:paraId="1C782AB0" w14:textId="04F641C4" w:rsidR="00E72711" w:rsidRPr="00973AEB" w:rsidRDefault="00E72711" w:rsidP="00E727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Pour le mélanome oculaire, l’avis d'un centre spécialisé (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KULeuven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, UCL) est en outre exigé dans lequel il est confirmé qu'aucun traitement par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brachythérapie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n’est possible.</w:t>
      </w:r>
    </w:p>
    <w:p w14:paraId="490A55F0" w14:textId="77777777" w:rsidR="00E72711" w:rsidRPr="00973AEB" w:rsidRDefault="00E72711" w:rsidP="00E727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But curatif (pas de traitement palliatif).</w:t>
      </w:r>
    </w:p>
    <w:p w14:paraId="2C8FB447" w14:textId="77777777" w:rsidR="00E72711" w:rsidRPr="00973AEB" w:rsidRDefault="00E72711" w:rsidP="00E727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S'il ne s'agit pas du premier traitement de radiothérapie de l'affection visée, une motivation détaillée de la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réirradiation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est requise dans le dossier de demande. La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réirradation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concerne au moins en partie le même champ d’irradiation et a une intention curative.</w:t>
      </w:r>
    </w:p>
    <w:p w14:paraId="2003C456" w14:textId="77777777" w:rsidR="00E72711" w:rsidRPr="00973AEB" w:rsidRDefault="00E72711" w:rsidP="00E727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Des tumeurs bénignes du système nerveux central qui – en raison de leur localisation - ne peuvent pas être traitées d'une autre façon, sont retenues comme indication à condition que l'on dispose d'un avis multidisciplinaire (au moins un neurochirurgien et un radiothérapeute y ont participé) par lequel la protonthérapie s’avère être l'unique traitement possible (MAV, méningiome).</w:t>
      </w:r>
    </w:p>
    <w:p w14:paraId="4B8FE817" w14:textId="77777777" w:rsidR="00E72711" w:rsidRPr="00973AEB" w:rsidRDefault="00E72711" w:rsidP="00E72711">
      <w:pPr>
        <w:ind w:firstLine="708"/>
        <w:jc w:val="both"/>
        <w:rPr>
          <w:rFonts w:ascii="Arial" w:hAnsi="Arial" w:cs="Arial"/>
          <w:sz w:val="24"/>
          <w:szCs w:val="24"/>
          <w:lang w:val="fr-BE"/>
        </w:rPr>
      </w:pPr>
    </w:p>
    <w:p w14:paraId="6AC793D1" w14:textId="77777777" w:rsidR="00E72711" w:rsidRPr="00973AEB" w:rsidRDefault="00E72711" w:rsidP="00E72711">
      <w:pPr>
        <w:rPr>
          <w:rFonts w:ascii="Arial" w:hAnsi="Arial" w:cs="Arial"/>
          <w:b/>
          <w:sz w:val="28"/>
          <w:szCs w:val="28"/>
          <w:lang w:val="fr-BE"/>
        </w:rPr>
      </w:pPr>
      <w:r w:rsidRPr="00973AEB">
        <w:rPr>
          <w:rFonts w:ascii="Arial" w:hAnsi="Arial" w:cs="Arial"/>
          <w:b/>
          <w:sz w:val="28"/>
          <w:szCs w:val="28"/>
          <w:lang w:val="fr-BE"/>
        </w:rPr>
        <w:br w:type="page"/>
      </w:r>
    </w:p>
    <w:p w14:paraId="057EB47D" w14:textId="77777777" w:rsidR="00E72711" w:rsidRPr="00973AEB" w:rsidRDefault="00E72711" w:rsidP="00E72711">
      <w:pPr>
        <w:rPr>
          <w:rFonts w:ascii="Arial" w:hAnsi="Arial" w:cs="Arial"/>
          <w:b/>
          <w:sz w:val="28"/>
          <w:szCs w:val="28"/>
          <w:lang w:val="fr-BE"/>
        </w:rPr>
      </w:pPr>
    </w:p>
    <w:p w14:paraId="68DEC0C0" w14:textId="77777777" w:rsidR="00E72711" w:rsidRPr="00973AEB" w:rsidRDefault="00E72711" w:rsidP="00E7271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8"/>
          <w:szCs w:val="28"/>
          <w:lang w:val="fr-BE"/>
        </w:rPr>
      </w:pPr>
      <w:r w:rsidRPr="00973AEB">
        <w:rPr>
          <w:rFonts w:ascii="Arial" w:hAnsi="Arial" w:cs="Arial"/>
          <w:b/>
          <w:sz w:val="28"/>
          <w:szCs w:val="28"/>
          <w:u w:val="single"/>
          <w:lang w:val="fr-BE"/>
        </w:rPr>
        <w:t>Indications pour traitement par ions carbone</w:t>
      </w:r>
      <w:r w:rsidRPr="00973AEB">
        <w:rPr>
          <w:rFonts w:ascii="Arial" w:hAnsi="Arial" w:cs="Arial"/>
          <w:b/>
          <w:sz w:val="28"/>
          <w:szCs w:val="28"/>
          <w:lang w:val="fr-BE"/>
        </w:rPr>
        <w:t xml:space="preserve"> : </w:t>
      </w:r>
    </w:p>
    <w:p w14:paraId="44957F6F" w14:textId="77777777" w:rsidR="00E72711" w:rsidRPr="00973AEB" w:rsidRDefault="00E72711" w:rsidP="00E72711">
      <w:pPr>
        <w:pStyle w:val="ListParagraph"/>
        <w:rPr>
          <w:rFonts w:cstheme="minorHAnsi"/>
          <w:b/>
          <w:sz w:val="28"/>
          <w:szCs w:val="28"/>
          <w:lang w:val="fr-BE"/>
        </w:rPr>
      </w:pPr>
    </w:p>
    <w:p w14:paraId="36469E91" w14:textId="77777777" w:rsidR="00E72711" w:rsidRPr="00973AEB" w:rsidRDefault="00E72711" w:rsidP="00E72711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b/>
          <w:sz w:val="28"/>
          <w:szCs w:val="28"/>
          <w:lang w:val="fr-BE"/>
        </w:rPr>
      </w:pPr>
      <w:r w:rsidRPr="00973AEB">
        <w:rPr>
          <w:rFonts w:ascii="Arial" w:hAnsi="Arial" w:cs="Arial"/>
          <w:b/>
          <w:sz w:val="28"/>
          <w:szCs w:val="28"/>
          <w:lang w:val="fr-BE"/>
        </w:rPr>
        <w:t xml:space="preserve">Enfants (&lt; 20 ans) </w:t>
      </w:r>
    </w:p>
    <w:p w14:paraId="4E3DE0F7" w14:textId="77777777" w:rsidR="00E72711" w:rsidRPr="00973AEB" w:rsidRDefault="00E72711" w:rsidP="00E72711">
      <w:pPr>
        <w:pStyle w:val="ListParagraph"/>
        <w:ind w:left="1440"/>
        <w:rPr>
          <w:rFonts w:cstheme="minorHAnsi"/>
          <w:sz w:val="28"/>
          <w:szCs w:val="28"/>
          <w:lang w:val="fr-BE"/>
        </w:rPr>
      </w:pPr>
    </w:p>
    <w:p w14:paraId="36EC37BA" w14:textId="77777777" w:rsidR="00E72711" w:rsidRPr="00973AEB" w:rsidRDefault="00E72711" w:rsidP="00E72711">
      <w:pPr>
        <w:pStyle w:val="ListParagraph"/>
        <w:numPr>
          <w:ilvl w:val="0"/>
          <w:numId w:val="8"/>
        </w:numPr>
        <w:spacing w:after="200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bCs/>
          <w:sz w:val="24"/>
          <w:szCs w:val="24"/>
          <w:lang w:val="fr"/>
        </w:rPr>
        <w:t>Ostéosarcome (non résécable, non métastasé)</w:t>
      </w:r>
    </w:p>
    <w:p w14:paraId="1F22A5CD" w14:textId="77777777" w:rsidR="00E72711" w:rsidRPr="00973AEB" w:rsidRDefault="00E72711" w:rsidP="00E72711">
      <w:pPr>
        <w:pStyle w:val="ListParagraph"/>
        <w:ind w:left="1440"/>
        <w:rPr>
          <w:rFonts w:ascii="Arial" w:hAnsi="Arial" w:cs="Arial"/>
          <w:sz w:val="24"/>
          <w:szCs w:val="24"/>
          <w:lang w:val="fr-BE"/>
        </w:rPr>
      </w:pPr>
    </w:p>
    <w:p w14:paraId="0F3F6B0A" w14:textId="77777777" w:rsidR="00E72711" w:rsidRPr="00973AEB" w:rsidRDefault="00E72711" w:rsidP="00E72711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  <w:b/>
          <w:sz w:val="28"/>
          <w:szCs w:val="28"/>
          <w:lang w:val="fr-BE"/>
        </w:rPr>
      </w:pPr>
      <w:r w:rsidRPr="00973AEB">
        <w:rPr>
          <w:rFonts w:ascii="Arial" w:hAnsi="Arial" w:cs="Arial"/>
          <w:b/>
          <w:sz w:val="28"/>
          <w:szCs w:val="28"/>
          <w:lang w:val="fr-BE"/>
        </w:rPr>
        <w:t>Adultes</w:t>
      </w:r>
    </w:p>
    <w:p w14:paraId="0EFA0FA4" w14:textId="77777777" w:rsidR="00E72711" w:rsidRPr="00973AEB" w:rsidRDefault="00E72711" w:rsidP="00E72711">
      <w:pPr>
        <w:ind w:left="720"/>
        <w:rPr>
          <w:rFonts w:ascii="Arial" w:hAnsi="Arial" w:cs="Arial"/>
          <w:b/>
          <w:sz w:val="24"/>
          <w:szCs w:val="24"/>
          <w:lang w:val="fr-BE"/>
        </w:rPr>
      </w:pPr>
      <w:r w:rsidRPr="00973AEB">
        <w:rPr>
          <w:rFonts w:ascii="Arial" w:hAnsi="Arial" w:cs="Arial"/>
          <w:b/>
          <w:sz w:val="24"/>
          <w:szCs w:val="24"/>
          <w:lang w:val="fr-BE"/>
        </w:rPr>
        <w:t xml:space="preserve">Type tumeur: </w:t>
      </w:r>
    </w:p>
    <w:p w14:paraId="2A36B21D" w14:textId="77777777" w:rsidR="00E72711" w:rsidRPr="00973AEB" w:rsidRDefault="00E72711" w:rsidP="00E72711">
      <w:pPr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iCs/>
          <w:sz w:val="24"/>
          <w:szCs w:val="24"/>
          <w:lang w:val="fr-BE"/>
        </w:rPr>
        <w:t xml:space="preserve">1) “Mélanome malin </w:t>
      </w:r>
      <w:proofErr w:type="spellStart"/>
      <w:r w:rsidRPr="00973AEB">
        <w:rPr>
          <w:rFonts w:ascii="Arial" w:hAnsi="Arial" w:cs="Arial"/>
          <w:iCs/>
          <w:sz w:val="24"/>
          <w:szCs w:val="24"/>
          <w:lang w:val="fr-BE"/>
        </w:rPr>
        <w:t>mucosal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“</w:t>
      </w:r>
    </w:p>
    <w:p w14:paraId="0F5BCA78" w14:textId="77777777" w:rsidR="00E72711" w:rsidRPr="00973AEB" w:rsidRDefault="00E72711" w:rsidP="00E72711">
      <w:pPr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iCs/>
          <w:sz w:val="24"/>
          <w:szCs w:val="24"/>
          <w:lang w:val="fr-BE"/>
        </w:rPr>
        <w:t>2) “Carcinome adénoïde cystique”</w:t>
      </w:r>
      <w:r w:rsidRPr="00973AEB">
        <w:rPr>
          <w:rFonts w:ascii="Arial" w:hAnsi="Arial" w:cs="Arial"/>
          <w:sz w:val="24"/>
          <w:szCs w:val="24"/>
          <w:lang w:val="fr-BE"/>
        </w:rPr>
        <w:t>, non résécable ou insuffisamment réséqué</w:t>
      </w:r>
    </w:p>
    <w:p w14:paraId="4F731F75" w14:textId="77777777" w:rsidR="00E72711" w:rsidRPr="00973AEB" w:rsidRDefault="00E72711" w:rsidP="00E72711">
      <w:pPr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3) Carcinome de la glande salivaire (excepté le carcinome spinocellulaire), non résécable ou insuffisamment réséqué</w:t>
      </w:r>
    </w:p>
    <w:p w14:paraId="0E8A9862" w14:textId="77777777" w:rsidR="00E72711" w:rsidRPr="00973AEB" w:rsidRDefault="00E72711" w:rsidP="00E72711">
      <w:pPr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4)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Chordome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de la base du crâne,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paraspinal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ou sacral</w:t>
      </w:r>
    </w:p>
    <w:p w14:paraId="7604A903" w14:textId="77777777" w:rsidR="00E72711" w:rsidRPr="00973AEB" w:rsidRDefault="00E72711" w:rsidP="00E72711">
      <w:pPr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5) Chondrosarcome/sarcome de la base du crâne, </w:t>
      </w:r>
      <w:proofErr w:type="spellStart"/>
      <w:r w:rsidRPr="00973AEB">
        <w:rPr>
          <w:rFonts w:ascii="Arial" w:hAnsi="Arial" w:cs="Arial"/>
          <w:sz w:val="24"/>
          <w:szCs w:val="24"/>
          <w:lang w:val="fr-BE"/>
        </w:rPr>
        <w:t>paraspinal</w:t>
      </w:r>
      <w:proofErr w:type="spellEnd"/>
      <w:r w:rsidRPr="00973AEB">
        <w:rPr>
          <w:rFonts w:ascii="Arial" w:hAnsi="Arial" w:cs="Arial"/>
          <w:sz w:val="24"/>
          <w:szCs w:val="24"/>
          <w:lang w:val="fr-BE"/>
        </w:rPr>
        <w:t xml:space="preserve"> ou sacral</w:t>
      </w:r>
    </w:p>
    <w:p w14:paraId="2BD4C7E2" w14:textId="77777777" w:rsidR="00E72711" w:rsidRPr="00973AEB" w:rsidRDefault="00E72711" w:rsidP="00E72711">
      <w:pPr>
        <w:ind w:left="720"/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6) </w:t>
      </w:r>
      <w:r w:rsidRPr="00973AEB">
        <w:rPr>
          <w:rFonts w:ascii="Arial" w:hAnsi="Arial" w:cs="Arial"/>
          <w:bCs/>
          <w:sz w:val="24"/>
          <w:szCs w:val="24"/>
          <w:lang w:val="fr"/>
        </w:rPr>
        <w:t>Ostéosarcome (non résécable, non métastasé)</w:t>
      </w:r>
    </w:p>
    <w:p w14:paraId="1D05033E" w14:textId="77777777" w:rsidR="00E72711" w:rsidRPr="00973AEB" w:rsidRDefault="00E72711" w:rsidP="00E72711">
      <w:pPr>
        <w:rPr>
          <w:rFonts w:cstheme="minorHAnsi"/>
          <w:b/>
          <w:sz w:val="28"/>
          <w:szCs w:val="28"/>
          <w:lang w:val="fr-BE"/>
        </w:rPr>
      </w:pPr>
    </w:p>
    <w:p w14:paraId="645A28B4" w14:textId="77777777" w:rsidR="00E72711" w:rsidRPr="00973AEB" w:rsidRDefault="00E72711" w:rsidP="00E72711">
      <w:pPr>
        <w:ind w:firstLine="709"/>
        <w:rPr>
          <w:rFonts w:ascii="Arial" w:hAnsi="Arial" w:cs="Arial"/>
          <w:b/>
          <w:sz w:val="24"/>
          <w:szCs w:val="24"/>
          <w:lang w:val="fr-BE"/>
        </w:rPr>
      </w:pPr>
      <w:r w:rsidRPr="00973AEB">
        <w:rPr>
          <w:rFonts w:ascii="Arial" w:hAnsi="Arial" w:cs="Arial"/>
          <w:b/>
          <w:sz w:val="24"/>
          <w:szCs w:val="24"/>
          <w:lang w:val="fr-BE"/>
        </w:rPr>
        <w:t xml:space="preserve">Conditions complémentaires: </w:t>
      </w:r>
    </w:p>
    <w:p w14:paraId="71D870A8" w14:textId="77777777" w:rsidR="00E72711" w:rsidRPr="00973AEB" w:rsidRDefault="00E72711" w:rsidP="00E727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Selon le rapport COM la radiothérapie est indiquée, en outre la radiothérapie avec les ions carbone est le traitement radiothérapeutique le plus approprié.</w:t>
      </w:r>
    </w:p>
    <w:p w14:paraId="1766D31F" w14:textId="77777777" w:rsidR="00E72711" w:rsidRPr="00973AEB" w:rsidRDefault="00E72711" w:rsidP="00E727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But curatif (pas de traitement palliatif).</w:t>
      </w:r>
    </w:p>
    <w:p w14:paraId="5EBE09ED" w14:textId="77777777" w:rsidR="00E72711" w:rsidRPr="00973AEB" w:rsidRDefault="00E72711" w:rsidP="00E72711">
      <w:pPr>
        <w:rPr>
          <w:rFonts w:cstheme="minorHAnsi"/>
          <w:b/>
          <w:sz w:val="28"/>
          <w:szCs w:val="28"/>
          <w:lang w:val="fr-BE"/>
        </w:rPr>
      </w:pPr>
    </w:p>
    <w:p w14:paraId="3B8FB5BF" w14:textId="77777777" w:rsidR="00E72711" w:rsidRPr="00973AEB" w:rsidRDefault="00E72711" w:rsidP="00E72711">
      <w:pPr>
        <w:pStyle w:val="ListParagraph"/>
        <w:numPr>
          <w:ilvl w:val="0"/>
          <w:numId w:val="2"/>
        </w:numPr>
        <w:spacing w:after="200"/>
        <w:ind w:left="714" w:hanging="357"/>
        <w:jc w:val="both"/>
        <w:rPr>
          <w:rFonts w:ascii="Arial" w:hAnsi="Arial" w:cs="Arial"/>
          <w:b/>
          <w:sz w:val="28"/>
          <w:szCs w:val="28"/>
          <w:u w:val="single"/>
          <w:lang w:val="fr-BE"/>
        </w:rPr>
      </w:pPr>
      <w:r w:rsidRPr="00973AEB">
        <w:rPr>
          <w:rFonts w:ascii="Arial" w:hAnsi="Arial" w:cs="Arial"/>
          <w:b/>
          <w:sz w:val="28"/>
          <w:szCs w:val="28"/>
          <w:u w:val="single"/>
          <w:lang w:val="fr-BE"/>
        </w:rPr>
        <w:t xml:space="preserve">Critères généraux de sélection pour traitement par protons ou par ions carbone </w:t>
      </w:r>
    </w:p>
    <w:p w14:paraId="133C2267" w14:textId="77777777" w:rsidR="00E72711" w:rsidRPr="00973AEB" w:rsidRDefault="00E72711" w:rsidP="00E72711">
      <w:p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 xml:space="preserve">Critères généraux de sélection qui seront étudiés pour chaque patient pour lequel un dossier de demande pour hadronthérapie sera introduit : </w:t>
      </w:r>
    </w:p>
    <w:p w14:paraId="05007DDF" w14:textId="77777777" w:rsidR="00E72711" w:rsidRPr="00973AEB" w:rsidRDefault="00E72711" w:rsidP="00E727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bon état général (grade 0 ou 1 classification OMS – voir en annexe).</w:t>
      </w:r>
    </w:p>
    <w:p w14:paraId="7EE98D2E" w14:textId="77777777" w:rsidR="00E72711" w:rsidRPr="00973AEB" w:rsidRDefault="00E72711" w:rsidP="00E727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pas de comorbidité dont la survie au-delà de 5 ans parait invraisemblable.</w:t>
      </w:r>
    </w:p>
    <w:p w14:paraId="60DA0E40" w14:textId="77777777" w:rsidR="00E72711" w:rsidRPr="00973AEB" w:rsidRDefault="00E72711" w:rsidP="00E727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fr-BE"/>
        </w:rPr>
      </w:pPr>
      <w:r w:rsidRPr="00973AEB">
        <w:rPr>
          <w:rFonts w:ascii="Arial" w:hAnsi="Arial" w:cs="Arial"/>
          <w:sz w:val="24"/>
          <w:szCs w:val="24"/>
          <w:lang w:val="fr-BE"/>
        </w:rPr>
        <w:t>pas d’autres facteurs présents, tels que des traitements médicaux en cours, qui rendent trop difficile ou impossible le séjour nécessaire à l’étranger.</w:t>
      </w:r>
    </w:p>
    <w:p w14:paraId="2861A6DC" w14:textId="77777777" w:rsidR="00E72711" w:rsidRPr="00973AEB" w:rsidRDefault="00E72711" w:rsidP="00E72711">
      <w:pPr>
        <w:rPr>
          <w:rFonts w:cstheme="minorHAnsi"/>
          <w:sz w:val="28"/>
          <w:szCs w:val="28"/>
          <w:lang w:val="fr-BE"/>
        </w:rPr>
      </w:pPr>
      <w:r w:rsidRPr="00973AEB">
        <w:rPr>
          <w:rFonts w:cstheme="minorHAnsi"/>
          <w:sz w:val="28"/>
          <w:szCs w:val="28"/>
          <w:lang w:val="fr-BE"/>
        </w:rPr>
        <w:br w:type="page"/>
      </w:r>
    </w:p>
    <w:p w14:paraId="454B1831" w14:textId="77777777" w:rsidR="00E72711" w:rsidRPr="00973AEB" w:rsidRDefault="00E72711" w:rsidP="00E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  <w:lang w:val="fr-BE"/>
        </w:rPr>
      </w:pPr>
      <w:r w:rsidRPr="00973AEB">
        <w:rPr>
          <w:b/>
          <w:sz w:val="28"/>
          <w:szCs w:val="28"/>
          <w:lang w:val="fr-BE"/>
        </w:rPr>
        <w:lastRenderedPageBreak/>
        <w:t>Indications et critères supplémentaires pour hadronthérapie  :  annexe</w:t>
      </w:r>
    </w:p>
    <w:p w14:paraId="6CEBFA92" w14:textId="77777777" w:rsidR="00E72711" w:rsidRPr="00973AEB" w:rsidRDefault="00E72711" w:rsidP="00E7271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fr-BE"/>
        </w:rPr>
      </w:pPr>
    </w:p>
    <w:p w14:paraId="33F8AD06" w14:textId="77777777" w:rsidR="00E72711" w:rsidRPr="00973AEB" w:rsidRDefault="00E72711" w:rsidP="00E7271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973AEB">
        <w:rPr>
          <w:rFonts w:ascii="Arial" w:hAnsi="Arial" w:cs="Arial"/>
          <w:b/>
          <w:bCs/>
          <w:sz w:val="24"/>
          <w:szCs w:val="24"/>
          <w:u w:val="single"/>
          <w:lang w:val="en-GB"/>
        </w:rPr>
        <w:t>WHO / ECOG PERFORMANCE STATUS*</w:t>
      </w:r>
    </w:p>
    <w:p w14:paraId="66128DED" w14:textId="77777777" w:rsidR="00E72711" w:rsidRPr="00973AEB" w:rsidRDefault="00E72711" w:rsidP="00E7271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GB"/>
        </w:rPr>
      </w:pPr>
      <w:r w:rsidRPr="00973AEB">
        <w:rPr>
          <w:rFonts w:ascii="Arial" w:hAnsi="Arial" w:cs="Arial"/>
          <w:sz w:val="24"/>
          <w:szCs w:val="24"/>
          <w:lang w:val="en-GB"/>
        </w:rPr>
        <w:t>Grade</w:t>
      </w:r>
    </w:p>
    <w:p w14:paraId="70DBB9A0" w14:textId="77777777" w:rsidR="00E72711" w:rsidRPr="00973AEB" w:rsidRDefault="00E72711" w:rsidP="00E72711">
      <w:pPr>
        <w:autoSpaceDE w:val="0"/>
        <w:autoSpaceDN w:val="0"/>
        <w:adjustRightInd w:val="0"/>
        <w:ind w:left="1412" w:hanging="1412"/>
        <w:jc w:val="both"/>
        <w:rPr>
          <w:rFonts w:ascii="Arial" w:hAnsi="Arial" w:cs="Arial"/>
          <w:sz w:val="24"/>
          <w:szCs w:val="24"/>
          <w:lang w:val="en-GB"/>
        </w:rPr>
      </w:pPr>
      <w:r w:rsidRPr="00973AEB">
        <w:rPr>
          <w:rFonts w:ascii="Arial" w:hAnsi="Arial" w:cs="Arial"/>
          <w:sz w:val="24"/>
          <w:szCs w:val="24"/>
          <w:lang w:val="en-GB"/>
        </w:rPr>
        <w:t xml:space="preserve">0 </w:t>
      </w:r>
      <w:r w:rsidRPr="00973AEB">
        <w:rPr>
          <w:rFonts w:ascii="Arial" w:hAnsi="Arial" w:cs="Arial"/>
          <w:sz w:val="24"/>
          <w:szCs w:val="24"/>
          <w:lang w:val="en-GB"/>
        </w:rPr>
        <w:tab/>
      </w:r>
      <w:r w:rsidRPr="00973AEB">
        <w:rPr>
          <w:rFonts w:ascii="Arial" w:hAnsi="Arial" w:cs="Arial"/>
          <w:sz w:val="24"/>
          <w:szCs w:val="24"/>
          <w:lang w:val="en-GB"/>
        </w:rPr>
        <w:tab/>
        <w:t>Fully active, able to carry on all pre-disease performance without restriction</w:t>
      </w:r>
    </w:p>
    <w:p w14:paraId="386D2AFB" w14:textId="77777777" w:rsidR="00E72711" w:rsidRPr="00973AEB" w:rsidRDefault="00E72711" w:rsidP="00E72711">
      <w:pPr>
        <w:autoSpaceDE w:val="0"/>
        <w:autoSpaceDN w:val="0"/>
        <w:adjustRightInd w:val="0"/>
        <w:ind w:left="1412" w:hanging="1412"/>
        <w:jc w:val="both"/>
        <w:rPr>
          <w:rFonts w:ascii="Arial" w:hAnsi="Arial" w:cs="Arial"/>
          <w:sz w:val="24"/>
          <w:szCs w:val="24"/>
          <w:lang w:val="en-GB"/>
        </w:rPr>
      </w:pPr>
      <w:r w:rsidRPr="00973AEB">
        <w:rPr>
          <w:rFonts w:ascii="Arial" w:hAnsi="Arial" w:cs="Arial"/>
          <w:sz w:val="24"/>
          <w:szCs w:val="24"/>
          <w:lang w:val="en-GB"/>
        </w:rPr>
        <w:t xml:space="preserve">1 </w:t>
      </w:r>
      <w:r w:rsidRPr="00973AEB">
        <w:rPr>
          <w:rFonts w:ascii="Arial" w:hAnsi="Arial" w:cs="Arial"/>
          <w:sz w:val="24"/>
          <w:szCs w:val="24"/>
          <w:lang w:val="en-GB"/>
        </w:rPr>
        <w:tab/>
      </w:r>
      <w:r w:rsidRPr="00973AEB">
        <w:rPr>
          <w:rFonts w:ascii="Arial" w:hAnsi="Arial" w:cs="Arial"/>
          <w:sz w:val="24"/>
          <w:szCs w:val="24"/>
          <w:lang w:val="en-GB"/>
        </w:rPr>
        <w:tab/>
        <w:t>Restricted in physically strenuous activity but ambulatory and able to carry out work of a light or sedentary nature, e.g., light house work, office work</w:t>
      </w:r>
    </w:p>
    <w:p w14:paraId="4F16C2C3" w14:textId="77777777" w:rsidR="00E72711" w:rsidRPr="00973AEB" w:rsidRDefault="00E72711" w:rsidP="00E72711">
      <w:pPr>
        <w:autoSpaceDE w:val="0"/>
        <w:autoSpaceDN w:val="0"/>
        <w:adjustRightInd w:val="0"/>
        <w:ind w:left="1412" w:hanging="1412"/>
        <w:jc w:val="both"/>
        <w:rPr>
          <w:rFonts w:ascii="Arial" w:hAnsi="Arial" w:cs="Arial"/>
          <w:sz w:val="24"/>
          <w:szCs w:val="24"/>
          <w:lang w:val="en-GB"/>
        </w:rPr>
      </w:pPr>
      <w:r w:rsidRPr="00973AEB">
        <w:rPr>
          <w:rFonts w:ascii="Arial" w:hAnsi="Arial" w:cs="Arial"/>
          <w:sz w:val="24"/>
          <w:szCs w:val="24"/>
          <w:lang w:val="en-GB"/>
        </w:rPr>
        <w:t xml:space="preserve">2 </w:t>
      </w:r>
      <w:r w:rsidRPr="00973AEB">
        <w:rPr>
          <w:rFonts w:ascii="Arial" w:hAnsi="Arial" w:cs="Arial"/>
          <w:sz w:val="24"/>
          <w:szCs w:val="24"/>
          <w:lang w:val="en-GB"/>
        </w:rPr>
        <w:tab/>
      </w:r>
      <w:r w:rsidRPr="00973AEB">
        <w:rPr>
          <w:rFonts w:ascii="Arial" w:hAnsi="Arial" w:cs="Arial"/>
          <w:sz w:val="24"/>
          <w:szCs w:val="24"/>
          <w:lang w:val="en-GB"/>
        </w:rPr>
        <w:tab/>
        <w:t>Ambulatory and capable of all self-care but unable to carry out any work activities. Up and about more than 50% of waking hours</w:t>
      </w:r>
    </w:p>
    <w:p w14:paraId="373A9C0A" w14:textId="77777777" w:rsidR="00E72711" w:rsidRPr="00973AEB" w:rsidRDefault="00E72711" w:rsidP="00E72711">
      <w:pPr>
        <w:autoSpaceDE w:val="0"/>
        <w:autoSpaceDN w:val="0"/>
        <w:adjustRightInd w:val="0"/>
        <w:ind w:left="1412" w:hanging="1412"/>
        <w:jc w:val="both"/>
        <w:rPr>
          <w:rFonts w:ascii="Arial" w:hAnsi="Arial" w:cs="Arial"/>
          <w:sz w:val="24"/>
          <w:szCs w:val="24"/>
          <w:lang w:val="en-GB"/>
        </w:rPr>
      </w:pPr>
      <w:r w:rsidRPr="00973AEB">
        <w:rPr>
          <w:rFonts w:ascii="Arial" w:hAnsi="Arial" w:cs="Arial"/>
          <w:sz w:val="24"/>
          <w:szCs w:val="24"/>
          <w:lang w:val="en-GB"/>
        </w:rPr>
        <w:t xml:space="preserve">3 </w:t>
      </w:r>
      <w:r w:rsidRPr="00973AEB">
        <w:rPr>
          <w:rFonts w:ascii="Arial" w:hAnsi="Arial" w:cs="Arial"/>
          <w:sz w:val="24"/>
          <w:szCs w:val="24"/>
          <w:lang w:val="en-GB"/>
        </w:rPr>
        <w:tab/>
      </w:r>
      <w:r w:rsidRPr="00973AEB">
        <w:rPr>
          <w:rFonts w:ascii="Arial" w:hAnsi="Arial" w:cs="Arial"/>
          <w:sz w:val="24"/>
          <w:szCs w:val="24"/>
          <w:lang w:val="en-GB"/>
        </w:rPr>
        <w:tab/>
        <w:t>Capable of only limited self-care, confined to bed or chair more than 50% of waking hours</w:t>
      </w:r>
    </w:p>
    <w:p w14:paraId="5E81065F" w14:textId="77777777" w:rsidR="00E72711" w:rsidRPr="00973AEB" w:rsidRDefault="00E72711" w:rsidP="00E72711">
      <w:pPr>
        <w:autoSpaceDE w:val="0"/>
        <w:autoSpaceDN w:val="0"/>
        <w:adjustRightInd w:val="0"/>
        <w:ind w:left="1412" w:hanging="1412"/>
        <w:jc w:val="both"/>
        <w:rPr>
          <w:rFonts w:ascii="Arial" w:hAnsi="Arial" w:cs="Arial"/>
          <w:sz w:val="24"/>
          <w:szCs w:val="24"/>
          <w:lang w:val="en-GB"/>
        </w:rPr>
      </w:pPr>
      <w:r w:rsidRPr="00973AEB">
        <w:rPr>
          <w:rFonts w:ascii="Arial" w:hAnsi="Arial" w:cs="Arial"/>
          <w:sz w:val="24"/>
          <w:szCs w:val="24"/>
          <w:lang w:val="en-GB"/>
        </w:rPr>
        <w:t xml:space="preserve">4 </w:t>
      </w:r>
      <w:r w:rsidRPr="00973AEB">
        <w:rPr>
          <w:rFonts w:ascii="Arial" w:hAnsi="Arial" w:cs="Arial"/>
          <w:sz w:val="24"/>
          <w:szCs w:val="24"/>
          <w:lang w:val="en-GB"/>
        </w:rPr>
        <w:tab/>
      </w:r>
      <w:r w:rsidRPr="00973AEB">
        <w:rPr>
          <w:rFonts w:ascii="Arial" w:hAnsi="Arial" w:cs="Arial"/>
          <w:sz w:val="24"/>
          <w:szCs w:val="24"/>
          <w:lang w:val="en-GB"/>
        </w:rPr>
        <w:tab/>
        <w:t>Completely disabled. Cannot carry on any self-care. Totally confined to bed or chair</w:t>
      </w:r>
    </w:p>
    <w:p w14:paraId="16DE4314" w14:textId="77777777" w:rsidR="00E72711" w:rsidRPr="00973AEB" w:rsidRDefault="00E72711" w:rsidP="00E72711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7C02490" w14:textId="77777777" w:rsidR="00E72711" w:rsidRPr="00AB0696" w:rsidRDefault="00E72711" w:rsidP="00E7271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973AEB">
        <w:rPr>
          <w:rFonts w:ascii="Arial" w:hAnsi="Arial" w:cs="Arial"/>
          <w:lang w:val="en-GB"/>
        </w:rPr>
        <w:t>* as published in: “</w:t>
      </w:r>
      <w:proofErr w:type="spellStart"/>
      <w:r w:rsidRPr="00973AEB">
        <w:rPr>
          <w:rFonts w:ascii="Arial" w:hAnsi="Arial" w:cs="Arial"/>
          <w:i/>
          <w:iCs/>
          <w:lang w:val="en-GB"/>
        </w:rPr>
        <w:t>Oken</w:t>
      </w:r>
      <w:proofErr w:type="spellEnd"/>
      <w:r w:rsidRPr="00973AEB">
        <w:rPr>
          <w:rFonts w:ascii="Arial" w:hAnsi="Arial" w:cs="Arial"/>
          <w:i/>
          <w:iCs/>
          <w:lang w:val="en-GB"/>
        </w:rPr>
        <w:t xml:space="preserve">, M.M., Creech, R.H., </w:t>
      </w:r>
      <w:proofErr w:type="spellStart"/>
      <w:r w:rsidRPr="00973AEB">
        <w:rPr>
          <w:rFonts w:ascii="Arial" w:hAnsi="Arial" w:cs="Arial"/>
          <w:i/>
          <w:iCs/>
          <w:lang w:val="en-GB"/>
        </w:rPr>
        <w:t>Tormey</w:t>
      </w:r>
      <w:proofErr w:type="spellEnd"/>
      <w:r w:rsidRPr="00973AEB">
        <w:rPr>
          <w:rFonts w:ascii="Arial" w:hAnsi="Arial" w:cs="Arial"/>
          <w:i/>
          <w:iCs/>
          <w:lang w:val="en-GB"/>
        </w:rPr>
        <w:t xml:space="preserve">, D.C., Horton, J., Davis, T.E., McFadden, E.T., Carbone, P.P.: Toxicity And Response Criteria Of The Eastern Cooperative Oncology Group. </w:t>
      </w:r>
      <w:r w:rsidRPr="00973AEB">
        <w:rPr>
          <w:rFonts w:ascii="Arial" w:hAnsi="Arial" w:cs="Arial"/>
          <w:i/>
          <w:iCs/>
        </w:rPr>
        <w:t xml:space="preserve">Am J Clin </w:t>
      </w:r>
      <w:proofErr w:type="spellStart"/>
      <w:r w:rsidRPr="00973AEB">
        <w:rPr>
          <w:rFonts w:ascii="Arial" w:hAnsi="Arial" w:cs="Arial"/>
          <w:i/>
          <w:iCs/>
        </w:rPr>
        <w:t>Oncol</w:t>
      </w:r>
      <w:proofErr w:type="spellEnd"/>
      <w:r w:rsidRPr="00973AEB">
        <w:rPr>
          <w:rFonts w:ascii="Arial" w:hAnsi="Arial" w:cs="Arial"/>
          <w:i/>
          <w:iCs/>
        </w:rPr>
        <w:t xml:space="preserve"> 5:649-655, 1982.”</w:t>
      </w:r>
    </w:p>
    <w:p w14:paraId="5147A165" w14:textId="77777777" w:rsidR="00E72711" w:rsidRPr="00AB0696" w:rsidRDefault="00E72711" w:rsidP="00E7271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44078DE9" w14:textId="77777777" w:rsidR="00E72711" w:rsidRPr="00003DAF" w:rsidRDefault="00E72711" w:rsidP="00E72711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fr-BE"/>
        </w:rPr>
      </w:pPr>
    </w:p>
    <w:p w14:paraId="381D53C8" w14:textId="77777777" w:rsidR="0034646D" w:rsidRDefault="0034646D"/>
    <w:sectPr w:rsidR="0034646D" w:rsidSect="00C5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6A09"/>
    <w:multiLevelType w:val="hybridMultilevel"/>
    <w:tmpl w:val="809413DA"/>
    <w:lvl w:ilvl="0" w:tplc="40AA4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C628D"/>
    <w:multiLevelType w:val="hybridMultilevel"/>
    <w:tmpl w:val="FFA051B8"/>
    <w:lvl w:ilvl="0" w:tplc="34E45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B23E96"/>
    <w:multiLevelType w:val="hybridMultilevel"/>
    <w:tmpl w:val="9FA4C66A"/>
    <w:lvl w:ilvl="0" w:tplc="34E4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6455"/>
    <w:multiLevelType w:val="hybridMultilevel"/>
    <w:tmpl w:val="EA845732"/>
    <w:lvl w:ilvl="0" w:tplc="34E45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7B5D10"/>
    <w:multiLevelType w:val="hybridMultilevel"/>
    <w:tmpl w:val="13642618"/>
    <w:lvl w:ilvl="0" w:tplc="91A054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E77B53"/>
    <w:multiLevelType w:val="multilevel"/>
    <w:tmpl w:val="12AC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B694F6D"/>
    <w:multiLevelType w:val="hybridMultilevel"/>
    <w:tmpl w:val="DFAEA35C"/>
    <w:lvl w:ilvl="0" w:tplc="9C48FB9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1813F3"/>
    <w:multiLevelType w:val="hybridMultilevel"/>
    <w:tmpl w:val="E2DCA6A6"/>
    <w:lvl w:ilvl="0" w:tplc="34E45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11"/>
    <w:rsid w:val="001B5AA6"/>
    <w:rsid w:val="0034646D"/>
    <w:rsid w:val="0035551D"/>
    <w:rsid w:val="00474172"/>
    <w:rsid w:val="00973AEB"/>
    <w:rsid w:val="00B30FA9"/>
    <w:rsid w:val="00E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1BF1"/>
  <w15:chartTrackingRefBased/>
  <w15:docId w15:val="{F20ACB8A-5A1B-4771-A8A8-E34D449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11"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2022-09-05T22:00:00+00:00</RIDocInitialCreationDate>
    <RIThemeTaxHTField0 xmlns="f15eea43-7fa7-45cf-8dc0-d5244e2cd467">
      <Terms xmlns="http://schemas.microsoft.com/office/infopath/2007/PartnerControls"/>
    </RIThemeTaxHTField0>
    <PublishingStart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/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RITargetGroupTaxHTField0 xmlns="f15eea43-7fa7-45cf-8dc0-d5244e2cd467">
      <Terms xmlns="http://schemas.microsoft.com/office/infopath/2007/PartnerControls"/>
    </RITargetGroupTaxHTField0>
  </documentManagement>
</p:properties>
</file>

<file path=customXml/itemProps1.xml><?xml version="1.0" encoding="utf-8"?>
<ds:datastoreItem xmlns:ds="http://schemas.openxmlformats.org/officeDocument/2006/customXml" ds:itemID="{FB4B5A30-CD79-4AC2-96D8-3DBB2AFFE95D}"/>
</file>

<file path=customXml/itemProps2.xml><?xml version="1.0" encoding="utf-8"?>
<ds:datastoreItem xmlns:ds="http://schemas.openxmlformats.org/officeDocument/2006/customXml" ds:itemID="{F1F649DD-9F10-4CFB-926E-BA800600DAB3}"/>
</file>

<file path=customXml/itemProps3.xml><?xml version="1.0" encoding="utf-8"?>
<ds:datastoreItem xmlns:ds="http://schemas.openxmlformats.org/officeDocument/2006/customXml" ds:itemID="{1938268C-A0D1-49E8-AC6C-AF9F64619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4725</Characters>
  <Application>Microsoft Office Word</Application>
  <DocSecurity>0</DocSecurity>
  <Lines>39</Lines>
  <Paragraphs>11</Paragraphs>
  <ScaleCrop>false</ScaleCrop>
  <Company>RIZIV-INAMI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Soweid (RIZIV-INAMI)</dc:creator>
  <cp:keywords/>
  <dc:description/>
  <cp:lastModifiedBy>Bruno De Bolle (RIZIV-INAMI)</cp:lastModifiedBy>
  <cp:revision>2</cp:revision>
  <dcterms:created xsi:type="dcterms:W3CDTF">2022-09-06T08:34:00Z</dcterms:created>
  <dcterms:modified xsi:type="dcterms:W3CDTF">2022-09-06T08:34:00Z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1467000</vt:r8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