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r>
    </w:tbl>
    <w:tbl>
      <w:tblPr>
        <w:tblStyle w:val="TableNormal"/>
        <w:tblW w:w="10206" w:type="dxa"/>
        <w:jc w:val="center"/>
        <w:tblLook w:val="01E0"/>
      </w:tblPr>
      <w:tblGrid>
        <w:gridCol w:w="5103"/>
        <w:gridCol w:w="5103"/>
      </w:tblGrid>
      <w:tr w:rsidTr="00D755DF">
        <w:tblPrEx>
          <w:tblW w:w="10206" w:type="dxa"/>
          <w:jc w:val="center"/>
          <w:tblLook w:val="01E0"/>
        </w:tblPrEx>
        <w:trPr>
          <w:jc w:val="center"/>
        </w:trPr>
        <w:tc>
          <w:tcPr>
            <w:tcW w:w="5103" w:type="dxa"/>
          </w:tcPr>
          <w:p w:rsidR="00F75464" w:rsidRPr="003C22CB" w:rsidP="00D755DF">
            <w:pPr>
              <w:jc w:val="center"/>
              <w:rPr>
                <w:rFonts w:cs="Arial"/>
                <w:b/>
                <w:sz w:val="20"/>
                <w:lang w:val="nl-BE"/>
              </w:rPr>
            </w:pPr>
            <w:r w:rsidRPr="003C22CB">
              <w:rPr>
                <w:rFonts w:cs="Arial"/>
                <w:b/>
                <w:bCs/>
                <w:color w:val="000000"/>
                <w:sz w:val="20"/>
              </w:rPr>
              <w:t>HOOFDSTUK II</w:t>
            </w:r>
          </w:p>
        </w:tc>
        <w:tc>
          <w:tcPr>
            <w:tcW w:w="5103" w:type="dxa"/>
          </w:tcPr>
          <w:p w:rsidR="00F75464" w:rsidRPr="003C22CB" w:rsidP="00D755DF">
            <w:pPr>
              <w:jc w:val="center"/>
              <w:rPr>
                <w:rFonts w:cs="Arial"/>
                <w:b/>
                <w:sz w:val="20"/>
                <w:lang w:val="nl-BE"/>
              </w:rPr>
            </w:pPr>
            <w:r w:rsidRPr="003C22CB">
              <w:rPr>
                <w:rFonts w:cs="Arial"/>
                <w:b/>
                <w:bCs/>
                <w:color w:val="000000"/>
                <w:sz w:val="20"/>
              </w:rPr>
              <w:t>CHAPITRE II</w:t>
            </w:r>
          </w:p>
        </w:tc>
      </w:tr>
      <w:tr w:rsidTr="00D755DF">
        <w:tblPrEx>
          <w:tblW w:w="10206" w:type="dxa"/>
          <w:jc w:val="center"/>
          <w:tblLook w:val="01E0"/>
        </w:tblPrEx>
        <w:trPr>
          <w:jc w:val="center"/>
        </w:trPr>
        <w:tc>
          <w:tcPr>
            <w:tcW w:w="5103" w:type="dxa"/>
          </w:tcPr>
          <w:p w:rsidR="00F75464" w:rsidRPr="003C22CB" w:rsidP="00D755DF">
            <w:pPr>
              <w:jc w:val="center"/>
              <w:rPr>
                <w:rFonts w:cs="Arial"/>
                <w:sz w:val="20"/>
                <w:lang w:val="nl-BE"/>
              </w:rPr>
            </w:pPr>
          </w:p>
        </w:tc>
        <w:tc>
          <w:tcPr>
            <w:tcW w:w="5103" w:type="dxa"/>
          </w:tcPr>
          <w:p w:rsidR="00F75464" w:rsidRPr="003C22CB" w:rsidP="00D755DF">
            <w:pPr>
              <w:jc w:val="center"/>
              <w:rPr>
                <w:rFonts w:cs="Arial"/>
                <w:sz w:val="20"/>
                <w:lang w:val="nl-BE"/>
              </w:rPr>
            </w:pPr>
          </w:p>
        </w:tc>
      </w:tr>
      <w:tr w:rsidTr="00D755DF">
        <w:tblPrEx>
          <w:tblW w:w="10206" w:type="dxa"/>
          <w:jc w:val="center"/>
          <w:tblLook w:val="01E0"/>
        </w:tblPrEx>
        <w:trPr>
          <w:jc w:val="center"/>
        </w:trPr>
        <w:tc>
          <w:tcPr>
            <w:tcW w:w="5103" w:type="dxa"/>
          </w:tcPr>
          <w:p w:rsidR="00F75464" w:rsidRPr="003C22CB" w:rsidP="00D755DF">
            <w:pPr>
              <w:jc w:val="center"/>
              <w:rPr>
                <w:rFonts w:cs="Arial"/>
                <w:color w:val="000000"/>
                <w:sz w:val="20"/>
                <w:lang w:val="nl-BE"/>
              </w:rPr>
            </w:pPr>
            <w:r w:rsidRPr="003C22CB">
              <w:rPr>
                <w:rFonts w:cs="Arial"/>
                <w:color w:val="000000"/>
                <w:sz w:val="20"/>
                <w:lang w:val="nl-BE"/>
              </w:rPr>
              <w:t xml:space="preserve">Vergoedingsvoorwaarden voor de </w:t>
            </w:r>
          </w:p>
          <w:p w:rsidR="00F75464" w:rsidRPr="003C22CB" w:rsidP="00D755DF">
            <w:pPr>
              <w:jc w:val="center"/>
              <w:rPr>
                <w:rFonts w:cs="Arial"/>
                <w:color w:val="000000"/>
                <w:sz w:val="20"/>
                <w:lang w:val="nl-BE"/>
              </w:rPr>
            </w:pPr>
            <w:r w:rsidRPr="003C22CB">
              <w:rPr>
                <w:rFonts w:cs="Arial"/>
                <w:color w:val="000000"/>
                <w:sz w:val="20"/>
                <w:lang w:val="nl-BE"/>
              </w:rPr>
              <w:t xml:space="preserve">vergoedbare specialiteiten </w:t>
            </w:r>
          </w:p>
          <w:p w:rsidR="00F75464" w:rsidRPr="003C22CB" w:rsidP="00D755DF">
            <w:pPr>
              <w:jc w:val="center"/>
              <w:rPr>
                <w:rFonts w:cs="Arial"/>
                <w:color w:val="000000"/>
                <w:sz w:val="20"/>
                <w:lang w:val="nl-BE"/>
              </w:rPr>
            </w:pPr>
            <w:r w:rsidRPr="003C22CB">
              <w:rPr>
                <w:rFonts w:cs="Arial"/>
                <w:color w:val="000000"/>
                <w:sz w:val="20"/>
                <w:lang w:val="nl-BE"/>
              </w:rPr>
              <w:t xml:space="preserve">zonder voorafgaande machtiging van de </w:t>
            </w:r>
            <w:r w:rsidRPr="003C22CB">
              <w:rPr>
                <w:rFonts w:cs="Arial"/>
                <w:color w:val="000000"/>
                <w:sz w:val="20"/>
                <w:lang w:val="nl-BE"/>
              </w:rPr>
              <w:br/>
              <w:t xml:space="preserve">adviserend geneesheer, </w:t>
            </w:r>
          </w:p>
          <w:p w:rsidR="00F75464" w:rsidRPr="003C22CB" w:rsidP="00D755DF">
            <w:pPr>
              <w:jc w:val="center"/>
              <w:rPr>
                <w:rFonts w:cs="Arial"/>
                <w:sz w:val="20"/>
                <w:lang w:val="nl-BE"/>
              </w:rPr>
            </w:pPr>
            <w:r w:rsidRPr="003C22CB">
              <w:rPr>
                <w:rFonts w:cs="Arial"/>
                <w:color w:val="000000"/>
                <w:sz w:val="20"/>
                <w:lang w:val="nl-BE"/>
              </w:rPr>
              <w:t>met een controle achteraf</w:t>
            </w:r>
          </w:p>
        </w:tc>
        <w:tc>
          <w:tcPr>
            <w:tcW w:w="5103" w:type="dxa"/>
          </w:tcPr>
          <w:p w:rsidR="00F75464" w:rsidRPr="003C22CB" w:rsidP="00D755DF">
            <w:pPr>
              <w:jc w:val="center"/>
              <w:rPr>
                <w:rFonts w:cs="Arial"/>
                <w:color w:val="000000"/>
                <w:sz w:val="20"/>
                <w:lang w:val="fr-FR"/>
              </w:rPr>
            </w:pPr>
            <w:r w:rsidRPr="003C22CB">
              <w:rPr>
                <w:rFonts w:cs="Arial"/>
                <w:color w:val="000000"/>
                <w:sz w:val="20"/>
                <w:lang w:val="fr-FR"/>
              </w:rPr>
              <w:t xml:space="preserve">Conditions de remboursement des </w:t>
            </w:r>
          </w:p>
          <w:p w:rsidR="00F75464" w:rsidRPr="003C22CB" w:rsidP="00D755DF">
            <w:pPr>
              <w:jc w:val="center"/>
              <w:rPr>
                <w:rFonts w:cs="Arial"/>
                <w:color w:val="000000"/>
                <w:sz w:val="20"/>
                <w:lang w:val="fr-FR"/>
              </w:rPr>
            </w:pPr>
            <w:r w:rsidRPr="003C22CB">
              <w:rPr>
                <w:rFonts w:cs="Arial"/>
                <w:color w:val="000000"/>
                <w:sz w:val="20"/>
                <w:lang w:val="fr-FR"/>
              </w:rPr>
              <w:t xml:space="preserve">spécialités remboursables </w:t>
            </w:r>
          </w:p>
          <w:p w:rsidR="00F75464" w:rsidRPr="003C22CB" w:rsidP="00D755DF">
            <w:pPr>
              <w:jc w:val="center"/>
              <w:rPr>
                <w:rFonts w:cs="Arial"/>
                <w:color w:val="000000"/>
                <w:sz w:val="20"/>
                <w:lang w:val="fr-FR"/>
              </w:rPr>
            </w:pPr>
            <w:r w:rsidRPr="003C22CB">
              <w:rPr>
                <w:rFonts w:cs="Arial"/>
                <w:color w:val="000000"/>
                <w:sz w:val="20"/>
                <w:lang w:val="fr-FR"/>
              </w:rPr>
              <w:t xml:space="preserve">sans autorisation préalable </w:t>
            </w:r>
          </w:p>
          <w:p w:rsidR="00F75464" w:rsidRPr="003C22CB" w:rsidP="00D755DF">
            <w:pPr>
              <w:jc w:val="center"/>
              <w:rPr>
                <w:rFonts w:cs="Arial"/>
                <w:color w:val="000000"/>
                <w:sz w:val="20"/>
                <w:lang w:val="fr-FR"/>
              </w:rPr>
            </w:pPr>
            <w:r w:rsidRPr="003C22CB">
              <w:rPr>
                <w:rFonts w:cs="Arial"/>
                <w:color w:val="000000"/>
                <w:sz w:val="20"/>
                <w:lang w:val="fr-FR"/>
              </w:rPr>
              <w:t xml:space="preserve">du médecin-conseil, </w:t>
            </w:r>
          </w:p>
          <w:p w:rsidR="00F75464" w:rsidRPr="003C22CB" w:rsidP="00D755DF">
            <w:pPr>
              <w:jc w:val="center"/>
              <w:rPr>
                <w:rFonts w:cs="Arial"/>
                <w:sz w:val="20"/>
                <w:lang w:val="fr-FR"/>
              </w:rPr>
            </w:pPr>
            <w:r w:rsidRPr="003C22CB">
              <w:rPr>
                <w:rFonts w:cs="Arial"/>
                <w:color w:val="000000"/>
                <w:sz w:val="20"/>
                <w:lang w:val="fr-FR"/>
              </w:rPr>
              <w:t>avec un contrôle a posteriori</w:t>
            </w: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Toepassingsmodaliteiten</w:t>
            </w:r>
          </w:p>
        </w:tc>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Modalités</w:t>
            </w:r>
            <w:r w:rsidRPr="00FF1BA9">
              <w:rPr>
                <w:rFonts w:cs="Arial"/>
                <w:bCs/>
                <w:color w:val="000000"/>
                <w:szCs w:val="18"/>
              </w:rPr>
              <w:t xml:space="preserve"> </w:t>
            </w:r>
            <w:r w:rsidRPr="00FF1BA9">
              <w:rPr>
                <w:rFonts w:cs="Arial"/>
                <w:bCs/>
                <w:color w:val="000000"/>
                <w:szCs w:val="18"/>
              </w:rPr>
              <w:t>d'application</w:t>
            </w: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fr-FR"/>
              </w:rPr>
            </w:pPr>
          </w:p>
        </w:tc>
        <w:tc>
          <w:tcPr>
            <w:tcW w:w="5103" w:type="dxa"/>
          </w:tcPr>
          <w:p w:rsidR="00F75464" w:rsidRPr="00FF1BA9" w:rsidP="00D755DF">
            <w:pPr>
              <w:jc w:val="both"/>
              <w:rPr>
                <w:rFonts w:cs="Arial"/>
                <w:szCs w:val="18"/>
                <w:lang w:val="fr-FR"/>
              </w:rPr>
            </w:pP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nl-BE"/>
              </w:rPr>
            </w:pPr>
            <w:r w:rsidRPr="00FF1BA9">
              <w:rPr>
                <w:rFonts w:cs="Arial"/>
                <w:color w:val="000000"/>
                <w:szCs w:val="18"/>
                <w:lang w:val="nl-BE"/>
              </w:rPr>
              <w:t>Wanneer de voorschrijvende arts een specialiteit opgenomen in dit hoofdstuk voorschrijft voor een indicatie</w:t>
            </w:r>
            <w:r w:rsidRPr="00FF1BA9">
              <w:rPr>
                <w:rFonts w:cs="Arial"/>
                <w:color w:val="000000"/>
                <w:szCs w:val="18"/>
                <w:lang w:val="nl-BE"/>
              </w:rPr>
              <w:br/>
              <w:t>die terugbetaald wordt volgens de vergoedingsmodaliteiten zoals ze daarvoor uitgewerkt zijn in hoofdstuk</w:t>
            </w:r>
            <w:r w:rsidRPr="00FF1BA9">
              <w:rPr>
                <w:rFonts w:cs="Arial"/>
                <w:color w:val="000000"/>
                <w:szCs w:val="18"/>
                <w:lang w:val="nl-BE"/>
              </w:rPr>
              <w:br/>
              <w:t>IV van deze lijst, brengt hij op het voorschrift de vermelding "IV" aan. In dat geval wordt de betrokken</w:t>
            </w:r>
            <w:r w:rsidRPr="00FF1BA9">
              <w:rPr>
                <w:rFonts w:cs="Arial"/>
                <w:color w:val="000000"/>
                <w:szCs w:val="18"/>
                <w:lang w:val="nl-BE"/>
              </w:rPr>
              <w:br/>
              <w:t>specialiteit slechts vergoed mits voorlegging van een machtiging van de adviserend geneesheer.</w:t>
            </w:r>
          </w:p>
        </w:tc>
        <w:tc>
          <w:tcPr>
            <w:tcW w:w="5103" w:type="dxa"/>
          </w:tcPr>
          <w:p w:rsidR="00F75464" w:rsidRPr="00FF1BA9" w:rsidP="00D755DF">
            <w:pPr>
              <w:jc w:val="both"/>
              <w:rPr>
                <w:rFonts w:cs="Arial"/>
                <w:szCs w:val="18"/>
                <w:lang w:val="fr-FR"/>
              </w:rPr>
            </w:pPr>
            <w:r w:rsidRPr="00FF1BA9">
              <w:rPr>
                <w:rFonts w:cs="Arial"/>
                <w:color w:val="000000"/>
                <w:szCs w:val="18"/>
                <w:lang w:val="fr-FR"/>
              </w:rPr>
              <w:t>Lorsque le médecin prescripteur prescrit une spécialité reprise dans ce chapitre pour une indication</w:t>
            </w:r>
            <w:r w:rsidRPr="00FF1BA9">
              <w:rPr>
                <w:rFonts w:cs="Arial"/>
                <w:color w:val="000000"/>
                <w:szCs w:val="18"/>
                <w:lang w:val="fr-FR"/>
              </w:rPr>
              <w:br/>
              <w:t>remboursée selon les modalités de remboursement telles qu'elles ont été élaborées à cet effet au chapitre</w:t>
            </w:r>
            <w:r w:rsidRPr="00FF1BA9">
              <w:rPr>
                <w:rFonts w:cs="Arial"/>
                <w:color w:val="000000"/>
                <w:szCs w:val="18"/>
                <w:lang w:val="fr-FR"/>
              </w:rPr>
              <w:br/>
              <w:t>IV de cette liste, il appose sur l'ordonnance la mention "IV". Dans ce cas, la spécialité concernée est</w:t>
            </w:r>
            <w:r w:rsidRPr="00FF1BA9">
              <w:rPr>
                <w:rFonts w:cs="Arial"/>
                <w:color w:val="000000"/>
                <w:szCs w:val="18"/>
                <w:lang w:val="fr-FR"/>
              </w:rPr>
              <w:br/>
              <w:t>remboursable qu'après la soumission d'une autorisation du médecin conseil.</w:t>
            </w:r>
          </w:p>
        </w:tc>
      </w:tr>
      <w:tr w:rsidTr="00D755DF">
        <w:tblPrEx>
          <w:tblW w:w="10206" w:type="dxa"/>
          <w:jc w:val="center"/>
          <w:tblLook w:val="01E0"/>
        </w:tblPrEx>
        <w:trPr>
          <w:jc w:val="center"/>
        </w:trPr>
        <w:tc>
          <w:tcPr>
            <w:tcW w:w="5103" w:type="dxa"/>
          </w:tcPr>
          <w:p w:rsidR="00F75464" w:rsidRPr="00345EC6" w:rsidP="00D755DF">
            <w:pPr>
              <w:jc w:val="both"/>
              <w:rPr>
                <w:rFonts w:cs="Arial"/>
                <w:color w:val="000000"/>
                <w:szCs w:val="18"/>
                <w:lang w:val="fr-BE"/>
              </w:rPr>
            </w:pPr>
          </w:p>
        </w:tc>
        <w:tc>
          <w:tcPr>
            <w:tcW w:w="5103" w:type="dxa"/>
          </w:tcPr>
          <w:p w:rsidR="00F75464" w:rsidRPr="00FF1BA9" w:rsidP="00D755DF">
            <w:pPr>
              <w:jc w:val="both"/>
              <w:rPr>
                <w:rFonts w:cs="Arial"/>
                <w:color w:val="000000"/>
                <w:szCs w:val="18"/>
                <w:lang w:val="fr-FR"/>
              </w:rPr>
            </w:pPr>
          </w:p>
        </w:tc>
      </w:tr>
      <w:tr w:rsidTr="00D755DF">
        <w:tblPrEx>
          <w:tblW w:w="10206" w:type="dxa"/>
          <w:jc w:val="center"/>
          <w:tblLook w:val="01E0"/>
        </w:tblPrEx>
        <w:trPr>
          <w:jc w:val="center"/>
        </w:trPr>
        <w:tc>
          <w:tcPr>
            <w:tcW w:w="5103" w:type="dxa"/>
          </w:tcPr>
          <w:p w:rsidR="00F75464" w:rsidRPr="00A614A0" w:rsidP="00D755DF">
            <w:pPr>
              <w:ind w:left="340" w:hanging="340"/>
              <w:jc w:val="both"/>
              <w:rPr>
                <w:rFonts w:cs="Arial"/>
                <w:bCs/>
                <w:color w:val="000000"/>
                <w:szCs w:val="18"/>
                <w:lang w:val="nl-BE"/>
              </w:rPr>
            </w:pPr>
            <w:r w:rsidRPr="00A614A0">
              <w:rPr>
                <w:rFonts w:cs="Arial"/>
                <w:bCs/>
                <w:color w:val="000000"/>
                <w:szCs w:val="18"/>
                <w:lang w:val="nl-BE"/>
              </w:rPr>
              <w:t>B.- Lijst van de zonder voorafgaande machtiging van de adviserend geneesheer vergoedbare specialiteiten, met een controle achteraf</w:t>
            </w:r>
          </w:p>
        </w:tc>
        <w:tc>
          <w:tcPr>
            <w:tcW w:w="5103" w:type="dxa"/>
          </w:tcPr>
          <w:p w:rsidR="00F75464" w:rsidRPr="00345EC6" w:rsidP="00D755DF">
            <w:pPr>
              <w:ind w:left="340" w:hanging="340"/>
              <w:jc w:val="both"/>
              <w:rPr>
                <w:rFonts w:cs="Arial"/>
                <w:bCs/>
                <w:color w:val="000000"/>
                <w:szCs w:val="18"/>
                <w:lang w:val="fr-BE"/>
              </w:rPr>
            </w:pPr>
            <w:r w:rsidRPr="00345EC6">
              <w:rPr>
                <w:rFonts w:cs="Arial"/>
                <w:bCs/>
                <w:color w:val="000000"/>
                <w:szCs w:val="18"/>
                <w:lang w:val="fr-BE"/>
              </w:rPr>
              <w:t>B.- Liste des spécialités remboursables sans autorisation préalable du médecin-conseil, avec un contrôle a posteriori.</w:t>
            </w:r>
          </w:p>
        </w:tc>
      </w:tr>
    </w:tbl>
    <w:p w:rsidR="00471D23" w:rsidRPr="00F75464">
      <w:pPr>
        <w:rPr>
          <w:lang w:val="fr-B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est supprimé au 01/06/2020.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is geschrapt op 01/06/2020.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B :</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B:</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0,0562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0,0717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0,1743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0,0434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24,15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0,1484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EXIM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4819-595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4819-595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7740-210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7740-210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7740-210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PARIET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C:</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C:</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209"/>
        <w:gridCol w:w="104"/>
        <w:gridCol w:w="938"/>
        <w:gridCol w:w="2501"/>
        <w:gridCol w:w="832"/>
        <w:gridCol w:w="1"/>
        <w:gridCol w:w="215"/>
        <w:gridCol w:w="1"/>
        <w:gridCol w:w="201"/>
        <w:gridCol w:w="208"/>
        <w:gridCol w:w="209"/>
        <w:gridCol w:w="834"/>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40000</w:t>
            </w:r>
          </w:p>
        </w:tc>
        <w:tc>
          <w:tcPr>
            <w:tcW w:w="2500" w:type="pct"/>
            <w:gridSpan w:val="1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40000</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Fibrates (ATC C10AB):</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Fibraten (ATC C10AB)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Les spécialités mentionnées au point  c) font l’objet d’un rem¬boursement en catégorie B, pour autant qu’elles soient admin¬istrées chez des bénéficiaires pour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specialiteiten vermeld in punt c) komen voor vergoeding in aanmerking in categorie B, wanneer ze zijn toegediend bij rechthebbenden voor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la prise d’un traitement avec un médicament hypolipémiant a actuellement entraîné une amélioration de son profil de risque.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dat het volgen van een behandeling met een hypolipemiërend geneesmiddel momen¬teel een verbetering van zijn/haar risicoprofiel heeft veroorzaakt.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Antécédent d’au moins une atteinte artérielle, dûment documentée par un examen technique complémentaire dans le dossier médical tenu par le prescripteur pour le patient concerné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Antecedent van minstens een arteriële aandoe¬ning, grondig gedocumenteerd door een bijko¬mend technisch onderzoek in het medisch dossier dat door de voorschrijver voor deze patiënt wordt bijgehouden:</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soit coronaire : infarctus, angor objectivé, syndrome coronarien aigu, pontage aorto-coronaire, angioplastie coronaire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ofwel coronair : infarctus, geobjectiveerde angor, acuut coronair syndroom, aorto-coronaire bypass, coronaire angioplastie;</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soit cérébrale: accident vasculaire cérébral thrombotique, accident ischémi¬que transitoire documenté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ofwel cerebraal : cerebrovasculair throm¬botisch accident, gedocumenteerd transitoir ischemisch accident;</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soit périphérique : claudication intermit¬tente documentée.</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ofwel perifeer: gedocumenteerd claudica¬tio intermittens.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Diabète type 2 si le patient est âgé de plus de 40 ans ; Diabète type 1 si présence de microalbuminurie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Type 2 diabetes indien de patiënt ouder is dan 40 jaar ; Type 1 diabetes indien microalbuminurie aanwezig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Traitement en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Behandeling in bi-therapie</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Soit il s’agit de la situation où de l’acipimox est ajouté à un traitement préalable d’au moins 3 mois par fibrate, en application du point a) 3.2. du paragraphe relatif à l’acipimox dans le chapitre IV de l’AR du 21.12.2001.</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Beperking van het risico op acute pancreatitis bij de rechthebbenden die een ernstige hypertriglyceridemie vertonen, gedefini¬eerd door een triglyceridengehalte dat hoger blijft dan de 400 mg/dl ondanks adequate hygieno-dietische 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En outre, la prescription donnant lieu au remboursement doit être faite conformément aux conditions suivantes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Bovendien moet het voorschrift dat aanleiding geeft tot vergoe¬ding opgesteld zijn, conform aan volgende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médecin prescripteur tient compte d’une posologie maximale remboursable limitée à la dose maximale journalière définie dans la notice officielle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voorschrijvend arts houdt rekening met een vergoedbare maximale dosering die beperkt is tot de dagelijkse maximumdosis die in de officiële bijsluiter is bepaald;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médecin prescripteur vérifie l’impact du traitement par la réalisation annuelle d’un profil lipidique notifié dans le dossier médical tenu pour ce patient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voorschrijvend arts gaat de impact van de behande¬ling na door jaarlijks een lipidenprofiel uit te voeren, waarvan melding wordt gemaakt in het medisch dossier dat voor deze patiënt wordt bijgehouden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Mesures transitoires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Overgangsmaatregelen: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Critère figurant dans les recommandations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Criterium dat voorkomt in de aanbevelingen: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.Hypercholestérolémie primaire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 Primaire hypercholeste-rolemie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Protocoles (datés) des  deux biologies, émanant de laboratoires de biologie clinique.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(Gedateerde) protocollen van de twee biologische testen door laboratoria voor klinische biologie.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Calcul (*) du risque cardiovasculaire absolu indivi¬duel</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Berekening (*) van het individueel absoluut cardiovasculair risico</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5 % à 10 ans ((Rev Med Liege 2005 ; 60 : 3 : 163-172)  )  en tenant compte de l’âge, du sexe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 5 % op 10 jaar (Rev Med Liege 2005 ; 60 : 3 : 163-172)  )  rekening houdende met de leeftijd, het geslacht,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résultat du calcul et des différents éléments qui ont été pris en compte pour son établissement, ainsi que mention de la date, ou de la période (*), à laquelle se rapporte ce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berekeningsresultaat en van de verschillende elementen die voor de vaststelling ervan in aanmerking zijn genomen, alsook vermelding van de datum of het tijdvak (*) waarop die berekening betrekking heeft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différentes mesures prises en compte dans le calcul doivent avoir été effectuées pendant une même période ne dépassant pas 30 jours.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verschillende metingen die bij de berekening in aanmerking worden genomen, moeten binnen een zelfde tijdvak van maximaal 30 dagen zijn verricht.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Du taux de cholestérol sérique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 serumcholesterol-gehalte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S’il s’agit d’une biologie autre que celles figurant au point 1.1. : Protocole (daté) émanant d’un laboratoire de biologie clinique.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het om een andere biologische test gaat dan die vermeld in punt 1.1.: (Gedateerd) protocol van een laboratorium voor klinische biologie.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van  250mg/dl voor het uitvoeren van de berekening.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la pression artérielle systolique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arteriële systolische druk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valeur (datée) effectivement  mesurée (*)  et du traitement anti-hypertensif éventuel.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(gedateerde) effectief gemeten waarde (*) en van de eventuele behandeling met antihypertensiva.</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 la valeur effectivement mesurée est normalisée du fait de l’existence d’un traitement anti-hypertensif, on peut utiliser une valeur présumée de 160/90 mm Hg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Indien de effectief gemeten waarde genormaliseerd is ten gevolge van een behandeling met anti-hypertensiva, mag voor de berekening worden uitgegaan van een waarde van 160/90 mm Hg.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Du tabagisme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nature du tabagisme, de son intensité (*), et de son ancienneté</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aard, de ernst (*) en het aantal jaren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nombre de cigarettes, ou de paquets, ou quantité de tabac, etc.</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aantal sigaretten, of pakjes of hoeveelheid tabak, enz.</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Diabète sucré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Diabetes mellitus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type de diabète et de son ancienneté,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type diabetes, het aantal jaren dat men aan diabetes lijdt,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présence de microalbuminurie pour le diabète de type 1,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aanwezigheid van microalbuminurie indien type 1 diabetes,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Intolérance ou contre-indications aux stati¬nes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Description et documentation des effets secondaires, donnant lieu au diagnose d’intolérance ou contre-indications aux stati¬nes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Beschrijving en documentatie van de nevenwerkingen en/of andere elementen die aanleiding gegeven hebben tot de diagnose van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Les éléments dont le dispensateur de soins doit disposer si un autre dispensateur de soins a entamé le traitement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elementen waarover de zorgverlener moet beschikken indien de behandeling door een andere zorgverlener werd gestart:</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ziekenhuis; in dat geval vermeldt de voorschrijver dat in het dossier.</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La période de validité maximale au terme de laquelle les éléments mentionnés aux points 2° et 3° doivent être renouvelés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de maximale geldigheidsperiode waarna de in 2° en 3° bedoelde elementen hernieuwd moeten worden: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Ces éléments ne doivent pas être renouvelés, mais peuvent, le cas échéant, être complétés par d’autres éléments confirmant le respect des recommandations.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Die elementen moeten niet worden hernieuwd, maar kunnen eventueel worden aangevuld met andere elementen die bevestigen dat de aanbevelingen zijn nageleefd.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2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8"/>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omhulde tabletten,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0,0673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FENOFIBRAAT EG 200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FENOFIBRATE AB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0,0737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200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267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FENOSUP LIDOSE 160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gélules,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capsules,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HYPERLIPEN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SANOFI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LIPANTHYLNANO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0,1731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0,1731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0,0584</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50500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50500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51000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51000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bl>
    <w:p w:rsidR="00A77B3E">
      <w:pPr>
        <w:rPr>
          <w:rFonts w:ascii="Arial" w:eastAsia="Arial" w:hAnsi="Arial" w:cs="Arial"/>
          <w:b w:val="0"/>
          <w:i w:val="0"/>
          <w:spacing w:val="4"/>
          <w:sz w:val="18"/>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01.04.2025 - Mise à jour 01.04.2025</w:t>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