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des patients à partir de 12 ans, qui nécessitent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de bijzondere beroepsbekwaamheid in de pediatrische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01.02.2024 - Mise à jour 01.02.2024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