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in hoofdstuk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Heading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Heading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Analyse d'une amplification du gène HER2 en cas d'adénocarcinome métastatique primaire de l'estomac ou de la jonction oeso-gastrique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bl>
    <w:p w14:paraId="23421948" w14:textId="77777777" w:rsidR="00785238" w:rsidRPr="00A43014" w:rsidRDefault="00785238" w:rsidP="00785238">
      <w:pPr>
        <w:pStyle w:val="NoSpacing"/>
        <w:rPr>
          <w:sz w:val="18"/>
          <w:szCs w:val="18"/>
          <w:lang w:val="fr-BE"/>
        </w:rPr>
      </w:pPr>
    </w:p>
    <w:p w14:paraId="39D0982D"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Détection d’une fusion du gène NTRK (ou NTRK1, ou NTRK2, ou NTRK3) d’une tumeur solide avancée du type cancer du sein sécrétoire, cancer de la glande salivaire sécrétoire, fibrosarcome infantile congénital, nephrome mesoblastique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Carcinome de la thyroide</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Heading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promyélocytaire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PML-RARa en cas de leucémie promyélocytaire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 xml:space="preserve">Dépistage de la translocation de t(15;17) du gène PML-RARa en cas de surveillance d'une leucémie promyélocytaire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Heading1"/>
        <w:rPr>
          <w:rFonts w:ascii="Arial" w:hAnsi="Arial" w:cs="Arial"/>
          <w:color w:val="auto"/>
          <w:sz w:val="18"/>
          <w:szCs w:val="18"/>
        </w:rPr>
      </w:pPr>
    </w:p>
    <w:p w14:paraId="0D16AD72" w14:textId="77777777" w:rsidR="00785238" w:rsidRPr="00226120" w:rsidRDefault="0067566C" w:rsidP="00785238">
      <w:pPr>
        <w:pStyle w:val="Heading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Subtitle"/>
        <w:rPr>
          <w:rFonts w:ascii="Arial" w:hAnsi="Arial" w:cs="Arial"/>
          <w:color w:val="auto"/>
          <w:sz w:val="18"/>
          <w:szCs w:val="18"/>
          <w:lang w:val="nl-BE"/>
        </w:rPr>
      </w:pPr>
      <w:r w:rsidRPr="00226120">
        <w:rPr>
          <w:rFonts w:ascii="Arial" w:hAnsi="Arial" w:cs="Arial"/>
          <w:color w:val="auto"/>
          <w:sz w:val="18"/>
          <w:szCs w:val="18"/>
          <w:lang w:val="nl-BE"/>
        </w:rPr>
        <w:t>Lijst van de predictieve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Heading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Heading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r w:rsidRPr="00226120">
              <w:rPr>
                <w:sz w:val="18"/>
                <w:szCs w:val="18"/>
              </w:rPr>
              <w:t>omschrijving</w:t>
            </w:r>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Analyse van HER2 genamplificatie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Colorectaal carcinoom</w:t>
      </w:r>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Longkanker</w:t>
      </w:r>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(niet-reseceerbaar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Analyse van ALK genherschikking bij gevorderd (niet-reseceerbaar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genherschikking bij een ROS1 positief (IHC) gevorderd (niet-reseceerbaar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(niet-reseceerbaar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(niet-reseceerbaar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Niveau 1 diagnostisch</w:t>
            </w:r>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RET-fusiegen bij gevorderd (niet-reseceerbaar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(Niveau 3 diagnostisch)</w:t>
            </w:r>
          </w:p>
        </w:tc>
      </w:tr>
    </w:tbl>
    <w:p w14:paraId="310BD450" w14:textId="77777777" w:rsidR="00785238" w:rsidRPr="00226120" w:rsidRDefault="00785238" w:rsidP="00785238">
      <w:pPr>
        <w:tabs>
          <w:tab w:val="left" w:pos="1701"/>
        </w:tabs>
        <w:rPr>
          <w:sz w:val="18"/>
          <w:szCs w:val="18"/>
        </w:rPr>
      </w:pPr>
    </w:p>
    <w:p w14:paraId="2DDCC54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Melanoom</w:t>
      </w:r>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(niet-reseceerbaar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reseceerbaar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diagnostisch)</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niet-reseceerbaar of metastatisch uveaal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diagnostisch)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Gastrointestinale stromale tumor</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Analyse van PDGFRA D842V mutatie bij een gastrointestinale stromale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Borstkanker</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genamplificatie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genamplificatie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Heading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r w:rsidRPr="00FD7EE8">
              <w:rPr>
                <w:sz w:val="18"/>
                <w:szCs w:val="18"/>
              </w:rPr>
              <w:t>omschrijving</w:t>
            </w:r>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diagnostisch)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(Niveau 2 diagnostisch)</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(Niveau 2 diagnostisch)</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r w:rsidRPr="00FD7EE8">
        <w:rPr>
          <w:b/>
          <w:bCs/>
          <w:color w:val="000000"/>
          <w:sz w:val="18"/>
          <w:szCs w:val="18"/>
          <w:lang w:val="nl-BE"/>
        </w:rPr>
        <w:t>genfusies</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r w:rsidRPr="00FD7EE8">
              <w:rPr>
                <w:sz w:val="18"/>
                <w:szCs w:val="18"/>
              </w:rPr>
              <w:t>omschrijving</w:t>
            </w:r>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r w:rsidRPr="00FD7EE8">
              <w:rPr>
                <w:color w:val="000000"/>
                <w:sz w:val="18"/>
                <w:szCs w:val="18"/>
                <w:lang w:val="fr-FR"/>
              </w:rPr>
              <w:t xml:space="preserve">Opsporen van één </w:t>
            </w:r>
            <w:r w:rsidRPr="00FD7EE8">
              <w:rPr>
                <w:i/>
                <w:iCs/>
                <w:color w:val="000000"/>
                <w:sz w:val="18"/>
                <w:szCs w:val="18"/>
                <w:lang w:val="fr-FR"/>
              </w:rPr>
              <w:t xml:space="preserve">NTRK </w:t>
            </w:r>
            <w:r w:rsidRPr="00FD7EE8">
              <w:rPr>
                <w:color w:val="000000"/>
                <w:sz w:val="18"/>
                <w:szCs w:val="18"/>
                <w:lang w:val="fr-FR"/>
              </w:rPr>
              <w:t>genfusie (ofwel NTRK1, ofwel NTRK2, ofwel NTRK3) bij een gevorderde solide tumor van het type secretoir borstcarcinoom, secretoir speekselkliercarcinoom, congenitaal infantiel fibrosarcoom, congenitaal mesoblastisch nefroom</w:t>
            </w:r>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(Niveau 2 diagnostisch)</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r w:rsidRPr="00FD7EE8">
              <w:rPr>
                <w:sz w:val="18"/>
                <w:szCs w:val="18"/>
              </w:rPr>
              <w:t>omschrijving</w:t>
            </w:r>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(niet-reseceerbaar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(Niveau 3 diagnostisch)</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r w:rsidRPr="00843B4E">
        <w:rPr>
          <w:b/>
          <w:sz w:val="18"/>
          <w:szCs w:val="18"/>
        </w:rPr>
        <w:t>C</w:t>
      </w:r>
      <w:r w:rsidRPr="00843B4E">
        <w:rPr>
          <w:rFonts w:eastAsia="Times New Roman"/>
          <w:b/>
          <w:sz w:val="18"/>
          <w:szCs w:val="18"/>
          <w:lang w:eastAsia="en-US"/>
        </w:rPr>
        <w:t>holangiocarcinoom</w:t>
      </w:r>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omschrijving</w:t>
            </w:r>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Opsporen van een FGFR2-genfusie of herschikking bij lokaal gevorderd of gemetastaseerd intrahepatisch cholangiocarcinoom</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(Niveau 3 diagnostisch)</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Heading1"/>
        <w:rPr>
          <w:rFonts w:ascii="Arial" w:hAnsi="Arial" w:cs="Arial"/>
          <w:color w:val="auto"/>
          <w:sz w:val="18"/>
          <w:szCs w:val="18"/>
        </w:rPr>
      </w:pPr>
      <w:r w:rsidRPr="00226120">
        <w:rPr>
          <w:rFonts w:ascii="Arial" w:hAnsi="Arial" w:cs="Arial"/>
          <w:color w:val="auto"/>
          <w:sz w:val="18"/>
          <w:szCs w:val="18"/>
        </w:rPr>
        <w:t>Hematologische aandoeningen: diagnostische fase</w:t>
      </w:r>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Acute myeloïde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Opsporen van FLT3-TKD mutaties bij acute myeloïde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Opsporen van FLT3-ITD mutaties bij acute myeloïde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myeloïde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iveau 1 diagnostisch</w:t>
            </w:r>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myeloïde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iveau 2 diagnostisch</w:t>
            </w:r>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Chronische myeloïde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myeloïde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myeloïde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Acute lymfatische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r w:rsidRPr="00226120">
              <w:rPr>
                <w:sz w:val="18"/>
                <w:szCs w:val="18"/>
              </w:rPr>
              <w:t xml:space="preserve">Opsporen van </w:t>
            </w:r>
            <w:r>
              <w:rPr>
                <w:caps/>
                <w:sz w:val="18"/>
                <w:szCs w:val="18"/>
              </w:rPr>
              <w:t>BCR/ABL1</w:t>
            </w:r>
            <w:r w:rsidRPr="00226120">
              <w:rPr>
                <w:sz w:val="18"/>
                <w:szCs w:val="18"/>
              </w:rPr>
              <w:t xml:space="preserve"> (Philadelphia chromosoom) kinase domein mutaties bij Ph+ acute lymfatische leukemie</w:t>
            </w:r>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Chronische lymfatische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Acute promyelocytaire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PML-RARa translocatie bij acute promyelocytaire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lastRenderedPageBreak/>
        <w:t>Myeloïde/lymfatische neoplasmata met eosinofilie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Opsporen van PDGFRA herschikking bij myeloïde/lymfatische neoplasmata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Opsporen van PDGFRB herschikkingen bij myeloïde/lymfatische neoplasmata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Heading1"/>
        <w:rPr>
          <w:rFonts w:ascii="Arial" w:hAnsi="Arial" w:cs="Arial"/>
          <w:color w:val="auto"/>
          <w:sz w:val="18"/>
          <w:szCs w:val="18"/>
        </w:rPr>
      </w:pPr>
      <w:r w:rsidRPr="00863EF6">
        <w:rPr>
          <w:rFonts w:ascii="Arial" w:hAnsi="Arial" w:cs="Arial"/>
          <w:color w:val="auto"/>
          <w:sz w:val="18"/>
          <w:szCs w:val="18"/>
        </w:rPr>
        <w:t xml:space="preserve"> </w:t>
      </w:r>
      <w:r w:rsidR="00785238" w:rsidRPr="00863EF6">
        <w:rPr>
          <w:rFonts w:ascii="Arial" w:hAnsi="Arial" w:cs="Arial"/>
          <w:color w:val="auto"/>
          <w:sz w:val="18"/>
          <w:szCs w:val="18"/>
        </w:rPr>
        <w:t>Hematologische aandoeningen: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B23A2E"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r w:rsidRPr="00863EF6">
              <w:rPr>
                <w:sz w:val="18"/>
                <w:szCs w:val="18"/>
              </w:rPr>
              <w:t>omschrijving</w:t>
            </w:r>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r w:rsidRPr="00863EF6">
              <w:rPr>
                <w:sz w:val="18"/>
                <w:szCs w:val="18"/>
              </w:rPr>
              <w:t xml:space="preserve">Opsporen van </w:t>
            </w:r>
            <w:r w:rsidRPr="00863EF6">
              <w:rPr>
                <w:caps/>
                <w:sz w:val="18"/>
                <w:szCs w:val="18"/>
              </w:rPr>
              <w:t>BCR/ABL1</w:t>
            </w:r>
            <w:r w:rsidRPr="00863EF6">
              <w:rPr>
                <w:sz w:val="18"/>
                <w:szCs w:val="18"/>
              </w:rPr>
              <w:t xml:space="preserve"> (Philadelphia chromosoom) bij monitoring van  chronische myeloïde leukemie of Ph+ acute lymfatische leukemie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 xml:space="preserve">Opsporen van t(15;17) PML-RARa translocatie bij monitoring van acute promyelocytaire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Footer"/>
      <w:rPr>
        <w:sz w:val="16"/>
        <w:lang w:val="nl-BE"/>
      </w:rPr>
    </w:pPr>
  </w:p>
  <w:p w14:paraId="635F38AE" w14:textId="29B7C81D" w:rsidR="00785238" w:rsidRPr="00463104" w:rsidRDefault="00105831" w:rsidP="00463104">
    <w:pPr>
      <w:pStyle w:val="Footer"/>
      <w:jc w:val="right"/>
      <w:rPr>
        <w:sz w:val="16"/>
        <w:lang w:val="nl-BE"/>
      </w:rPr>
    </w:pPr>
    <w:r>
      <w:rPr>
        <w:sz w:val="16"/>
        <w:lang w:val="nl-BE"/>
      </w:rPr>
      <w:t>Bijwerking 01.</w:t>
    </w:r>
    <w:r w:rsidR="00B97E9C">
      <w:rPr>
        <w:sz w:val="16"/>
        <w:lang w:val="nl-BE"/>
      </w:rPr>
      <w:t>1</w:t>
    </w:r>
    <w:r w:rsidR="007F6EA4">
      <w:rPr>
        <w:sz w:val="16"/>
        <w:lang w:val="nl-BE"/>
      </w:rPr>
      <w:t>2</w:t>
    </w:r>
    <w:r w:rsidR="00463104">
      <w:rPr>
        <w:sz w:val="16"/>
        <w:lang w:val="nl-BE"/>
      </w:rPr>
      <w:t>.202</w:t>
    </w:r>
    <w:r w:rsidR="009E0B0A">
      <w:rPr>
        <w:sz w:val="16"/>
        <w:lang w:val="nl-BE"/>
      </w:rPr>
      <w:t>3</w:t>
    </w:r>
    <w:r w:rsidR="00463104">
      <w:rPr>
        <w:sz w:val="16"/>
        <w:lang w:val="nl-BE"/>
      </w:rPr>
      <w:t xml:space="preserve"> – Mise à jour 01.</w:t>
    </w:r>
    <w:r w:rsidR="00B97E9C">
      <w:rPr>
        <w:sz w:val="16"/>
        <w:lang w:val="nl-BE"/>
      </w:rPr>
      <w:t>1</w:t>
    </w:r>
    <w:r w:rsidR="007F6EA4">
      <w:rPr>
        <w:sz w:val="16"/>
        <w:lang w:val="nl-BE"/>
      </w:rPr>
      <w:t>2</w:t>
    </w:r>
    <w:r w:rsidR="00B97E9C">
      <w:rPr>
        <w:sz w:val="16"/>
        <w:lang w:val="nl-BE"/>
      </w:rPr>
      <w:t>.</w:t>
    </w:r>
    <w:r w:rsidR="00D00509" w:rsidRPr="00D00509">
      <w:rPr>
        <w:sz w:val="16"/>
        <w:lang w:val="nl-BE"/>
      </w:rPr>
      <w:t>202</w:t>
    </w:r>
    <w:r w:rsidR="009E0B0A">
      <w:rPr>
        <w:sz w:val="16"/>
        <w:lang w:val="nl-B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Header"/>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E605B"/>
    <w:rsid w:val="003566DD"/>
    <w:rsid w:val="0039547B"/>
    <w:rsid w:val="003E79B3"/>
    <w:rsid w:val="00463104"/>
    <w:rsid w:val="004F270A"/>
    <w:rsid w:val="0050757A"/>
    <w:rsid w:val="005610BF"/>
    <w:rsid w:val="00583B3B"/>
    <w:rsid w:val="00596B6B"/>
    <w:rsid w:val="005D1B90"/>
    <w:rsid w:val="0067566C"/>
    <w:rsid w:val="006A399E"/>
    <w:rsid w:val="006F1DF1"/>
    <w:rsid w:val="00705292"/>
    <w:rsid w:val="00727D41"/>
    <w:rsid w:val="00731E80"/>
    <w:rsid w:val="007849B7"/>
    <w:rsid w:val="00785238"/>
    <w:rsid w:val="007F6EA4"/>
    <w:rsid w:val="00800B70"/>
    <w:rsid w:val="008106D2"/>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97D37"/>
    <w:rsid w:val="00EB043C"/>
    <w:rsid w:val="00EC43CD"/>
    <w:rsid w:val="00EC7028"/>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238"/>
    <w:rPr>
      <w:rFonts w:ascii="Arial" w:eastAsia="Arial" w:hAnsi="Arial" w:cs="Arial"/>
      <w:sz w:val="24"/>
      <w:szCs w:val="24"/>
      <w:lang w:val="fr-BE" w:eastAsia="fr-BE"/>
    </w:rPr>
  </w:style>
  <w:style w:type="paragraph" w:styleId="Heading1">
    <w:name w:val="heading 1"/>
    <w:basedOn w:val="Normal"/>
    <w:next w:val="Normal"/>
    <w:link w:val="Heading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Heading2">
    <w:name w:val="heading 2"/>
    <w:basedOn w:val="Normal"/>
    <w:next w:val="Normal"/>
    <w:link w:val="Heading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785238"/>
    <w:rPr>
      <w:rFonts w:asciiTheme="majorHAnsi" w:eastAsiaTheme="majorEastAsia" w:hAnsiTheme="majorHAnsi" w:cstheme="majorBidi"/>
      <w:b/>
      <w:bCs/>
      <w:color w:val="4F81BD" w:themeColor="accent1"/>
      <w:sz w:val="26"/>
      <w:szCs w:val="26"/>
      <w:lang w:val="fr-FR"/>
    </w:rPr>
  </w:style>
  <w:style w:type="paragraph" w:styleId="NoSpacing">
    <w:name w:val="No Spacing"/>
    <w:link w:val="NoSpacingChar"/>
    <w:uiPriority w:val="1"/>
    <w:qFormat/>
    <w:rsid w:val="00785238"/>
    <w:rPr>
      <w:rFonts w:ascii="Arial" w:eastAsia="Arial" w:hAnsi="Arial" w:cs="Arial"/>
      <w:lang w:val="nl-BE" w:eastAsia="fr-BE"/>
    </w:rPr>
  </w:style>
  <w:style w:type="character" w:customStyle="1" w:styleId="NoSpacingChar">
    <w:name w:val="No Spacing Char"/>
    <w:basedOn w:val="DefaultParagraphFont"/>
    <w:link w:val="NoSpacing"/>
    <w:uiPriority w:val="1"/>
    <w:rsid w:val="00785238"/>
    <w:rPr>
      <w:rFonts w:ascii="Arial" w:eastAsia="Arial" w:hAnsi="Arial" w:cs="Arial"/>
      <w:lang w:val="nl-BE" w:eastAsia="fr-BE"/>
    </w:rPr>
  </w:style>
  <w:style w:type="paragraph" w:styleId="Subtitle">
    <w:name w:val="Subtitle"/>
    <w:basedOn w:val="Normal"/>
    <w:next w:val="Normal"/>
    <w:link w:val="Subtitle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
    <w:name w:val="Subtitle Char"/>
    <w:basedOn w:val="DefaultParagraphFont"/>
    <w:link w:val="Subtitle"/>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TableNorma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5238"/>
    <w:pPr>
      <w:tabs>
        <w:tab w:val="center" w:pos="4680"/>
        <w:tab w:val="right" w:pos="9360"/>
      </w:tabs>
    </w:pPr>
  </w:style>
  <w:style w:type="character" w:customStyle="1" w:styleId="HeaderChar">
    <w:name w:val="Header Char"/>
    <w:basedOn w:val="DefaultParagraphFont"/>
    <w:link w:val="Header"/>
    <w:uiPriority w:val="99"/>
    <w:rsid w:val="00785238"/>
    <w:rPr>
      <w:rFonts w:ascii="Arial" w:eastAsia="Arial" w:hAnsi="Arial" w:cs="Arial"/>
      <w:sz w:val="24"/>
      <w:szCs w:val="24"/>
      <w:lang w:val="fr-BE" w:eastAsia="fr-BE"/>
    </w:rPr>
  </w:style>
  <w:style w:type="paragraph" w:styleId="Footer">
    <w:name w:val="footer"/>
    <w:basedOn w:val="Normal"/>
    <w:link w:val="FooterChar"/>
    <w:unhideWhenUsed/>
    <w:rsid w:val="00785238"/>
    <w:pPr>
      <w:tabs>
        <w:tab w:val="center" w:pos="4680"/>
        <w:tab w:val="right" w:pos="9360"/>
      </w:tabs>
    </w:pPr>
  </w:style>
  <w:style w:type="character" w:customStyle="1" w:styleId="FooterChar">
    <w:name w:val="Footer Char"/>
    <w:basedOn w:val="DefaultParagraphFont"/>
    <w:link w:val="Footer"/>
    <w:rsid w:val="00785238"/>
    <w:rPr>
      <w:rFonts w:ascii="Arial" w:eastAsia="Arial" w:hAnsi="Arial" w:cs="Arial"/>
      <w:sz w:val="24"/>
      <w:szCs w:val="24"/>
      <w:lang w:val="fr-BE" w:eastAsia="fr-BE"/>
    </w:rPr>
  </w:style>
  <w:style w:type="table" w:customStyle="1" w:styleId="TableauGrille1Clair11">
    <w:name w:val="Tableau Grille 1 Clair11"/>
    <w:basedOn w:val="TableNorma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14005</Characters>
  <Application>Microsoft Office Word</Application>
  <DocSecurity>0</DocSecurity>
  <Lines>116</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David Greday (RIZIV-INAMI)</cp:lastModifiedBy>
  <cp:revision>28</cp:revision>
  <cp:lastPrinted>2022-09-26T13:59:00Z</cp:lastPrinted>
  <dcterms:created xsi:type="dcterms:W3CDTF">2022-01-25T08:00:00Z</dcterms:created>
  <dcterms:modified xsi:type="dcterms:W3CDTF">2023-12-15T07:57:00Z</dcterms:modified>
</cp:coreProperties>
</file>