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F3" w:rsidRDefault="00511BF3" w:rsidP="00511BF3">
      <w:pPr>
        <w:ind w:left="-709" w:right="-1044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M</w:t>
      </w:r>
      <w:r w:rsidRPr="00D31DDF">
        <w:rPr>
          <w:rFonts w:ascii="Arial" w:hAnsi="Arial" w:cs="Arial"/>
          <w:lang w:val="fr-BE"/>
        </w:rPr>
        <w:t>ontants minimaux de remboursements des prestations reprises dans la nomenclature des prestations de santé, comptabilisés dans le cadre de l’assurance soins de santé obligatoire</w:t>
      </w:r>
      <w:r>
        <w:rPr>
          <w:rFonts w:ascii="Arial" w:hAnsi="Arial" w:cs="Arial"/>
          <w:lang w:val="fr-BE"/>
        </w:rPr>
        <w:t xml:space="preserve"> (</w:t>
      </w:r>
      <w:r w:rsidR="00526689">
        <w:rPr>
          <w:rFonts w:ascii="Arial" w:hAnsi="Arial" w:cs="Arial"/>
          <w:lang w:val="fr-BE"/>
        </w:rPr>
        <w:t xml:space="preserve">montants </w:t>
      </w:r>
      <w:r>
        <w:rPr>
          <w:rFonts w:ascii="Arial" w:hAnsi="Arial" w:cs="Arial"/>
          <w:lang w:val="fr-BE"/>
        </w:rPr>
        <w:t xml:space="preserve">d’application pour l’année </w:t>
      </w:r>
      <w:r w:rsidR="000A4A6A">
        <w:rPr>
          <w:rFonts w:ascii="Arial" w:hAnsi="Arial" w:cs="Arial"/>
          <w:lang w:val="fr-BE"/>
        </w:rPr>
        <w:t>d’application</w:t>
      </w:r>
      <w:r>
        <w:rPr>
          <w:rFonts w:ascii="Arial" w:hAnsi="Arial" w:cs="Arial"/>
          <w:lang w:val="fr-BE"/>
        </w:rPr>
        <w:t xml:space="preserve"> </w:t>
      </w:r>
      <w:r w:rsidR="005B6BF3">
        <w:rPr>
          <w:rFonts w:ascii="Arial" w:hAnsi="Arial" w:cs="Arial"/>
          <w:lang w:val="fr-BE"/>
        </w:rPr>
        <w:t>2019</w:t>
      </w:r>
      <w:r>
        <w:rPr>
          <w:rFonts w:ascii="Arial" w:hAnsi="Arial" w:cs="Arial"/>
          <w:lang w:val="fr-BE"/>
        </w:rPr>
        <w:t xml:space="preserve">, année de référence = </w:t>
      </w:r>
      <w:r w:rsidR="005B6BF3">
        <w:rPr>
          <w:rFonts w:ascii="Arial" w:hAnsi="Arial" w:cs="Arial"/>
          <w:lang w:val="fr-BE"/>
        </w:rPr>
        <w:t>2017</w:t>
      </w:r>
      <w:r>
        <w:rPr>
          <w:rFonts w:ascii="Arial" w:hAnsi="Arial" w:cs="Arial"/>
          <w:lang w:val="fr-BE"/>
        </w:rPr>
        <w:t>)</w:t>
      </w:r>
    </w:p>
    <w:p w:rsidR="00511BF3" w:rsidRPr="00526689" w:rsidRDefault="00511BF3" w:rsidP="00511BF3">
      <w:pPr>
        <w:ind w:left="-709" w:right="-1044"/>
        <w:jc w:val="both"/>
        <w:rPr>
          <w:rFonts w:ascii="Arial" w:hAnsi="Arial" w:cs="Arial"/>
          <w:lang w:val="fr-BE"/>
        </w:rPr>
      </w:pPr>
    </w:p>
    <w:p w:rsidR="00511BF3" w:rsidRPr="00526689" w:rsidRDefault="00511BF3" w:rsidP="00511BF3">
      <w:pPr>
        <w:ind w:left="-709" w:right="-1044"/>
        <w:jc w:val="both"/>
        <w:rPr>
          <w:lang w:val="fr-BE"/>
        </w:rPr>
      </w:pPr>
    </w:p>
    <w:tbl>
      <w:tblPr>
        <w:tblW w:w="5901" w:type="pct"/>
        <w:tblInd w:w="-601" w:type="dxa"/>
        <w:tblLook w:val="04A0" w:firstRow="1" w:lastRow="0" w:firstColumn="1" w:lastColumn="0" w:noHBand="0" w:noVBand="1"/>
      </w:tblPr>
      <w:tblGrid>
        <w:gridCol w:w="3675"/>
        <w:gridCol w:w="3675"/>
        <w:gridCol w:w="3673"/>
      </w:tblGrid>
      <w:tr w:rsidR="00511BF3" w:rsidRPr="00121D63" w:rsidTr="00C21099">
        <w:trPr>
          <w:trHeight w:val="52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b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b/>
                <w:color w:val="000000"/>
                <w:lang w:val="fr-BE"/>
              </w:rPr>
              <w:t>Titres professionnels particuliers / Catégories résiduaires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Seuil</w:t>
            </w:r>
            <w:proofErr w:type="spellEnd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 xml:space="preserve"> </w:t>
            </w: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d’activité</w:t>
            </w:r>
            <w:proofErr w:type="spellEnd"/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Seuil</w:t>
            </w:r>
            <w:proofErr w:type="spellEnd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 xml:space="preserve"> </w:t>
            </w: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d’activité</w:t>
            </w:r>
            <w:proofErr w:type="spellEnd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 xml:space="preserve"> </w:t>
            </w: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réduit</w:t>
            </w:r>
            <w:proofErr w:type="spellEnd"/>
          </w:p>
        </w:tc>
      </w:tr>
      <w:tr w:rsidR="00511BF3" w:rsidRPr="00D31DDF" w:rsidTr="00C21099">
        <w:trPr>
          <w:trHeight w:val="30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</w:rPr>
            </w:pPr>
            <w:r w:rsidRPr="00121D63">
              <w:rPr>
                <w:rFonts w:ascii="Arial" w:hAnsi="Arial" w:cs="Arial"/>
              </w:rPr>
              <w:t>Médecin généraliste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anesthésie-réanimation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56.393,89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28.196,94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chirurgie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51.498,05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25.749,02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neurochirurgie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64.757,77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32.378,89  €</w:t>
            </w:r>
          </w:p>
        </w:tc>
      </w:tr>
      <w:tr w:rsidR="00511BF3" w:rsidRPr="00D31DDF" w:rsidTr="00C21099">
        <w:trPr>
          <w:trHeight w:val="76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chirurgie plastique, reconstructrice et esthétique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gériatrie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51.879,60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25.939,80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gynécologie-obstétrique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44.455,33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22.227,66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ophtalmologie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55.607,11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27.803,56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oto-rhino-laryngologie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56.272,26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28.136,13  €</w:t>
            </w:r>
          </w:p>
        </w:tc>
      </w:tr>
      <w:tr w:rsidR="00511BF3" w:rsidRPr="00D31DDF" w:rsidTr="00C21099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urologie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57.193,42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28.596,71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chirurgie orthopédique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59.471,30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29.735,65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stomatologie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dermato-vénéréologie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28.812,57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14.406,29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oncologie médicale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28.574,68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14.287,34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interne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40.661,02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20.330,51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pneumologie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52.310,07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26.155,03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gastro-entérologie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67.362,07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33.681,03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pédiatrie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cardiologie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neuropsychiatrie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D2787B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neurologie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41.522,06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20.761,03  €</w:t>
            </w:r>
          </w:p>
        </w:tc>
      </w:tr>
      <w:tr w:rsidR="00511BF3" w:rsidRPr="00D31DDF" w:rsidTr="00D2787B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lastRenderedPageBreak/>
              <w:t>Médecin spécialiste en psychiatrie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D2787B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rhumatologie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34.191,67 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17.095,83  €</w:t>
            </w:r>
          </w:p>
        </w:tc>
      </w:tr>
      <w:tr w:rsidR="00511BF3" w:rsidRPr="00D31DDF" w:rsidTr="00511BF3">
        <w:trPr>
          <w:trHeight w:val="76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physique et en réadaptation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511BF3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biologie clinique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511BF3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anatomie pathologique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radiodiagnostic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radiothérapie-oncologie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nucléaire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aigue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C21099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d'urgence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28.619,02  €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14.309,51  €</w:t>
            </w:r>
          </w:p>
        </w:tc>
      </w:tr>
      <w:tr w:rsidR="00511BF3" w:rsidRPr="00D31DDF" w:rsidTr="00C21099">
        <w:trPr>
          <w:trHeight w:val="1020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généraliste avec droits acquis visé dans la nomenclature des prestations de santé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  <w:tr w:rsidR="00511BF3" w:rsidRPr="00D31DDF" w:rsidTr="00C21099">
        <w:trPr>
          <w:trHeight w:val="78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sans titre professionnel  particulier et sans droits acquis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</w:tbl>
    <w:p w:rsidR="00791980" w:rsidRDefault="00791980" w:rsidP="00306EFD">
      <w:bookmarkStart w:id="0" w:name="_GoBack"/>
      <w:bookmarkEnd w:id="0"/>
    </w:p>
    <w:sectPr w:rsidR="00791980" w:rsidSect="00791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F3"/>
    <w:rsid w:val="000A4A6A"/>
    <w:rsid w:val="00306EFD"/>
    <w:rsid w:val="00323592"/>
    <w:rsid w:val="00511BF3"/>
    <w:rsid w:val="00526689"/>
    <w:rsid w:val="005B6BF3"/>
    <w:rsid w:val="005E6AE1"/>
    <w:rsid w:val="00791980"/>
    <w:rsid w:val="00C53DFE"/>
    <w:rsid w:val="00D2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EE97"/>
  <w15:docId w15:val="{ED6C407C-9036-484F-A2FC-C1513C46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2019-04-30T22:00:00+00:00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29</Value>
    </TaxCatchAll>
    <RIDocSummary xmlns="f15eea43-7fa7-45cf-8dc0-d5244e2cd467">Montants minimaux de remboursements des prestations reprises dans la nomenclature des prestations de santé (montants d’application pour l’année d’application 2019, année de référence = 2016)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1DF17-58FB-41D6-AACE-FE97F1A12BCA}"/>
</file>

<file path=customXml/itemProps2.xml><?xml version="1.0" encoding="utf-8"?>
<ds:datastoreItem xmlns:ds="http://schemas.openxmlformats.org/officeDocument/2006/customXml" ds:itemID="{A942CA15-61E1-4068-AC5A-6F9A2DE10B8F}"/>
</file>

<file path=customXml/itemProps3.xml><?xml version="1.0" encoding="utf-8"?>
<ds:datastoreItem xmlns:ds="http://schemas.openxmlformats.org/officeDocument/2006/customXml" ds:itemID="{DAFE0333-F03E-4164-AE57-395FF6EF6942}"/>
</file>

<file path=docProps/app.xml><?xml version="1.0" encoding="utf-8"?>
<Properties xmlns="http://schemas.openxmlformats.org/officeDocument/2006/extended-properties" xmlns:vt="http://schemas.openxmlformats.org/officeDocument/2006/docPropsVTypes">
  <Template>E7ED58D8.dotm</Template>
  <TotalTime>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Statut social du médecin - Montant minimal</vt:lpstr>
      <vt:lpstr/>
    </vt:vector>
  </TitlesOfParts>
  <Company>R.I.Z.I.V. - I.N.A.M.I.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social du médecin - Montant minimal</dc:title>
  <dc:creator>Greet Laga</dc:creator>
  <cp:lastModifiedBy>Bawin Charlène</cp:lastModifiedBy>
  <cp:revision>3</cp:revision>
  <dcterms:created xsi:type="dcterms:W3CDTF">2019-04-26T09:32:00Z</dcterms:created>
  <dcterms:modified xsi:type="dcterms:W3CDTF">2019-04-26T09:33:00Z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2225600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