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2"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309"/>
        <w:gridCol w:w="5188"/>
        <w:gridCol w:w="579"/>
        <w:gridCol w:w="676"/>
        <w:gridCol w:w="289"/>
      </w:tblGrid>
      <w:tr w:rsidR="003169F4" w:rsidRPr="003169F4" w14:paraId="5359591B" w14:textId="77777777" w:rsidTr="00FD6D88">
        <w:trPr>
          <w:cantSplit/>
        </w:trPr>
        <w:tc>
          <w:tcPr>
            <w:tcW w:w="289" w:type="dxa"/>
          </w:tcPr>
          <w:p w14:paraId="1886D3AA"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en-GB"/>
              </w:rPr>
            </w:pPr>
          </w:p>
        </w:tc>
        <w:tc>
          <w:tcPr>
            <w:tcW w:w="578" w:type="dxa"/>
          </w:tcPr>
          <w:p w14:paraId="0772D36A"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en-GB"/>
              </w:rPr>
            </w:pPr>
          </w:p>
        </w:tc>
        <w:tc>
          <w:tcPr>
            <w:tcW w:w="862" w:type="dxa"/>
          </w:tcPr>
          <w:p w14:paraId="5B25428C"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en-GB"/>
              </w:rPr>
            </w:pPr>
          </w:p>
        </w:tc>
        <w:tc>
          <w:tcPr>
            <w:tcW w:w="862" w:type="dxa"/>
          </w:tcPr>
          <w:p w14:paraId="3F76CF9E" w14:textId="77777777" w:rsidR="003169F4" w:rsidRPr="003169F4" w:rsidRDefault="003169F4" w:rsidP="003169F4">
            <w:pPr>
              <w:spacing w:after="0" w:line="240" w:lineRule="atLeast"/>
              <w:rPr>
                <w:rFonts w:ascii="Times New Roman" w:eastAsia="Times New Roman" w:hAnsi="Times New Roman" w:cs="Times New Roman"/>
                <w:i/>
                <w:color w:val="0000FF"/>
                <w:sz w:val="18"/>
                <w:szCs w:val="20"/>
                <w:lang w:val="en-GB"/>
              </w:rPr>
            </w:pPr>
          </w:p>
        </w:tc>
        <w:tc>
          <w:tcPr>
            <w:tcW w:w="6752" w:type="dxa"/>
            <w:gridSpan w:val="4"/>
          </w:tcPr>
          <w:p w14:paraId="4C07B119" w14:textId="77777777" w:rsidR="003169F4" w:rsidRPr="003169F4" w:rsidRDefault="003169F4" w:rsidP="003169F4">
            <w:pPr>
              <w:spacing w:after="0" w:line="240" w:lineRule="atLeast"/>
              <w:jc w:val="both"/>
              <w:rPr>
                <w:rFonts w:ascii="Times New Roman" w:eastAsia="Times New Roman" w:hAnsi="Times New Roman" w:cs="Times New Roman"/>
                <w:i/>
                <w:color w:val="0000FF"/>
                <w:sz w:val="18"/>
                <w:szCs w:val="20"/>
              </w:rPr>
            </w:pPr>
            <w:r w:rsidRPr="003169F4">
              <w:rPr>
                <w:rFonts w:ascii="Arial" w:eastAsia="Times New Roman" w:hAnsi="Arial" w:cs="Times New Roman"/>
                <w:i/>
                <w:color w:val="0000FF"/>
                <w:sz w:val="18"/>
                <w:szCs w:val="20"/>
              </w:rPr>
              <w:t>"A.R. 7.6.2007" (en vigueur 1.8.2007) + "A.R. 15.10.2017" (en vigueur 1.7.2017)</w:t>
            </w:r>
          </w:p>
        </w:tc>
        <w:tc>
          <w:tcPr>
            <w:tcW w:w="289" w:type="dxa"/>
            <w:vAlign w:val="bottom"/>
          </w:tcPr>
          <w:p w14:paraId="5E21D79C"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rPr>
            </w:pPr>
          </w:p>
        </w:tc>
      </w:tr>
      <w:tr w:rsidR="003169F4" w:rsidRPr="003169F4" w14:paraId="7F5E7459" w14:textId="77777777" w:rsidTr="00FD6D88">
        <w:trPr>
          <w:cantSplit/>
        </w:trPr>
        <w:tc>
          <w:tcPr>
            <w:tcW w:w="289" w:type="dxa"/>
          </w:tcPr>
          <w:p w14:paraId="25BC4E0E"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rPr>
            </w:pPr>
          </w:p>
        </w:tc>
        <w:tc>
          <w:tcPr>
            <w:tcW w:w="578" w:type="dxa"/>
          </w:tcPr>
          <w:p w14:paraId="440B427B"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rPr>
            </w:pPr>
          </w:p>
        </w:tc>
        <w:tc>
          <w:tcPr>
            <w:tcW w:w="862" w:type="dxa"/>
          </w:tcPr>
          <w:p w14:paraId="7F0248E3"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rPr>
            </w:pPr>
          </w:p>
        </w:tc>
        <w:tc>
          <w:tcPr>
            <w:tcW w:w="862" w:type="dxa"/>
          </w:tcPr>
          <w:p w14:paraId="15B3355D"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rPr>
            </w:pPr>
          </w:p>
        </w:tc>
        <w:tc>
          <w:tcPr>
            <w:tcW w:w="6752" w:type="dxa"/>
            <w:gridSpan w:val="4"/>
          </w:tcPr>
          <w:p w14:paraId="1712DEDE" w14:textId="77777777" w:rsidR="003169F4" w:rsidRPr="003169F4" w:rsidRDefault="003169F4" w:rsidP="003169F4">
            <w:pPr>
              <w:spacing w:after="0" w:line="240" w:lineRule="atLeast"/>
              <w:jc w:val="both"/>
              <w:rPr>
                <w:rFonts w:ascii="Times New Roman" w:eastAsia="Times New Roman" w:hAnsi="Times New Roman" w:cs="Times New Roman"/>
                <w:color w:val="0000FF"/>
                <w:sz w:val="20"/>
                <w:szCs w:val="20"/>
                <w:lang w:val="fr-FR"/>
              </w:rPr>
            </w:pPr>
            <w:r w:rsidRPr="003169F4">
              <w:rPr>
                <w:rFonts w:ascii="Arial" w:eastAsia="Times New Roman" w:hAnsi="Arial" w:cs="Times New Roman"/>
                <w:b/>
                <w:color w:val="0000FF"/>
                <w:sz w:val="20"/>
                <w:szCs w:val="20"/>
                <w:lang w:val="fr-FR"/>
              </w:rPr>
              <w:t>"Article 33bis. § 1</w:t>
            </w:r>
            <w:r w:rsidRPr="003169F4">
              <w:rPr>
                <w:rFonts w:ascii="Arial" w:eastAsia="Times New Roman" w:hAnsi="Arial" w:cs="Times New Roman"/>
                <w:b/>
                <w:color w:val="0000FF"/>
                <w:sz w:val="20"/>
                <w:szCs w:val="20"/>
                <w:vertAlign w:val="superscript"/>
                <w:lang w:val="fr-FR"/>
              </w:rPr>
              <w:t>er</w:t>
            </w:r>
            <w:r w:rsidRPr="003169F4">
              <w:rPr>
                <w:rFonts w:ascii="Arial" w:eastAsia="Times New Roman" w:hAnsi="Arial" w:cs="Times New Roman"/>
                <w:b/>
                <w:color w:val="0000FF"/>
                <w:sz w:val="20"/>
                <w:szCs w:val="20"/>
                <w:lang w:val="fr-FR"/>
              </w:rPr>
              <w:t>.</w:t>
            </w:r>
            <w:r w:rsidRPr="003169F4">
              <w:rPr>
                <w:rFonts w:ascii="Arial" w:eastAsia="Times New Roman" w:hAnsi="Arial" w:cs="Times New Roman"/>
                <w:color w:val="0000FF"/>
                <w:sz w:val="20"/>
                <w:szCs w:val="20"/>
                <w:lang w:val="fr-FR"/>
              </w:rPr>
              <w:t xml:space="preserve"> </w:t>
            </w:r>
            <w:r w:rsidRPr="003169F4">
              <w:rPr>
                <w:rFonts w:ascii="Arial" w:eastAsia="Times New Roman" w:hAnsi="Arial" w:cs="Arial"/>
                <w:color w:val="0000FF"/>
                <w:sz w:val="20"/>
                <w:szCs w:val="20"/>
                <w:lang w:val="fr-FR"/>
              </w:rPr>
              <w:t>Tests de biologie moléculaire sur du matériel génétique humain</w:t>
            </w:r>
            <w:r w:rsidRPr="003169F4">
              <w:rPr>
                <w:rFonts w:ascii="Times New Roman" w:eastAsia="Times New Roman" w:hAnsi="Times New Roman" w:cs="Arial"/>
                <w:color w:val="0000FF"/>
                <w:sz w:val="20"/>
                <w:szCs w:val="20"/>
                <w:lang w:val="fr-FR"/>
              </w:rPr>
              <w:t>.</w:t>
            </w:r>
            <w:r w:rsidRPr="003169F4">
              <w:rPr>
                <w:rFonts w:ascii="Arial" w:eastAsia="Times New Roman" w:hAnsi="Arial" w:cs="Times New Roman"/>
                <w:color w:val="0000FF"/>
                <w:sz w:val="20"/>
                <w:szCs w:val="20"/>
                <w:lang w:val="fr-FR"/>
              </w:rPr>
              <w:t>"</w:t>
            </w:r>
          </w:p>
        </w:tc>
        <w:tc>
          <w:tcPr>
            <w:tcW w:w="289" w:type="dxa"/>
            <w:vAlign w:val="bottom"/>
          </w:tcPr>
          <w:p w14:paraId="49FCB953"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lang w:val="fr-FR"/>
              </w:rPr>
            </w:pPr>
          </w:p>
        </w:tc>
      </w:tr>
      <w:tr w:rsidR="003169F4" w:rsidRPr="003169F4" w14:paraId="002F0F2A" w14:textId="77777777" w:rsidTr="00FD6D88">
        <w:trPr>
          <w:cantSplit/>
        </w:trPr>
        <w:tc>
          <w:tcPr>
            <w:tcW w:w="289" w:type="dxa"/>
          </w:tcPr>
          <w:p w14:paraId="65A27A4F"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578" w:type="dxa"/>
          </w:tcPr>
          <w:p w14:paraId="253B0BD5"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6541A9C4"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231AB7AB"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6752" w:type="dxa"/>
            <w:gridSpan w:val="4"/>
          </w:tcPr>
          <w:p w14:paraId="5304F170" w14:textId="77777777" w:rsidR="003169F4" w:rsidRPr="003169F4" w:rsidRDefault="003169F4" w:rsidP="003169F4">
            <w:pPr>
              <w:spacing w:after="0" w:line="240" w:lineRule="atLeast"/>
              <w:jc w:val="both"/>
              <w:rPr>
                <w:rFonts w:ascii="Times New Roman" w:eastAsia="Times New Roman" w:hAnsi="Times New Roman" w:cs="Times New Roman"/>
                <w:color w:val="0000FF"/>
                <w:sz w:val="20"/>
                <w:szCs w:val="20"/>
                <w:lang w:val="fr-FR"/>
              </w:rPr>
            </w:pPr>
          </w:p>
        </w:tc>
        <w:tc>
          <w:tcPr>
            <w:tcW w:w="289" w:type="dxa"/>
            <w:vAlign w:val="bottom"/>
          </w:tcPr>
          <w:p w14:paraId="7FAF391D"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lang w:val="fr-FR"/>
              </w:rPr>
            </w:pPr>
          </w:p>
        </w:tc>
      </w:tr>
      <w:tr w:rsidR="003169F4" w:rsidRPr="003169F4" w14:paraId="077E7D9C" w14:textId="77777777" w:rsidTr="00FD6D88">
        <w:trPr>
          <w:cantSplit/>
        </w:trPr>
        <w:tc>
          <w:tcPr>
            <w:tcW w:w="289" w:type="dxa"/>
          </w:tcPr>
          <w:p w14:paraId="28657B07"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578" w:type="dxa"/>
          </w:tcPr>
          <w:p w14:paraId="582D7AEF"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63D1FE4F"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0A161497"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6752" w:type="dxa"/>
            <w:gridSpan w:val="4"/>
          </w:tcPr>
          <w:p w14:paraId="0C2089F3" w14:textId="77777777" w:rsidR="003169F4" w:rsidRPr="003169F4" w:rsidRDefault="003169F4" w:rsidP="003169F4">
            <w:pPr>
              <w:spacing w:after="0" w:line="240" w:lineRule="atLeast"/>
              <w:jc w:val="both"/>
              <w:rPr>
                <w:rFonts w:ascii="Times New Roman" w:eastAsia="Times New Roman" w:hAnsi="Times New Roman" w:cs="Times New Roman"/>
                <w:color w:val="0000FF"/>
                <w:sz w:val="20"/>
                <w:szCs w:val="20"/>
                <w:lang w:val="fr-FR"/>
              </w:rPr>
            </w:pPr>
            <w:r w:rsidRPr="003169F4">
              <w:rPr>
                <w:rFonts w:ascii="Arial" w:eastAsia="Times New Roman" w:hAnsi="Arial" w:cs="Times New Roman"/>
                <w:i/>
                <w:color w:val="0000FF"/>
                <w:sz w:val="18"/>
                <w:szCs w:val="20"/>
                <w:lang w:val="en-GB"/>
              </w:rPr>
              <w:t>"A.R. 31.8.2009" (en vigueur 1.11.2009)</w:t>
            </w:r>
          </w:p>
        </w:tc>
        <w:tc>
          <w:tcPr>
            <w:tcW w:w="289" w:type="dxa"/>
            <w:vAlign w:val="bottom"/>
          </w:tcPr>
          <w:p w14:paraId="5758DF61"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lang w:val="fr-FR"/>
              </w:rPr>
            </w:pPr>
          </w:p>
        </w:tc>
      </w:tr>
      <w:tr w:rsidR="003169F4" w:rsidRPr="003169F4" w14:paraId="4808D2E7" w14:textId="77777777" w:rsidTr="00FD6D88">
        <w:trPr>
          <w:cantSplit/>
        </w:trPr>
        <w:tc>
          <w:tcPr>
            <w:tcW w:w="289" w:type="dxa"/>
          </w:tcPr>
          <w:p w14:paraId="1AA57655"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578" w:type="dxa"/>
          </w:tcPr>
          <w:p w14:paraId="58B9583E"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597B39A8"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675FDAE3"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6752" w:type="dxa"/>
            <w:gridSpan w:val="4"/>
          </w:tcPr>
          <w:p w14:paraId="635D36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r w:rsidRPr="003169F4">
              <w:rPr>
                <w:rFonts w:ascii="Arial" w:eastAsia="Times New Roman" w:hAnsi="Arial" w:cs="Arial"/>
                <w:color w:val="0000FF"/>
                <w:sz w:val="20"/>
                <w:szCs w:val="20"/>
                <w:lang w:val="fr-FR"/>
              </w:rPr>
              <w:t>A.</w:t>
            </w:r>
            <w:r w:rsidRPr="003169F4">
              <w:rPr>
                <w:rFonts w:ascii="Arial" w:eastAsia="Times New Roman" w:hAnsi="Arial" w:cs="Times New Roman"/>
                <w:color w:val="0000FF"/>
                <w:sz w:val="20"/>
                <w:szCs w:val="20"/>
                <w:lang w:val="fr-FR"/>
              </w:rPr>
              <w:t>"</w:t>
            </w:r>
          </w:p>
        </w:tc>
        <w:tc>
          <w:tcPr>
            <w:tcW w:w="289" w:type="dxa"/>
            <w:vAlign w:val="bottom"/>
          </w:tcPr>
          <w:p w14:paraId="09F2F0B4"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lang w:val="fr-FR"/>
              </w:rPr>
            </w:pPr>
          </w:p>
        </w:tc>
      </w:tr>
      <w:tr w:rsidR="003169F4" w:rsidRPr="003169F4" w14:paraId="7CADF6D7" w14:textId="77777777" w:rsidTr="00FD6D88">
        <w:trPr>
          <w:cantSplit/>
        </w:trPr>
        <w:tc>
          <w:tcPr>
            <w:tcW w:w="289" w:type="dxa"/>
          </w:tcPr>
          <w:p w14:paraId="158FB386"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578" w:type="dxa"/>
          </w:tcPr>
          <w:p w14:paraId="44E6D9B8"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673B50F7"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699E0DDD"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6752" w:type="dxa"/>
            <w:gridSpan w:val="4"/>
          </w:tcPr>
          <w:p w14:paraId="6F86B3F8" w14:textId="77777777" w:rsidR="003169F4" w:rsidRPr="003169F4" w:rsidRDefault="003169F4" w:rsidP="003169F4">
            <w:pPr>
              <w:spacing w:after="0" w:line="240" w:lineRule="atLeast"/>
              <w:jc w:val="both"/>
              <w:rPr>
                <w:rFonts w:ascii="Times New Roman" w:eastAsia="Times New Roman" w:hAnsi="Times New Roman" w:cs="Times New Roman"/>
                <w:color w:val="0000FF"/>
                <w:sz w:val="20"/>
                <w:szCs w:val="20"/>
                <w:lang w:val="fr-FR"/>
              </w:rPr>
            </w:pPr>
          </w:p>
        </w:tc>
        <w:tc>
          <w:tcPr>
            <w:tcW w:w="289" w:type="dxa"/>
            <w:vAlign w:val="bottom"/>
          </w:tcPr>
          <w:p w14:paraId="1DB32563"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lang w:val="fr-FR"/>
              </w:rPr>
            </w:pPr>
          </w:p>
        </w:tc>
      </w:tr>
      <w:tr w:rsidR="003169F4" w:rsidRPr="003169F4" w14:paraId="13DAB142" w14:textId="77777777" w:rsidTr="00FD6D88">
        <w:trPr>
          <w:cantSplit/>
        </w:trPr>
        <w:tc>
          <w:tcPr>
            <w:tcW w:w="289" w:type="dxa"/>
          </w:tcPr>
          <w:p w14:paraId="38E398EE"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578" w:type="dxa"/>
          </w:tcPr>
          <w:p w14:paraId="0E6EC1FF"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4A151DD1"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862" w:type="dxa"/>
          </w:tcPr>
          <w:p w14:paraId="2725AE06" w14:textId="77777777" w:rsidR="003169F4" w:rsidRPr="003169F4" w:rsidRDefault="003169F4" w:rsidP="003169F4">
            <w:pPr>
              <w:spacing w:after="0" w:line="240" w:lineRule="atLeast"/>
              <w:rPr>
                <w:rFonts w:ascii="Times New Roman" w:eastAsia="Times New Roman" w:hAnsi="Times New Roman" w:cs="Times New Roman"/>
                <w:color w:val="0000FF"/>
                <w:sz w:val="20"/>
                <w:szCs w:val="20"/>
                <w:lang w:val="fr-FR"/>
              </w:rPr>
            </w:pPr>
          </w:p>
        </w:tc>
        <w:tc>
          <w:tcPr>
            <w:tcW w:w="6752" w:type="dxa"/>
            <w:gridSpan w:val="4"/>
          </w:tcPr>
          <w:p w14:paraId="6B91E083" w14:textId="77777777" w:rsidR="003169F4" w:rsidRPr="003169F4" w:rsidRDefault="003169F4" w:rsidP="003169F4">
            <w:pPr>
              <w:spacing w:after="0" w:line="240" w:lineRule="atLeast"/>
              <w:jc w:val="both"/>
              <w:rPr>
                <w:rFonts w:ascii="Times New Roman" w:eastAsia="Times New Roman" w:hAnsi="Times New Roman" w:cs="Times New Roman"/>
                <w:color w:val="0000FF"/>
                <w:sz w:val="20"/>
                <w:szCs w:val="20"/>
                <w:lang w:val="fr-FR"/>
              </w:rPr>
            </w:pPr>
            <w:r w:rsidRPr="003169F4">
              <w:rPr>
                <w:rFonts w:ascii="Arial" w:eastAsia="Times New Roman" w:hAnsi="Arial" w:cs="Times New Roman"/>
                <w:i/>
                <w:color w:val="0000FF"/>
                <w:sz w:val="18"/>
                <w:szCs w:val="20"/>
              </w:rPr>
              <w:t>"A.R. 7.6.2007" (en vigueur 1.8.2007) + "A.R. 4.5.2010" (en vigueur 1.8.2010) + "A.R. 11.9.2016" (en vigueur 1.11.2016)</w:t>
            </w:r>
          </w:p>
        </w:tc>
        <w:tc>
          <w:tcPr>
            <w:tcW w:w="289" w:type="dxa"/>
            <w:vAlign w:val="bottom"/>
          </w:tcPr>
          <w:p w14:paraId="565EF49B" w14:textId="77777777" w:rsidR="003169F4" w:rsidRPr="003169F4" w:rsidRDefault="003169F4" w:rsidP="003169F4">
            <w:pPr>
              <w:spacing w:after="0" w:line="240" w:lineRule="atLeast"/>
              <w:jc w:val="right"/>
              <w:rPr>
                <w:rFonts w:ascii="Times New Roman" w:eastAsia="Times New Roman" w:hAnsi="Times New Roman" w:cs="Times New Roman"/>
                <w:color w:val="0000FF"/>
                <w:sz w:val="20"/>
                <w:szCs w:val="20"/>
                <w:lang w:val="fr-FR"/>
              </w:rPr>
            </w:pPr>
          </w:p>
        </w:tc>
      </w:tr>
      <w:tr w:rsidR="003169F4" w:rsidRPr="003169F4" w14:paraId="5D062ADC" w14:textId="77777777" w:rsidTr="00FD6D88">
        <w:trPr>
          <w:cantSplit/>
        </w:trPr>
        <w:tc>
          <w:tcPr>
            <w:tcW w:w="289" w:type="dxa"/>
          </w:tcPr>
          <w:p w14:paraId="47CEE7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678F22C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935B1A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588431</w:t>
            </w:r>
          </w:p>
        </w:tc>
        <w:tc>
          <w:tcPr>
            <w:tcW w:w="862" w:type="dxa"/>
          </w:tcPr>
          <w:p w14:paraId="1BEE89C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588442</w:t>
            </w:r>
          </w:p>
        </w:tc>
        <w:tc>
          <w:tcPr>
            <w:tcW w:w="5497" w:type="dxa"/>
            <w:gridSpan w:val="2"/>
          </w:tcPr>
          <w:p w14:paraId="29284CDE" w14:textId="77777777" w:rsidR="003169F4" w:rsidRPr="003169F4" w:rsidRDefault="003169F4" w:rsidP="003169F4">
            <w:pPr>
              <w:spacing w:after="0" w:line="240" w:lineRule="auto"/>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Dépistage d'anomalies acquises chromosomiques ou géniques (à l'exception du réarrangement des gènes des immunoglobulines ou des gènes du récepteur des cellules T), au moyen d'une méthode de biologie moléculaire :</w:t>
            </w:r>
          </w:p>
        </w:tc>
        <w:tc>
          <w:tcPr>
            <w:tcW w:w="579" w:type="dxa"/>
            <w:vAlign w:val="bottom"/>
          </w:tcPr>
          <w:p w14:paraId="0A19B59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759477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7185F2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2FD4DFE" w14:textId="77777777" w:rsidTr="00FD6D88">
        <w:trPr>
          <w:cantSplit/>
        </w:trPr>
        <w:tc>
          <w:tcPr>
            <w:tcW w:w="289" w:type="dxa"/>
          </w:tcPr>
          <w:p w14:paraId="50A72AC3" w14:textId="77777777" w:rsidR="003169F4" w:rsidRPr="003169F4" w:rsidRDefault="003169F4" w:rsidP="003169F4">
            <w:pPr>
              <w:spacing w:after="0" w:line="240" w:lineRule="atLeast"/>
              <w:jc w:val="both"/>
              <w:rPr>
                <w:rFonts w:ascii="Arial" w:eastAsia="Times New Roman" w:hAnsi="Arial" w:cs="Times New Roman"/>
                <w:color w:val="0000FF"/>
                <w:sz w:val="20"/>
                <w:szCs w:val="20"/>
                <w:lang w:val="fr-FR"/>
              </w:rPr>
            </w:pPr>
          </w:p>
        </w:tc>
        <w:tc>
          <w:tcPr>
            <w:tcW w:w="578" w:type="dxa"/>
          </w:tcPr>
          <w:p w14:paraId="382069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E88046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31E24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46712C2E" w14:textId="77777777" w:rsidR="003169F4" w:rsidRPr="003169F4" w:rsidRDefault="003169F4" w:rsidP="003169F4">
            <w:pPr>
              <w:spacing w:after="0" w:line="240" w:lineRule="auto"/>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dans la phase d'investigation diagnostique d'une leucémie lymphoïde aiguë, y compris le lymphome de Burkitt ou le lymphome T- ou B-lymphoblastique</w:t>
            </w:r>
          </w:p>
        </w:tc>
        <w:tc>
          <w:tcPr>
            <w:tcW w:w="579" w:type="dxa"/>
            <w:vAlign w:val="bottom"/>
          </w:tcPr>
          <w:p w14:paraId="7EB8B0C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0E63D5B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270A58C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C9CB33B" w14:textId="77777777" w:rsidTr="00FD6D88">
        <w:trPr>
          <w:cantSplit/>
        </w:trPr>
        <w:tc>
          <w:tcPr>
            <w:tcW w:w="289" w:type="dxa"/>
          </w:tcPr>
          <w:p w14:paraId="5AA5F8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C483BB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A273B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332D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C775D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rPr>
              <w:t>(Maximum 5)</w:t>
            </w:r>
            <w:r w:rsidRPr="003169F4">
              <w:rPr>
                <w:rFonts w:ascii="Arial" w:eastAsia="Times New Roman" w:hAnsi="Arial" w:cs="Arial"/>
                <w:color w:val="0000FF"/>
                <w:sz w:val="20"/>
                <w:szCs w:val="20"/>
                <w:lang w:val="fr-FR"/>
              </w:rPr>
              <w:t xml:space="preserve"> (Règle diagnostique 1, 5)</w:t>
            </w:r>
            <w:r w:rsidRPr="003169F4">
              <w:rPr>
                <w:rFonts w:ascii="Arial" w:eastAsia="Times New Roman" w:hAnsi="Arial" w:cs="Times New Roman"/>
                <w:color w:val="0000FF"/>
                <w:sz w:val="20"/>
                <w:szCs w:val="20"/>
                <w:lang w:val="fr-FR"/>
              </w:rPr>
              <w:t>"</w:t>
            </w:r>
          </w:p>
        </w:tc>
        <w:tc>
          <w:tcPr>
            <w:tcW w:w="579" w:type="dxa"/>
            <w:vAlign w:val="bottom"/>
          </w:tcPr>
          <w:p w14:paraId="5A464DC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62352B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42A0F6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2C26A30" w14:textId="77777777" w:rsidTr="00FD6D88">
        <w:trPr>
          <w:cantSplit/>
        </w:trPr>
        <w:tc>
          <w:tcPr>
            <w:tcW w:w="289" w:type="dxa"/>
          </w:tcPr>
          <w:p w14:paraId="2294EB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60B0F7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15E3B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720585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EE99E39"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9" w:type="dxa"/>
            <w:vAlign w:val="bottom"/>
          </w:tcPr>
          <w:p w14:paraId="6367FFB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7CB12C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49C7F0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BA96EE8" w14:textId="77777777" w:rsidTr="00FD6D88">
        <w:trPr>
          <w:cantSplit/>
        </w:trPr>
        <w:tc>
          <w:tcPr>
            <w:tcW w:w="289" w:type="dxa"/>
          </w:tcPr>
          <w:p w14:paraId="27709F3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697AF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43C80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0102A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730E8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w:t>
            </w:r>
          </w:p>
        </w:tc>
        <w:tc>
          <w:tcPr>
            <w:tcW w:w="289" w:type="dxa"/>
            <w:vAlign w:val="bottom"/>
          </w:tcPr>
          <w:p w14:paraId="3A4B091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EE909C0" w14:textId="77777777" w:rsidTr="00FD6D88">
        <w:trPr>
          <w:cantSplit/>
        </w:trPr>
        <w:tc>
          <w:tcPr>
            <w:tcW w:w="289" w:type="dxa"/>
          </w:tcPr>
          <w:p w14:paraId="5E109E2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3E9069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3309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588453</w:t>
            </w:r>
          </w:p>
        </w:tc>
        <w:tc>
          <w:tcPr>
            <w:tcW w:w="862" w:type="dxa"/>
          </w:tcPr>
          <w:p w14:paraId="51FDBD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588464</w:t>
            </w:r>
          </w:p>
        </w:tc>
        <w:tc>
          <w:tcPr>
            <w:tcW w:w="5497" w:type="dxa"/>
            <w:gridSpan w:val="2"/>
          </w:tcPr>
          <w:p w14:paraId="0E52C0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d'anomalies acquises chromosomiques ou géniques (à l'exception du réarrangement des gènes des immunoglobulines ou des gènes du récepteur cellule T), au moyen d'une méthode de biologie moléculaire :</w:t>
            </w:r>
          </w:p>
        </w:tc>
        <w:tc>
          <w:tcPr>
            <w:tcW w:w="579" w:type="dxa"/>
            <w:vAlign w:val="bottom"/>
          </w:tcPr>
          <w:p w14:paraId="17B5B68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12886E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ACB28C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F65F6EB" w14:textId="77777777" w:rsidTr="00FD6D88">
        <w:trPr>
          <w:cantSplit/>
        </w:trPr>
        <w:tc>
          <w:tcPr>
            <w:tcW w:w="289" w:type="dxa"/>
          </w:tcPr>
          <w:p w14:paraId="2D27FD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2339B9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0E4D62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5F7ADF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9D8DD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dans la phase d'investigation diagnostique d'une affection lymphoïde chronique (lymphome non-Hodgkinien, leucémie lymphoïde chronique, myélome multiple), à l'exclusion d'une leucémie aiguë, du lymphome de Burkitt, ou des lymphomes lymphoblastiques B ou d'une anémie réfractaire avec exès de blaste (AREB)</w:t>
            </w:r>
          </w:p>
        </w:tc>
        <w:tc>
          <w:tcPr>
            <w:tcW w:w="579" w:type="dxa"/>
            <w:vAlign w:val="bottom"/>
          </w:tcPr>
          <w:p w14:paraId="7FB0A79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371B8E7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3735A0C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03E44BC" w14:textId="77777777" w:rsidTr="00FD6D88">
        <w:trPr>
          <w:cantSplit/>
        </w:trPr>
        <w:tc>
          <w:tcPr>
            <w:tcW w:w="289" w:type="dxa"/>
          </w:tcPr>
          <w:p w14:paraId="25BE5C2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2E31D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DE1AC0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92042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DB6241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(Règle diagnostique 1, 6)</w:t>
            </w:r>
          </w:p>
        </w:tc>
        <w:tc>
          <w:tcPr>
            <w:tcW w:w="579" w:type="dxa"/>
            <w:vAlign w:val="bottom"/>
          </w:tcPr>
          <w:p w14:paraId="1F922FC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63F1D4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E53645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275A1C3" w14:textId="77777777" w:rsidTr="00FD6D88">
        <w:trPr>
          <w:cantSplit/>
        </w:trPr>
        <w:tc>
          <w:tcPr>
            <w:tcW w:w="289" w:type="dxa"/>
          </w:tcPr>
          <w:p w14:paraId="4FDFD15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86FBA4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14AC37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C3955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E8426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2ECC006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338558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0336A57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DC1EF1F" w14:textId="77777777" w:rsidTr="00FD6D88">
        <w:trPr>
          <w:cantSplit/>
        </w:trPr>
        <w:tc>
          <w:tcPr>
            <w:tcW w:w="289" w:type="dxa"/>
          </w:tcPr>
          <w:p w14:paraId="55CB9B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F0BBB1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015941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588475</w:t>
            </w:r>
          </w:p>
        </w:tc>
        <w:tc>
          <w:tcPr>
            <w:tcW w:w="862" w:type="dxa"/>
          </w:tcPr>
          <w:p w14:paraId="56DDE58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588486</w:t>
            </w:r>
          </w:p>
        </w:tc>
        <w:tc>
          <w:tcPr>
            <w:tcW w:w="5497" w:type="dxa"/>
            <w:gridSpan w:val="2"/>
          </w:tcPr>
          <w:p w14:paraId="19BB635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du réarrangement des gènes des immunoglobulines ou des gènes du récepteur -T au moyen d'une méthode de biologie moléculaire :</w:t>
            </w:r>
          </w:p>
        </w:tc>
        <w:tc>
          <w:tcPr>
            <w:tcW w:w="579" w:type="dxa"/>
            <w:vAlign w:val="bottom"/>
          </w:tcPr>
          <w:p w14:paraId="44DE7B9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637FCD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CEA90C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D6AEB2F" w14:textId="77777777" w:rsidTr="00FD6D88">
        <w:trPr>
          <w:cantSplit/>
        </w:trPr>
        <w:tc>
          <w:tcPr>
            <w:tcW w:w="289" w:type="dxa"/>
          </w:tcPr>
          <w:p w14:paraId="73FF72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9DD08F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FAEB9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D1C1E1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ABBEA1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dans la phase d'investigation diagnostique d'une leucémie lymphoïde chronique ou d'un lymphome non-Hodgkinien (à l'exclusion d'une leucémie aiguë, d'un lymphome de Burkitt ou de lymphomes lymphoblastiques T- ou B)</w:t>
            </w:r>
          </w:p>
        </w:tc>
        <w:tc>
          <w:tcPr>
            <w:tcW w:w="579" w:type="dxa"/>
            <w:vAlign w:val="bottom"/>
          </w:tcPr>
          <w:p w14:paraId="660F7C7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7B26EFD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1FCB182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7D04B43" w14:textId="77777777" w:rsidTr="00FD6D88">
        <w:trPr>
          <w:cantSplit/>
        </w:trPr>
        <w:tc>
          <w:tcPr>
            <w:tcW w:w="289" w:type="dxa"/>
          </w:tcPr>
          <w:p w14:paraId="19CD41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2545DF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9A4FB3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94608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4EC023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(Règle diagnostique 1, 7)</w:t>
            </w:r>
            <w:r w:rsidRPr="003169F4">
              <w:rPr>
                <w:rFonts w:ascii="Arial" w:eastAsia="Times New Roman" w:hAnsi="Arial" w:cs="Times New Roman"/>
                <w:color w:val="0000FF"/>
                <w:sz w:val="20"/>
                <w:szCs w:val="20"/>
                <w:lang w:val="fr-FR"/>
              </w:rPr>
              <w:t>"</w:t>
            </w:r>
          </w:p>
        </w:tc>
        <w:tc>
          <w:tcPr>
            <w:tcW w:w="579" w:type="dxa"/>
            <w:vAlign w:val="bottom"/>
          </w:tcPr>
          <w:p w14:paraId="3C210CB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AF2050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1B6AB2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22ED60C" w14:textId="77777777" w:rsidTr="00FD6D88">
        <w:trPr>
          <w:cantSplit/>
        </w:trPr>
        <w:tc>
          <w:tcPr>
            <w:tcW w:w="289" w:type="dxa"/>
          </w:tcPr>
          <w:p w14:paraId="7CE4123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49CCA9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E15A6B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A90D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37E67D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33633DB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14434D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0AB998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225EB27" w14:textId="77777777" w:rsidTr="00FD6D88">
        <w:trPr>
          <w:cantSplit/>
        </w:trPr>
        <w:tc>
          <w:tcPr>
            <w:tcW w:w="289" w:type="dxa"/>
          </w:tcPr>
          <w:p w14:paraId="19D65A3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F4F0B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67637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03F009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C06297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 + "A.R. 11.9.2016" (en vigueur 1.11.2016)</w:t>
            </w:r>
          </w:p>
        </w:tc>
        <w:tc>
          <w:tcPr>
            <w:tcW w:w="289" w:type="dxa"/>
            <w:vAlign w:val="bottom"/>
          </w:tcPr>
          <w:p w14:paraId="0371DC8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08120BB" w14:textId="77777777" w:rsidTr="00FD6D88">
        <w:trPr>
          <w:cantSplit/>
        </w:trPr>
        <w:tc>
          <w:tcPr>
            <w:tcW w:w="289" w:type="dxa"/>
          </w:tcPr>
          <w:p w14:paraId="43BB154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7B2C240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76EF53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588490</w:t>
            </w:r>
          </w:p>
        </w:tc>
        <w:tc>
          <w:tcPr>
            <w:tcW w:w="862" w:type="dxa"/>
          </w:tcPr>
          <w:p w14:paraId="26C1FC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588501</w:t>
            </w:r>
          </w:p>
        </w:tc>
        <w:tc>
          <w:tcPr>
            <w:tcW w:w="5497" w:type="dxa"/>
            <w:gridSpan w:val="2"/>
          </w:tcPr>
          <w:p w14:paraId="7AFAB31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du réarrangement des gènes des immunoglobulines ou des gènes du récepteur -T au moyen d'une méthode de biologie moléculaire :</w:t>
            </w:r>
          </w:p>
        </w:tc>
        <w:tc>
          <w:tcPr>
            <w:tcW w:w="579" w:type="dxa"/>
            <w:vAlign w:val="bottom"/>
          </w:tcPr>
          <w:p w14:paraId="7EB5E54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32ABAB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94A3FD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B7B6FC5" w14:textId="77777777" w:rsidTr="00FD6D88">
        <w:trPr>
          <w:cantSplit/>
        </w:trPr>
        <w:tc>
          <w:tcPr>
            <w:tcW w:w="289" w:type="dxa"/>
          </w:tcPr>
          <w:p w14:paraId="24D1942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72D7D8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7346F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A50B8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3B76D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dans la phase d'investigation diagnostique d'une leucémie lymphoblastique aiguë, d'un lymphome de Burkitt ou de lymphomes lymphoblastiques -T ou -B</w:t>
            </w:r>
          </w:p>
        </w:tc>
        <w:tc>
          <w:tcPr>
            <w:tcW w:w="579" w:type="dxa"/>
            <w:vAlign w:val="bottom"/>
          </w:tcPr>
          <w:p w14:paraId="5F00953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3469CF9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5A4D1DC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9C09A0C" w14:textId="77777777" w:rsidTr="00FD6D88">
        <w:trPr>
          <w:cantSplit/>
        </w:trPr>
        <w:tc>
          <w:tcPr>
            <w:tcW w:w="289" w:type="dxa"/>
          </w:tcPr>
          <w:p w14:paraId="297BBFA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B74DA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CF19F2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C746B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94DB5E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(Règle diagnostique 1, 7)</w:t>
            </w:r>
          </w:p>
        </w:tc>
        <w:tc>
          <w:tcPr>
            <w:tcW w:w="579" w:type="dxa"/>
            <w:vAlign w:val="bottom"/>
          </w:tcPr>
          <w:p w14:paraId="5548C1B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33CCFB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EFA775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FC66629" w14:textId="77777777" w:rsidTr="00FD6D88">
        <w:trPr>
          <w:cantSplit/>
        </w:trPr>
        <w:tc>
          <w:tcPr>
            <w:tcW w:w="289" w:type="dxa"/>
          </w:tcPr>
          <w:p w14:paraId="4CE2919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AF8B99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2F44D8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14F7A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1250CD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756B507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0FA47A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0C9AF56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7C0755B" w14:textId="77777777" w:rsidTr="00FD6D88">
        <w:trPr>
          <w:cantSplit/>
        </w:trPr>
        <w:tc>
          <w:tcPr>
            <w:tcW w:w="289" w:type="dxa"/>
          </w:tcPr>
          <w:p w14:paraId="2B0E7D3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5E6D7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3F4F3A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588512</w:t>
            </w:r>
          </w:p>
        </w:tc>
        <w:tc>
          <w:tcPr>
            <w:tcW w:w="862" w:type="dxa"/>
          </w:tcPr>
          <w:p w14:paraId="473560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588523</w:t>
            </w:r>
          </w:p>
        </w:tc>
        <w:tc>
          <w:tcPr>
            <w:tcW w:w="5497" w:type="dxa"/>
            <w:gridSpan w:val="2"/>
          </w:tcPr>
          <w:p w14:paraId="65CBDB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d'anomalies acquises chromosomiques ou géniques (à l'exception des réarrangements des gènes des immunoglobulines et du récepteur -T) au moyen d'une méthode de biologie moléculaire :</w:t>
            </w:r>
          </w:p>
        </w:tc>
        <w:tc>
          <w:tcPr>
            <w:tcW w:w="579" w:type="dxa"/>
            <w:vAlign w:val="bottom"/>
          </w:tcPr>
          <w:p w14:paraId="58A98AE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B4320B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94A703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3C0A4229" w14:textId="77777777" w:rsidTr="00FD6D88">
        <w:trPr>
          <w:cantSplit/>
        </w:trPr>
        <w:tc>
          <w:tcPr>
            <w:tcW w:w="289" w:type="dxa"/>
          </w:tcPr>
          <w:p w14:paraId="4D62E9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6A2758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183C8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7A859B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08775BC"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val="fr-FR"/>
              </w:rPr>
              <w:t xml:space="preserve">dans la phase d'investigation diagnostique d'une </w:t>
            </w:r>
            <w:r w:rsidRPr="003169F4">
              <w:rPr>
                <w:rFonts w:ascii="Arial" w:eastAsia="Times New Roman" w:hAnsi="Arial" w:cs="Arial"/>
                <w:color w:val="0000FF"/>
                <w:sz w:val="20"/>
                <w:szCs w:val="20"/>
                <w:lang w:eastAsia="nl-BE"/>
              </w:rPr>
              <w:t>néoplasie myéloproliférative chronique</w:t>
            </w:r>
          </w:p>
        </w:tc>
        <w:tc>
          <w:tcPr>
            <w:tcW w:w="579" w:type="dxa"/>
            <w:vAlign w:val="bottom"/>
          </w:tcPr>
          <w:p w14:paraId="77BC9CF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19DD95C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3500</w:t>
            </w:r>
          </w:p>
        </w:tc>
        <w:tc>
          <w:tcPr>
            <w:tcW w:w="289" w:type="dxa"/>
            <w:vAlign w:val="bottom"/>
          </w:tcPr>
          <w:p w14:paraId="64C6DC9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0CD2660" w14:textId="77777777" w:rsidTr="00FD6D88">
        <w:trPr>
          <w:cantSplit/>
        </w:trPr>
        <w:tc>
          <w:tcPr>
            <w:tcW w:w="289" w:type="dxa"/>
          </w:tcPr>
          <w:p w14:paraId="7098F18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67722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36EEF2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1D8A3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F0714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(Règle diagnostique 1, 8)</w:t>
            </w:r>
            <w:r w:rsidRPr="003169F4">
              <w:rPr>
                <w:rFonts w:ascii="Arial" w:eastAsia="Times New Roman" w:hAnsi="Arial" w:cs="Times New Roman"/>
                <w:color w:val="0000FF"/>
                <w:sz w:val="20"/>
                <w:szCs w:val="20"/>
                <w:lang w:val="fr-FR"/>
              </w:rPr>
              <w:t>"</w:t>
            </w:r>
          </w:p>
        </w:tc>
        <w:tc>
          <w:tcPr>
            <w:tcW w:w="579" w:type="dxa"/>
            <w:vAlign w:val="bottom"/>
          </w:tcPr>
          <w:p w14:paraId="1DABD47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401B28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02A460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7044CA1" w14:textId="77777777" w:rsidTr="00FD6D88">
        <w:trPr>
          <w:cantSplit/>
        </w:trPr>
        <w:tc>
          <w:tcPr>
            <w:tcW w:w="289" w:type="dxa"/>
          </w:tcPr>
          <w:p w14:paraId="394614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0942EF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FDA150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C6514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CC2932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2F9506F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33998A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3A25E3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882676C" w14:textId="77777777" w:rsidTr="00FD6D88">
        <w:trPr>
          <w:cantSplit/>
        </w:trPr>
        <w:tc>
          <w:tcPr>
            <w:tcW w:w="289" w:type="dxa"/>
          </w:tcPr>
          <w:p w14:paraId="1AFC8A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5511B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38600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6CB5A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25F62F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 xml:space="preserve">"A.R. 17.5.2019" (en vigueur 1.7.2019) </w:t>
            </w:r>
          </w:p>
        </w:tc>
        <w:tc>
          <w:tcPr>
            <w:tcW w:w="289" w:type="dxa"/>
            <w:vAlign w:val="bottom"/>
          </w:tcPr>
          <w:p w14:paraId="50639CC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876388B" w14:textId="77777777" w:rsidTr="00FD6D88">
        <w:trPr>
          <w:cantSplit/>
        </w:trPr>
        <w:tc>
          <w:tcPr>
            <w:tcW w:w="289" w:type="dxa"/>
          </w:tcPr>
          <w:p w14:paraId="5DC647A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1AB73B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2696DA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587915</w:t>
            </w:r>
          </w:p>
        </w:tc>
        <w:tc>
          <w:tcPr>
            <w:tcW w:w="862" w:type="dxa"/>
          </w:tcPr>
          <w:p w14:paraId="219F8FB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587926</w:t>
            </w:r>
          </w:p>
        </w:tc>
        <w:tc>
          <w:tcPr>
            <w:tcW w:w="5497" w:type="dxa"/>
            <w:gridSpan w:val="2"/>
          </w:tcPr>
          <w:p w14:paraId="0159D56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d’une mutation ponctuelle acquise au moyen d’une méthode de biologie moléculaire dans la phase d’investigation diagnostique d’une tumeur solide non lymphoïde et non-myéloïde</w:t>
            </w:r>
          </w:p>
        </w:tc>
        <w:tc>
          <w:tcPr>
            <w:tcW w:w="579" w:type="dxa"/>
            <w:vAlign w:val="bottom"/>
          </w:tcPr>
          <w:p w14:paraId="6E5C7A1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6CC42AC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1800</w:t>
            </w:r>
          </w:p>
        </w:tc>
        <w:tc>
          <w:tcPr>
            <w:tcW w:w="289" w:type="dxa"/>
            <w:vAlign w:val="bottom"/>
          </w:tcPr>
          <w:p w14:paraId="3CAB089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B98CA7D" w14:textId="77777777" w:rsidTr="00FD6D88">
        <w:trPr>
          <w:cantSplit/>
        </w:trPr>
        <w:tc>
          <w:tcPr>
            <w:tcW w:w="289" w:type="dxa"/>
          </w:tcPr>
          <w:p w14:paraId="3A63E73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5AAF89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B0F5BC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740872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18CF2C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(Règle de cumul 5) (Règle diagnostique 1, 13)"</w:t>
            </w:r>
          </w:p>
        </w:tc>
        <w:tc>
          <w:tcPr>
            <w:tcW w:w="579" w:type="dxa"/>
            <w:vAlign w:val="bottom"/>
          </w:tcPr>
          <w:p w14:paraId="274A847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0C8068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4AFE95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CBC97A8" w14:textId="77777777" w:rsidTr="00FD6D88">
        <w:trPr>
          <w:cantSplit/>
        </w:trPr>
        <w:tc>
          <w:tcPr>
            <w:tcW w:w="289" w:type="dxa"/>
          </w:tcPr>
          <w:p w14:paraId="1F9CE3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0C6A67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EC7D5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E9069B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5344A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3218133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0A6C44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8C3DB2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9F2D404" w14:textId="77777777" w:rsidTr="00FD6D88">
        <w:trPr>
          <w:cantSplit/>
        </w:trPr>
        <w:tc>
          <w:tcPr>
            <w:tcW w:w="289" w:type="dxa"/>
          </w:tcPr>
          <w:p w14:paraId="3A12CBF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E289F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779BFE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4C361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68CA6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 + "A.R. 17.5.2019" (en vigueur 1.7.2019)</w:t>
            </w:r>
          </w:p>
        </w:tc>
        <w:tc>
          <w:tcPr>
            <w:tcW w:w="289" w:type="dxa"/>
            <w:vAlign w:val="bottom"/>
          </w:tcPr>
          <w:p w14:paraId="7CEDCD8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021B6E7" w14:textId="77777777" w:rsidTr="00FD6D88">
        <w:trPr>
          <w:cantSplit/>
        </w:trPr>
        <w:tc>
          <w:tcPr>
            <w:tcW w:w="289" w:type="dxa"/>
          </w:tcPr>
          <w:p w14:paraId="03BC6F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6F19D6D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D5438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588534</w:t>
            </w:r>
          </w:p>
        </w:tc>
        <w:tc>
          <w:tcPr>
            <w:tcW w:w="862" w:type="dxa"/>
          </w:tcPr>
          <w:p w14:paraId="330FD3D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588545</w:t>
            </w:r>
          </w:p>
        </w:tc>
        <w:tc>
          <w:tcPr>
            <w:tcW w:w="5497" w:type="dxa"/>
            <w:gridSpan w:val="2"/>
          </w:tcPr>
          <w:p w14:paraId="013F9EE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d'anomalies chromosomiques ou géniques acquises à l’exception d’une mutation ponctuelle au moyen d'une méthode de biologie moléculaire, dans la phase d'investigation diagnostique d'une tumeur solide non-lymphoïde et non-myéloïde</w:t>
            </w:r>
          </w:p>
        </w:tc>
        <w:tc>
          <w:tcPr>
            <w:tcW w:w="579" w:type="dxa"/>
            <w:vAlign w:val="bottom"/>
          </w:tcPr>
          <w:p w14:paraId="00BFC0B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574FDF5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2E37721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9716FD9" w14:textId="77777777" w:rsidTr="00FD6D88">
        <w:trPr>
          <w:cantSplit/>
        </w:trPr>
        <w:tc>
          <w:tcPr>
            <w:tcW w:w="289" w:type="dxa"/>
          </w:tcPr>
          <w:p w14:paraId="487272C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9A9A1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BA731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81969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1F8BEC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sym w:font="Symbol" w:char="F0B2"/>
            </w:r>
            <w:r w:rsidRPr="003169F4">
              <w:rPr>
                <w:rFonts w:ascii="Arial" w:eastAsia="Times New Roman" w:hAnsi="Arial" w:cs="Arial"/>
                <w:color w:val="0000FF"/>
                <w:sz w:val="20"/>
                <w:szCs w:val="20"/>
                <w:lang w:val="fr-FR"/>
              </w:rPr>
              <w:t>(Règle de cumul 5) (Règle diagnostique 1, 13)"</w:t>
            </w:r>
          </w:p>
        </w:tc>
        <w:tc>
          <w:tcPr>
            <w:tcW w:w="579" w:type="dxa"/>
            <w:vAlign w:val="bottom"/>
          </w:tcPr>
          <w:p w14:paraId="0EBB044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7A0C00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CF4E13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4EAC5BF" w14:textId="77777777" w:rsidTr="00FD6D88">
        <w:trPr>
          <w:cantSplit/>
        </w:trPr>
        <w:tc>
          <w:tcPr>
            <w:tcW w:w="289" w:type="dxa"/>
          </w:tcPr>
          <w:p w14:paraId="1FDCA2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E4E7F8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47FA7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03F2A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254D0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1AD7DA3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5DB52B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A01DF9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3D72C45D" w14:textId="77777777" w:rsidTr="00FD6D88">
        <w:trPr>
          <w:cantSplit/>
        </w:trPr>
        <w:tc>
          <w:tcPr>
            <w:tcW w:w="289" w:type="dxa"/>
          </w:tcPr>
          <w:p w14:paraId="5DB104D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B132E0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9DA9E4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589713</w:t>
            </w:r>
          </w:p>
        </w:tc>
        <w:tc>
          <w:tcPr>
            <w:tcW w:w="862" w:type="dxa"/>
          </w:tcPr>
          <w:p w14:paraId="32F7303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589724</w:t>
            </w:r>
          </w:p>
        </w:tc>
        <w:tc>
          <w:tcPr>
            <w:tcW w:w="5497" w:type="dxa"/>
            <w:gridSpan w:val="2"/>
          </w:tcPr>
          <w:p w14:paraId="50014B5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Supprimée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17.5.2019 (en vigueur 1.7.2019)</w:t>
            </w:r>
          </w:p>
        </w:tc>
        <w:tc>
          <w:tcPr>
            <w:tcW w:w="579" w:type="dxa"/>
            <w:vAlign w:val="bottom"/>
          </w:tcPr>
          <w:p w14:paraId="5CB49D5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8046CF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CD61F1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42D459D" w14:textId="77777777" w:rsidTr="00FD6D88">
        <w:trPr>
          <w:cantSplit/>
        </w:trPr>
        <w:tc>
          <w:tcPr>
            <w:tcW w:w="289" w:type="dxa"/>
          </w:tcPr>
          <w:p w14:paraId="76E400E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4042F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F9002D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2C9B8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FB3965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579B626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F1B826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D6699F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4F4B8B8" w14:textId="77777777" w:rsidTr="00FD6D88">
        <w:trPr>
          <w:cantSplit/>
        </w:trPr>
        <w:tc>
          <w:tcPr>
            <w:tcW w:w="289" w:type="dxa"/>
          </w:tcPr>
          <w:p w14:paraId="17D46A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AFF1D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0C8E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589691</w:t>
            </w:r>
          </w:p>
        </w:tc>
        <w:tc>
          <w:tcPr>
            <w:tcW w:w="862" w:type="dxa"/>
          </w:tcPr>
          <w:p w14:paraId="54CED07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589702</w:t>
            </w:r>
          </w:p>
        </w:tc>
        <w:tc>
          <w:tcPr>
            <w:tcW w:w="5497" w:type="dxa"/>
            <w:gridSpan w:val="2"/>
          </w:tcPr>
          <w:p w14:paraId="1D216E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Supprimée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11.9.2016 (en vigueur 1.11.2016)</w:t>
            </w:r>
          </w:p>
        </w:tc>
        <w:tc>
          <w:tcPr>
            <w:tcW w:w="579" w:type="dxa"/>
            <w:vAlign w:val="bottom"/>
          </w:tcPr>
          <w:p w14:paraId="26917BD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648578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0526B8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0C6BECD" w14:textId="77777777" w:rsidTr="00FD6D88">
        <w:trPr>
          <w:cantSplit/>
        </w:trPr>
        <w:tc>
          <w:tcPr>
            <w:tcW w:w="289" w:type="dxa"/>
          </w:tcPr>
          <w:p w14:paraId="7B5F43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09B821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DA93A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46066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14B487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70274F1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F1169F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A19F48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8389352" w14:textId="77777777" w:rsidTr="00FD6D88">
        <w:trPr>
          <w:cantSplit/>
        </w:trPr>
        <w:tc>
          <w:tcPr>
            <w:tcW w:w="289" w:type="dxa"/>
          </w:tcPr>
          <w:p w14:paraId="43929D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AB33D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95228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588556</w:t>
            </w:r>
          </w:p>
        </w:tc>
        <w:tc>
          <w:tcPr>
            <w:tcW w:w="862" w:type="dxa"/>
          </w:tcPr>
          <w:p w14:paraId="5FD6A3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588560</w:t>
            </w:r>
          </w:p>
        </w:tc>
        <w:tc>
          <w:tcPr>
            <w:tcW w:w="5497" w:type="dxa"/>
            <w:gridSpan w:val="2"/>
          </w:tcPr>
          <w:p w14:paraId="4845BBFD" w14:textId="77777777" w:rsidR="003169F4" w:rsidRPr="003169F4" w:rsidRDefault="003169F4" w:rsidP="003169F4">
            <w:pPr>
              <w:spacing w:after="0" w:line="240" w:lineRule="auto"/>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Supprimée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17.5.2019 (en vigueur 1.7.2019)</w:t>
            </w:r>
          </w:p>
        </w:tc>
        <w:tc>
          <w:tcPr>
            <w:tcW w:w="579" w:type="dxa"/>
            <w:vAlign w:val="bottom"/>
          </w:tcPr>
          <w:p w14:paraId="3649C24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6AE46A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6D944F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025D5F7" w14:textId="77777777" w:rsidTr="00FD6D88">
        <w:trPr>
          <w:cantSplit/>
        </w:trPr>
        <w:tc>
          <w:tcPr>
            <w:tcW w:w="289" w:type="dxa"/>
          </w:tcPr>
          <w:p w14:paraId="2D78A2D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80B8A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CE9CB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A5EBE0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FAC9FB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7C78A19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ADB59A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0C0BEA3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DBA7A14" w14:textId="77777777" w:rsidTr="00FD6D88">
        <w:trPr>
          <w:cantSplit/>
        </w:trPr>
        <w:tc>
          <w:tcPr>
            <w:tcW w:w="289" w:type="dxa"/>
          </w:tcPr>
          <w:p w14:paraId="068E3A3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95C803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CAF79D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589831</w:t>
            </w:r>
          </w:p>
        </w:tc>
        <w:tc>
          <w:tcPr>
            <w:tcW w:w="862" w:type="dxa"/>
          </w:tcPr>
          <w:p w14:paraId="42E258B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589842</w:t>
            </w:r>
          </w:p>
        </w:tc>
        <w:tc>
          <w:tcPr>
            <w:tcW w:w="5497" w:type="dxa"/>
            <w:gridSpan w:val="2"/>
          </w:tcPr>
          <w:p w14:paraId="0071567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Supprimée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17.5.2019 (en vigueur 1.7.2019)</w:t>
            </w:r>
          </w:p>
        </w:tc>
        <w:tc>
          <w:tcPr>
            <w:tcW w:w="579" w:type="dxa"/>
            <w:vAlign w:val="bottom"/>
          </w:tcPr>
          <w:p w14:paraId="170FF19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9B43B8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25D3B5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209E9A5" w14:textId="77777777" w:rsidTr="00FD6D88">
        <w:trPr>
          <w:cantSplit/>
        </w:trPr>
        <w:tc>
          <w:tcPr>
            <w:tcW w:w="289" w:type="dxa"/>
          </w:tcPr>
          <w:p w14:paraId="75EA4CA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88C42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7E483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483CFB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FC4FC4C" w14:textId="77777777" w:rsidR="003169F4" w:rsidRPr="003169F4" w:rsidRDefault="003169F4" w:rsidP="003169F4">
            <w:pPr>
              <w:spacing w:after="0" w:line="240" w:lineRule="atLeast"/>
              <w:jc w:val="both"/>
              <w:rPr>
                <w:rFonts w:ascii="Arial" w:eastAsia="Times New Roman" w:hAnsi="Arial" w:cs="Times New Roman"/>
                <w:color w:val="0000FF"/>
                <w:sz w:val="20"/>
                <w:szCs w:val="20"/>
                <w:lang w:val="fr-FR"/>
              </w:rPr>
            </w:pPr>
          </w:p>
        </w:tc>
        <w:tc>
          <w:tcPr>
            <w:tcW w:w="579" w:type="dxa"/>
            <w:vAlign w:val="bottom"/>
          </w:tcPr>
          <w:p w14:paraId="630FAE6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BA2612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F754CA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43490CB" w14:textId="77777777" w:rsidTr="00FD6D88">
        <w:trPr>
          <w:cantSplit/>
        </w:trPr>
        <w:tc>
          <w:tcPr>
            <w:tcW w:w="289" w:type="dxa"/>
          </w:tcPr>
          <w:p w14:paraId="3155566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1DF8F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8872C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4CB579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7EC70BC"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w:t>
            </w:r>
          </w:p>
        </w:tc>
        <w:tc>
          <w:tcPr>
            <w:tcW w:w="289" w:type="dxa"/>
            <w:vAlign w:val="bottom"/>
          </w:tcPr>
          <w:p w14:paraId="34ADA23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0601CD0" w14:textId="77777777" w:rsidTr="00FD6D88">
        <w:trPr>
          <w:cantSplit/>
        </w:trPr>
        <w:tc>
          <w:tcPr>
            <w:tcW w:w="289" w:type="dxa"/>
          </w:tcPr>
          <w:p w14:paraId="6FA35E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696ACC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2E4E4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588571</w:t>
            </w:r>
          </w:p>
        </w:tc>
        <w:tc>
          <w:tcPr>
            <w:tcW w:w="862" w:type="dxa"/>
          </w:tcPr>
          <w:p w14:paraId="287D82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588582</w:t>
            </w:r>
          </w:p>
        </w:tc>
        <w:tc>
          <w:tcPr>
            <w:tcW w:w="5497" w:type="dxa"/>
            <w:gridSpan w:val="2"/>
          </w:tcPr>
          <w:p w14:paraId="71F26C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d'anomalies acquises chromosomiques ou géniques au moyen d'une méthode de biologie moléculaire pour le suivi d'une affection lymphoïde ou myéloïde, à l'exception d'une leucémie myéloïde chronique, pour laquelle les anomalies concernées ont été établies dans la phase d'investigation diagnostique et pour laquelle un traitement à but curatif est instauré</w:t>
            </w:r>
          </w:p>
        </w:tc>
        <w:tc>
          <w:tcPr>
            <w:tcW w:w="579" w:type="dxa"/>
            <w:vAlign w:val="bottom"/>
          </w:tcPr>
          <w:p w14:paraId="7C33DE2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6CDDC0F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12401B3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E405782" w14:textId="77777777" w:rsidTr="00FD6D88">
        <w:trPr>
          <w:cantSplit/>
        </w:trPr>
        <w:tc>
          <w:tcPr>
            <w:tcW w:w="289" w:type="dxa"/>
          </w:tcPr>
          <w:p w14:paraId="423E34A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775A88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7CF2B0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1B3235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05F41A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 (Règle diagnostique 9)</w:t>
            </w:r>
            <w:r w:rsidRPr="003169F4">
              <w:rPr>
                <w:rFonts w:ascii="Arial" w:eastAsia="Times New Roman" w:hAnsi="Arial" w:cs="Times New Roman"/>
                <w:color w:val="0000FF"/>
                <w:sz w:val="20"/>
                <w:szCs w:val="20"/>
                <w:lang w:val="fr-FR"/>
              </w:rPr>
              <w:t xml:space="preserve"> "</w:t>
            </w:r>
          </w:p>
        </w:tc>
        <w:tc>
          <w:tcPr>
            <w:tcW w:w="579" w:type="dxa"/>
            <w:vAlign w:val="bottom"/>
          </w:tcPr>
          <w:p w14:paraId="4166925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708D1F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86B0F8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57A77AB" w14:textId="77777777" w:rsidTr="00FD6D88">
        <w:trPr>
          <w:cantSplit/>
        </w:trPr>
        <w:tc>
          <w:tcPr>
            <w:tcW w:w="289" w:type="dxa"/>
          </w:tcPr>
          <w:p w14:paraId="1569F46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CD246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E194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E195FB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E78EEF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6074D96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DC4B2B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E09B53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F7C1307" w14:textId="77777777" w:rsidTr="00FD6D88">
        <w:trPr>
          <w:cantSplit/>
        </w:trPr>
        <w:tc>
          <w:tcPr>
            <w:tcW w:w="289" w:type="dxa"/>
          </w:tcPr>
          <w:p w14:paraId="564DAFD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D609BD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471F7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588593</w:t>
            </w:r>
          </w:p>
        </w:tc>
        <w:tc>
          <w:tcPr>
            <w:tcW w:w="862" w:type="dxa"/>
          </w:tcPr>
          <w:p w14:paraId="098EA6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588604</w:t>
            </w:r>
          </w:p>
        </w:tc>
        <w:tc>
          <w:tcPr>
            <w:tcW w:w="5497" w:type="dxa"/>
            <w:gridSpan w:val="2"/>
          </w:tcPr>
          <w:p w14:paraId="409DB0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Supprimée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17.5.2019 (en vigueur 1.7.2019)</w:t>
            </w:r>
          </w:p>
        </w:tc>
        <w:tc>
          <w:tcPr>
            <w:tcW w:w="579" w:type="dxa"/>
            <w:vAlign w:val="bottom"/>
          </w:tcPr>
          <w:p w14:paraId="7C84A8D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84F43D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3EB287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9046688" w14:textId="77777777" w:rsidTr="00FD6D88">
        <w:trPr>
          <w:cantSplit/>
        </w:trPr>
        <w:tc>
          <w:tcPr>
            <w:tcW w:w="289" w:type="dxa"/>
          </w:tcPr>
          <w:p w14:paraId="65F2DD6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1251E9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813AD6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5F0D9E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3E472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E15BE7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3382BA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CEF726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EF08EA3" w14:textId="77777777" w:rsidTr="00FD6D88">
        <w:trPr>
          <w:cantSplit/>
        </w:trPr>
        <w:tc>
          <w:tcPr>
            <w:tcW w:w="289" w:type="dxa"/>
          </w:tcPr>
          <w:p w14:paraId="58DE411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17375A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5757C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72CBBB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A2AC0E8"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w:t>
            </w:r>
          </w:p>
        </w:tc>
        <w:tc>
          <w:tcPr>
            <w:tcW w:w="289" w:type="dxa"/>
            <w:vAlign w:val="bottom"/>
          </w:tcPr>
          <w:p w14:paraId="55378B8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49590E7" w14:textId="77777777" w:rsidTr="00FD6D88">
        <w:trPr>
          <w:cantSplit/>
        </w:trPr>
        <w:tc>
          <w:tcPr>
            <w:tcW w:w="289" w:type="dxa"/>
          </w:tcPr>
          <w:p w14:paraId="7D9CDF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06438EF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8D0C0E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588770</w:t>
            </w:r>
          </w:p>
        </w:tc>
        <w:tc>
          <w:tcPr>
            <w:tcW w:w="862" w:type="dxa"/>
          </w:tcPr>
          <w:p w14:paraId="2B84F44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588781</w:t>
            </w:r>
          </w:p>
        </w:tc>
        <w:tc>
          <w:tcPr>
            <w:tcW w:w="5497" w:type="dxa"/>
            <w:gridSpan w:val="2"/>
          </w:tcPr>
          <w:p w14:paraId="269AF3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Dépistage d'une anomalie génique acquise dans la moelle osseuse, au moyen d'une méthode de biologie moléculaire, pour le suivi d'une tumeur solide métastasée non-lymphoïde et non-myéloïde dont le réarrangement de gène concerné a été établi dans la phase d'investigation diagnostique, et pour lequel un traitement à but curatif est instauré</w:t>
            </w:r>
          </w:p>
        </w:tc>
        <w:tc>
          <w:tcPr>
            <w:tcW w:w="579" w:type="dxa"/>
            <w:vAlign w:val="bottom"/>
          </w:tcPr>
          <w:p w14:paraId="2182DEB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34A69BB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76AFE29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5EC85EA" w14:textId="77777777" w:rsidTr="00FD6D88">
        <w:trPr>
          <w:cantSplit/>
        </w:trPr>
        <w:tc>
          <w:tcPr>
            <w:tcW w:w="289" w:type="dxa"/>
          </w:tcPr>
          <w:p w14:paraId="08E4CF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CE9E27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A227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ED1664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24CE4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 (Règle diagnostique 10)</w:t>
            </w:r>
          </w:p>
        </w:tc>
        <w:tc>
          <w:tcPr>
            <w:tcW w:w="579" w:type="dxa"/>
            <w:vAlign w:val="bottom"/>
          </w:tcPr>
          <w:p w14:paraId="5ADCF87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A33B95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D59B7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34CDFE3" w14:textId="77777777" w:rsidTr="00FD6D88">
        <w:trPr>
          <w:cantSplit/>
        </w:trPr>
        <w:tc>
          <w:tcPr>
            <w:tcW w:w="289" w:type="dxa"/>
          </w:tcPr>
          <w:p w14:paraId="6DDA516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B72A0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77ADF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FECE90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EB577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2C1084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2665BD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BDEF43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C481529" w14:textId="77777777" w:rsidTr="00FD6D88">
        <w:trPr>
          <w:cantSplit/>
        </w:trPr>
        <w:tc>
          <w:tcPr>
            <w:tcW w:w="289" w:type="dxa"/>
          </w:tcPr>
          <w:p w14:paraId="173600E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DCE48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BD96F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D55C7B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4EDAA71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35491CB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0E02A0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2B9C8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1552D24" w14:textId="77777777" w:rsidTr="00FD6D88">
        <w:trPr>
          <w:cantSplit/>
        </w:trPr>
        <w:tc>
          <w:tcPr>
            <w:tcW w:w="289" w:type="dxa"/>
          </w:tcPr>
          <w:p w14:paraId="2460B8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D8E766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D61D98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588792</w:t>
            </w:r>
          </w:p>
        </w:tc>
        <w:tc>
          <w:tcPr>
            <w:tcW w:w="862" w:type="dxa"/>
          </w:tcPr>
          <w:p w14:paraId="3DE24CF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588803</w:t>
            </w:r>
          </w:p>
        </w:tc>
        <w:tc>
          <w:tcPr>
            <w:tcW w:w="5497" w:type="dxa"/>
            <w:gridSpan w:val="2"/>
          </w:tcPr>
          <w:p w14:paraId="2DB0239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Identification de polymorphismes génétiques par détection de répétition en tandem court de l'ADN chez un donneur de cellules souches hématopoïétiques pour transplantation de cellules souches allogéniques</w:t>
            </w:r>
          </w:p>
        </w:tc>
        <w:tc>
          <w:tcPr>
            <w:tcW w:w="579" w:type="dxa"/>
            <w:vAlign w:val="bottom"/>
          </w:tcPr>
          <w:p w14:paraId="5951E24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3562546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4000</w:t>
            </w:r>
          </w:p>
        </w:tc>
        <w:tc>
          <w:tcPr>
            <w:tcW w:w="289" w:type="dxa"/>
            <w:vAlign w:val="bottom"/>
          </w:tcPr>
          <w:p w14:paraId="184D878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AEFE341" w14:textId="77777777" w:rsidTr="00FD6D88">
        <w:trPr>
          <w:cantSplit/>
        </w:trPr>
        <w:tc>
          <w:tcPr>
            <w:tcW w:w="289" w:type="dxa"/>
          </w:tcPr>
          <w:p w14:paraId="6BB1BB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C81A60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4CBBED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765764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A776DC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(Maximum 1) </w:t>
            </w:r>
          </w:p>
        </w:tc>
        <w:tc>
          <w:tcPr>
            <w:tcW w:w="579" w:type="dxa"/>
            <w:vAlign w:val="bottom"/>
          </w:tcPr>
          <w:p w14:paraId="32BAC83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2A0329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6C266D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9C6A4C2" w14:textId="77777777" w:rsidTr="00FD6D88">
        <w:trPr>
          <w:cantSplit/>
        </w:trPr>
        <w:tc>
          <w:tcPr>
            <w:tcW w:w="289" w:type="dxa"/>
          </w:tcPr>
          <w:p w14:paraId="1FEE01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8B6407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2D3271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98F50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A0B8D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84CC9C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4E5568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D35F3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AC7B4E" w:rsidRPr="003169F4" w14:paraId="15C22CDF" w14:textId="77777777" w:rsidTr="00FD6D88">
        <w:trPr>
          <w:cantSplit/>
        </w:trPr>
        <w:tc>
          <w:tcPr>
            <w:tcW w:w="289" w:type="dxa"/>
          </w:tcPr>
          <w:p w14:paraId="7E26950C"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8" w:type="dxa"/>
          </w:tcPr>
          <w:p w14:paraId="2930EF70"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555E72D4"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2368125F"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A959ACE"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860B7F1" w14:textId="77777777" w:rsidR="00AC7B4E" w:rsidRPr="003169F4" w:rsidRDefault="00AC7B4E"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17D49A2" w14:textId="77777777" w:rsidR="00AC7B4E" w:rsidRPr="003169F4" w:rsidRDefault="00AC7B4E"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E7E7E5B"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r>
      <w:tr w:rsidR="003169F4" w:rsidRPr="003169F4" w14:paraId="09046A90" w14:textId="77777777" w:rsidTr="00FD6D88">
        <w:trPr>
          <w:cantSplit/>
        </w:trPr>
        <w:tc>
          <w:tcPr>
            <w:tcW w:w="289" w:type="dxa"/>
          </w:tcPr>
          <w:p w14:paraId="64AB7C1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1C57C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3FEF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588851</w:t>
            </w:r>
          </w:p>
        </w:tc>
        <w:tc>
          <w:tcPr>
            <w:tcW w:w="862" w:type="dxa"/>
          </w:tcPr>
          <w:p w14:paraId="1FD779D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588862</w:t>
            </w:r>
          </w:p>
        </w:tc>
        <w:tc>
          <w:tcPr>
            <w:tcW w:w="5497" w:type="dxa"/>
            <w:gridSpan w:val="2"/>
          </w:tcPr>
          <w:p w14:paraId="28698B2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Identification de polymorphismes génétiques par détection de répétition en tandem court de l'ADN chez un receveur de cellules souches hématopoïétiques allogènes</w:t>
            </w:r>
          </w:p>
        </w:tc>
        <w:tc>
          <w:tcPr>
            <w:tcW w:w="579" w:type="dxa"/>
            <w:vAlign w:val="bottom"/>
          </w:tcPr>
          <w:p w14:paraId="740C993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225F578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4000</w:t>
            </w:r>
          </w:p>
        </w:tc>
        <w:tc>
          <w:tcPr>
            <w:tcW w:w="289" w:type="dxa"/>
            <w:vAlign w:val="bottom"/>
          </w:tcPr>
          <w:p w14:paraId="3EACDF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46EB818" w14:textId="77777777" w:rsidTr="00FD6D88">
        <w:trPr>
          <w:cantSplit/>
        </w:trPr>
        <w:tc>
          <w:tcPr>
            <w:tcW w:w="289" w:type="dxa"/>
          </w:tcPr>
          <w:p w14:paraId="0978C37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8F0A6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405FA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7A2AB9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69D87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w:t>
            </w:r>
            <w:r w:rsidRPr="003169F4">
              <w:rPr>
                <w:rFonts w:ascii="Arial" w:eastAsia="Times New Roman" w:hAnsi="Arial" w:cs="Times New Roman"/>
                <w:color w:val="0000FF"/>
                <w:sz w:val="20"/>
                <w:szCs w:val="20"/>
                <w:lang w:val="fr-FR"/>
              </w:rPr>
              <w:t>"</w:t>
            </w:r>
            <w:r w:rsidRPr="003169F4">
              <w:rPr>
                <w:rFonts w:ascii="Arial" w:eastAsia="Times New Roman" w:hAnsi="Arial" w:cs="Arial"/>
                <w:color w:val="0000FF"/>
                <w:sz w:val="20"/>
                <w:szCs w:val="20"/>
                <w:lang w:val="fr-FR"/>
              </w:rPr>
              <w:t xml:space="preserve"> </w:t>
            </w:r>
          </w:p>
        </w:tc>
        <w:tc>
          <w:tcPr>
            <w:tcW w:w="579" w:type="dxa"/>
            <w:vAlign w:val="bottom"/>
          </w:tcPr>
          <w:p w14:paraId="746392C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B02203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0B9A2A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D2F626C" w14:textId="77777777" w:rsidTr="00FD6D88">
        <w:trPr>
          <w:cantSplit/>
        </w:trPr>
        <w:tc>
          <w:tcPr>
            <w:tcW w:w="289" w:type="dxa"/>
          </w:tcPr>
          <w:p w14:paraId="169948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177E58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AC416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E5702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B00795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5C3D283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13BFB9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52F28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E49E745" w14:textId="77777777" w:rsidTr="00FD6D88">
        <w:trPr>
          <w:cantSplit/>
        </w:trPr>
        <w:tc>
          <w:tcPr>
            <w:tcW w:w="289" w:type="dxa"/>
          </w:tcPr>
          <w:p w14:paraId="7DDFAE3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92C2E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F93F9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B08D10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C48DA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 + "A.R. 11.9.2016" (en vigueur 1.11.2016)</w:t>
            </w:r>
          </w:p>
        </w:tc>
        <w:tc>
          <w:tcPr>
            <w:tcW w:w="289" w:type="dxa"/>
            <w:vAlign w:val="bottom"/>
          </w:tcPr>
          <w:p w14:paraId="71E8E2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068FC33" w14:textId="77777777" w:rsidTr="00FD6D88">
        <w:trPr>
          <w:cantSplit/>
        </w:trPr>
        <w:tc>
          <w:tcPr>
            <w:tcW w:w="289" w:type="dxa"/>
          </w:tcPr>
          <w:p w14:paraId="4439F3E5"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Times New Roman"/>
                <w:color w:val="0000FF"/>
                <w:sz w:val="20"/>
                <w:szCs w:val="20"/>
                <w:lang w:val="fr-FR"/>
              </w:rPr>
              <w:t>"</w:t>
            </w:r>
          </w:p>
        </w:tc>
        <w:tc>
          <w:tcPr>
            <w:tcW w:w="578" w:type="dxa"/>
          </w:tcPr>
          <w:p w14:paraId="7E4E6A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145DC6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588814</w:t>
            </w:r>
          </w:p>
        </w:tc>
        <w:tc>
          <w:tcPr>
            <w:tcW w:w="862" w:type="dxa"/>
          </w:tcPr>
          <w:p w14:paraId="1025BA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588825</w:t>
            </w:r>
          </w:p>
        </w:tc>
        <w:tc>
          <w:tcPr>
            <w:tcW w:w="5497" w:type="dxa"/>
            <w:gridSpan w:val="2"/>
          </w:tcPr>
          <w:p w14:paraId="12810F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Suivi de l'état de chimérisme après transplantation de cellules souches allogéniques par une méthode de biologie moléculaire</w:t>
            </w:r>
          </w:p>
        </w:tc>
        <w:tc>
          <w:tcPr>
            <w:tcW w:w="579" w:type="dxa"/>
            <w:vAlign w:val="bottom"/>
          </w:tcPr>
          <w:p w14:paraId="7C4D04A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31B7BFA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4000</w:t>
            </w:r>
          </w:p>
        </w:tc>
        <w:tc>
          <w:tcPr>
            <w:tcW w:w="289" w:type="dxa"/>
            <w:vAlign w:val="bottom"/>
          </w:tcPr>
          <w:p w14:paraId="713F31D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0A3D5F2" w14:textId="77777777" w:rsidTr="00FD6D88">
        <w:trPr>
          <w:cantSplit/>
        </w:trPr>
        <w:tc>
          <w:tcPr>
            <w:tcW w:w="289" w:type="dxa"/>
          </w:tcPr>
          <w:p w14:paraId="769FEF6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0AFB8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0412E3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F95D6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2496E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 (</w:t>
            </w:r>
            <w:r w:rsidRPr="003169F4">
              <w:rPr>
                <w:rFonts w:ascii="Arial" w:eastAsia="Times New Roman" w:hAnsi="Arial" w:cs="Arial"/>
                <w:color w:val="0000FF"/>
                <w:sz w:val="20"/>
                <w:szCs w:val="20"/>
                <w:lang w:eastAsia="nl-BE"/>
              </w:rPr>
              <w:t>Règle de cumul 3) (</w:t>
            </w:r>
            <w:r w:rsidRPr="003169F4">
              <w:rPr>
                <w:rFonts w:ascii="Arial" w:eastAsia="Times New Roman" w:hAnsi="Arial" w:cs="Arial"/>
                <w:color w:val="0000FF"/>
                <w:sz w:val="20"/>
                <w:szCs w:val="20"/>
                <w:lang w:val="fr-FR"/>
              </w:rPr>
              <w:t>Règle diagnostique 11)</w:t>
            </w:r>
            <w:r w:rsidRPr="003169F4">
              <w:rPr>
                <w:rFonts w:ascii="Arial" w:eastAsia="Times New Roman" w:hAnsi="Arial" w:cs="Times New Roman"/>
                <w:color w:val="0000FF"/>
                <w:sz w:val="20"/>
                <w:szCs w:val="20"/>
                <w:lang w:val="fr-FR"/>
              </w:rPr>
              <w:t>"</w:t>
            </w:r>
          </w:p>
        </w:tc>
        <w:tc>
          <w:tcPr>
            <w:tcW w:w="579" w:type="dxa"/>
            <w:vAlign w:val="bottom"/>
          </w:tcPr>
          <w:p w14:paraId="46178A2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01BF28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B330DC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40DB4D2" w14:textId="77777777" w:rsidTr="00FD6D88">
        <w:trPr>
          <w:cantSplit/>
        </w:trPr>
        <w:tc>
          <w:tcPr>
            <w:tcW w:w="289" w:type="dxa"/>
          </w:tcPr>
          <w:p w14:paraId="7853722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44F998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CC111E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D99B0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481DEF3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3F6E818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D6CA1A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B82CD6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FE77358" w14:textId="77777777" w:rsidTr="00FD6D88">
        <w:trPr>
          <w:cantSplit/>
        </w:trPr>
        <w:tc>
          <w:tcPr>
            <w:tcW w:w="289" w:type="dxa"/>
          </w:tcPr>
          <w:p w14:paraId="1CDE80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EFC5DD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2A9FDB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E7831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41670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 xml:space="preserve">"A.R. 7.6.2007" (en vigueur 1.8.2007) + "A.R. 4.5.2010" (en vigueur 1.8.2010) </w:t>
            </w:r>
          </w:p>
        </w:tc>
        <w:tc>
          <w:tcPr>
            <w:tcW w:w="289" w:type="dxa"/>
            <w:vAlign w:val="bottom"/>
          </w:tcPr>
          <w:p w14:paraId="2BE875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F9AAEEF" w14:textId="77777777" w:rsidTr="00FD6D88">
        <w:trPr>
          <w:cantSplit/>
        </w:trPr>
        <w:tc>
          <w:tcPr>
            <w:tcW w:w="289" w:type="dxa"/>
          </w:tcPr>
          <w:p w14:paraId="3D40AEF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758421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8FF5BD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588836</w:t>
            </w:r>
          </w:p>
        </w:tc>
        <w:tc>
          <w:tcPr>
            <w:tcW w:w="862" w:type="dxa"/>
          </w:tcPr>
          <w:p w14:paraId="27726C1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588840</w:t>
            </w:r>
          </w:p>
        </w:tc>
        <w:tc>
          <w:tcPr>
            <w:tcW w:w="5497" w:type="dxa"/>
            <w:gridSpan w:val="2"/>
          </w:tcPr>
          <w:p w14:paraId="6BA8ADC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Evaluation au moyen d'une méthode de biologie moléculaire de la contamination par des cellules malignes d'un concentré de cellules souches dans le cadre d'une transplantation de cellules souches autologues</w:t>
            </w:r>
          </w:p>
        </w:tc>
        <w:tc>
          <w:tcPr>
            <w:tcW w:w="579" w:type="dxa"/>
            <w:vAlign w:val="bottom"/>
          </w:tcPr>
          <w:p w14:paraId="411F90D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B </w:t>
            </w:r>
          </w:p>
        </w:tc>
        <w:tc>
          <w:tcPr>
            <w:tcW w:w="676" w:type="dxa"/>
            <w:vAlign w:val="bottom"/>
          </w:tcPr>
          <w:p w14:paraId="7303A6E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3000</w:t>
            </w:r>
          </w:p>
        </w:tc>
        <w:tc>
          <w:tcPr>
            <w:tcW w:w="289" w:type="dxa"/>
            <w:vAlign w:val="bottom"/>
          </w:tcPr>
          <w:p w14:paraId="6E27956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0DD2829" w14:textId="77777777" w:rsidTr="00FD6D88">
        <w:trPr>
          <w:cantSplit/>
        </w:trPr>
        <w:tc>
          <w:tcPr>
            <w:tcW w:w="289" w:type="dxa"/>
          </w:tcPr>
          <w:p w14:paraId="6C35FB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DEC7DF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4A9EDD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615002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EB2DB5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 (Règle diagnostique 12)"</w:t>
            </w:r>
          </w:p>
        </w:tc>
        <w:tc>
          <w:tcPr>
            <w:tcW w:w="579" w:type="dxa"/>
            <w:vAlign w:val="bottom"/>
          </w:tcPr>
          <w:p w14:paraId="7E955A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42CDB9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6959B0B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E2294DD" w14:textId="77777777" w:rsidTr="00FD6D88">
        <w:trPr>
          <w:cantSplit/>
        </w:trPr>
        <w:tc>
          <w:tcPr>
            <w:tcW w:w="289" w:type="dxa"/>
          </w:tcPr>
          <w:p w14:paraId="2F5A71E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BD08FE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B2E24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49A4E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848119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5FD8190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004645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22EB763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DFE30DE" w14:textId="77777777" w:rsidTr="00FD6D88">
        <w:trPr>
          <w:cantSplit/>
        </w:trPr>
        <w:tc>
          <w:tcPr>
            <w:tcW w:w="289" w:type="dxa"/>
          </w:tcPr>
          <w:p w14:paraId="4FB5C0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AAE41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A101D5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74204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AB7165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31.8.2009" (en vigueur 1.11.2009) + Errata M.B. 28.10.2009 et 30.10.2009 + "A.R. 18.6.2017" (en vigueur 1.8.2017)</w:t>
            </w:r>
          </w:p>
        </w:tc>
        <w:tc>
          <w:tcPr>
            <w:tcW w:w="289" w:type="dxa"/>
            <w:vAlign w:val="bottom"/>
          </w:tcPr>
          <w:p w14:paraId="5CE08FE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D678CAB" w14:textId="77777777" w:rsidTr="00FD6D88">
        <w:trPr>
          <w:cantSplit/>
        </w:trPr>
        <w:tc>
          <w:tcPr>
            <w:tcW w:w="289" w:type="dxa"/>
          </w:tcPr>
          <w:p w14:paraId="0BA5903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99A40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D9A398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09CE0B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D65473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r w:rsidRPr="003169F4">
              <w:rPr>
                <w:rFonts w:ascii="Arial" w:eastAsia="Times New Roman" w:hAnsi="Arial" w:cs="Arial"/>
                <w:color w:val="0000FF"/>
                <w:sz w:val="20"/>
                <w:szCs w:val="20"/>
                <w:lang w:val="fr-FR"/>
              </w:rPr>
              <w:t>B.</w:t>
            </w:r>
          </w:p>
        </w:tc>
        <w:tc>
          <w:tcPr>
            <w:tcW w:w="579" w:type="dxa"/>
            <w:vAlign w:val="bottom"/>
          </w:tcPr>
          <w:p w14:paraId="516AAD9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0491D18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691F360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0C512A1" w14:textId="77777777" w:rsidTr="00FD6D88">
        <w:trPr>
          <w:cantSplit/>
        </w:trPr>
        <w:tc>
          <w:tcPr>
            <w:tcW w:w="289" w:type="dxa"/>
          </w:tcPr>
          <w:p w14:paraId="388C60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C6B5D4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E6A32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40E86F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4C5C32C7" w14:textId="77777777" w:rsidR="003169F4" w:rsidRPr="003169F4" w:rsidRDefault="003169F4" w:rsidP="003169F4">
            <w:pPr>
              <w:spacing w:after="0" w:line="240" w:lineRule="atLeast"/>
              <w:jc w:val="both"/>
              <w:rPr>
                <w:rFonts w:ascii="Arial" w:eastAsia="Times New Roman" w:hAnsi="Arial" w:cs="Times New Roman"/>
                <w:color w:val="0000FF"/>
                <w:sz w:val="20"/>
                <w:szCs w:val="20"/>
                <w:lang w:val="fr-FR"/>
              </w:rPr>
            </w:pPr>
          </w:p>
        </w:tc>
        <w:tc>
          <w:tcPr>
            <w:tcW w:w="579" w:type="dxa"/>
            <w:vAlign w:val="bottom"/>
          </w:tcPr>
          <w:p w14:paraId="0814EA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2586C4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E1CC52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98832F0" w14:textId="77777777" w:rsidTr="00FD6D88">
        <w:trPr>
          <w:cantSplit/>
        </w:trPr>
        <w:tc>
          <w:tcPr>
            <w:tcW w:w="289" w:type="dxa"/>
          </w:tcPr>
          <w:p w14:paraId="5368AF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20FD2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40D1C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587016</w:t>
            </w:r>
          </w:p>
        </w:tc>
        <w:tc>
          <w:tcPr>
            <w:tcW w:w="862" w:type="dxa"/>
          </w:tcPr>
          <w:p w14:paraId="66066E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587020</w:t>
            </w:r>
          </w:p>
        </w:tc>
        <w:tc>
          <w:tcPr>
            <w:tcW w:w="5497" w:type="dxa"/>
            <w:gridSpan w:val="2"/>
          </w:tcPr>
          <w:p w14:paraId="1FD1FB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Recherche de la mutation du facteur V, de type Leiden, par une technique de biologie moléculaire</w:t>
            </w:r>
          </w:p>
        </w:tc>
        <w:tc>
          <w:tcPr>
            <w:tcW w:w="579" w:type="dxa"/>
            <w:vAlign w:val="bottom"/>
          </w:tcPr>
          <w:p w14:paraId="55B5F6C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40CA4F6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1800</w:t>
            </w:r>
          </w:p>
        </w:tc>
        <w:tc>
          <w:tcPr>
            <w:tcW w:w="289" w:type="dxa"/>
            <w:vAlign w:val="bottom"/>
          </w:tcPr>
          <w:p w14:paraId="2C54BA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86CD688" w14:textId="77777777" w:rsidTr="00FD6D88">
        <w:trPr>
          <w:cantSplit/>
        </w:trPr>
        <w:tc>
          <w:tcPr>
            <w:tcW w:w="289" w:type="dxa"/>
          </w:tcPr>
          <w:p w14:paraId="0916FE7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22D47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E13D7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A39041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85DC36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 (Règle diagnostique 2)</w:t>
            </w:r>
          </w:p>
        </w:tc>
        <w:tc>
          <w:tcPr>
            <w:tcW w:w="579" w:type="dxa"/>
            <w:vAlign w:val="bottom"/>
          </w:tcPr>
          <w:p w14:paraId="101D842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764C30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F9B00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73EBAC9" w14:textId="77777777" w:rsidTr="00FD6D88">
        <w:trPr>
          <w:cantSplit/>
        </w:trPr>
        <w:tc>
          <w:tcPr>
            <w:tcW w:w="289" w:type="dxa"/>
          </w:tcPr>
          <w:p w14:paraId="526ECCF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FB9E3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96C4CF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AD12A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54AB0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4D6D568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69E545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3163D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50B94C2" w14:textId="77777777" w:rsidTr="00FD6D88">
        <w:trPr>
          <w:cantSplit/>
        </w:trPr>
        <w:tc>
          <w:tcPr>
            <w:tcW w:w="289" w:type="dxa"/>
          </w:tcPr>
          <w:p w14:paraId="3C90A27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3B563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A40AE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587031</w:t>
            </w:r>
          </w:p>
        </w:tc>
        <w:tc>
          <w:tcPr>
            <w:tcW w:w="862" w:type="dxa"/>
          </w:tcPr>
          <w:p w14:paraId="204355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587042</w:t>
            </w:r>
          </w:p>
        </w:tc>
        <w:tc>
          <w:tcPr>
            <w:tcW w:w="5497" w:type="dxa"/>
            <w:gridSpan w:val="2"/>
          </w:tcPr>
          <w:p w14:paraId="5235D1F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Recherche de la mutation du facteur II (G20210A) par une technique de biologie moléculaire</w:t>
            </w:r>
          </w:p>
        </w:tc>
        <w:tc>
          <w:tcPr>
            <w:tcW w:w="579" w:type="dxa"/>
            <w:vAlign w:val="bottom"/>
          </w:tcPr>
          <w:p w14:paraId="75C414F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7E644E3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1800</w:t>
            </w:r>
          </w:p>
        </w:tc>
        <w:tc>
          <w:tcPr>
            <w:tcW w:w="289" w:type="dxa"/>
            <w:vAlign w:val="bottom"/>
          </w:tcPr>
          <w:p w14:paraId="6918BCB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9D0E7D9" w14:textId="77777777" w:rsidTr="00FD6D88">
        <w:trPr>
          <w:cantSplit/>
        </w:trPr>
        <w:tc>
          <w:tcPr>
            <w:tcW w:w="289" w:type="dxa"/>
          </w:tcPr>
          <w:p w14:paraId="5856DB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7203B6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A93B8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024ACB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A03D7E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1) (Règle diagnostique 3)</w:t>
            </w:r>
            <w:r w:rsidRPr="003169F4">
              <w:rPr>
                <w:rFonts w:ascii="Arial" w:eastAsia="Times New Roman" w:hAnsi="Arial" w:cs="Times New Roman"/>
                <w:color w:val="0000FF"/>
                <w:sz w:val="20"/>
                <w:szCs w:val="20"/>
                <w:lang w:val="fr-FR"/>
              </w:rPr>
              <w:t>"</w:t>
            </w:r>
          </w:p>
        </w:tc>
        <w:tc>
          <w:tcPr>
            <w:tcW w:w="579" w:type="dxa"/>
            <w:vAlign w:val="bottom"/>
          </w:tcPr>
          <w:p w14:paraId="407F964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9B62E2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D15D67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4D7212F" w14:textId="77777777" w:rsidTr="00FD6D88">
        <w:trPr>
          <w:cantSplit/>
        </w:trPr>
        <w:tc>
          <w:tcPr>
            <w:tcW w:w="289" w:type="dxa"/>
          </w:tcPr>
          <w:p w14:paraId="4E5B432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E2C08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A4B64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958CA5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E56770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1620BC6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0E7AC9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2D5883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666A2D0" w14:textId="77777777" w:rsidTr="00FD6D88">
        <w:trPr>
          <w:cantSplit/>
        </w:trPr>
        <w:tc>
          <w:tcPr>
            <w:tcW w:w="289" w:type="dxa"/>
          </w:tcPr>
          <w:p w14:paraId="2C20FBC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86753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EA63E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1068B2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314231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31.8.2009" (en vigueur 1.11.2009) + Errata M.B. 28.10.2009 et 30.10.2009</w:t>
            </w:r>
          </w:p>
        </w:tc>
        <w:tc>
          <w:tcPr>
            <w:tcW w:w="289" w:type="dxa"/>
            <w:vAlign w:val="bottom"/>
          </w:tcPr>
          <w:p w14:paraId="6693FD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E00CCDE" w14:textId="77777777" w:rsidTr="00FD6D88">
        <w:trPr>
          <w:cantSplit/>
        </w:trPr>
        <w:tc>
          <w:tcPr>
            <w:tcW w:w="289" w:type="dxa"/>
          </w:tcPr>
          <w:p w14:paraId="3A80F25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7FDE835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662A61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587053</w:t>
            </w:r>
          </w:p>
        </w:tc>
        <w:tc>
          <w:tcPr>
            <w:tcW w:w="862" w:type="dxa"/>
          </w:tcPr>
          <w:p w14:paraId="618A540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587064</w:t>
            </w:r>
          </w:p>
        </w:tc>
        <w:tc>
          <w:tcPr>
            <w:tcW w:w="5497" w:type="dxa"/>
            <w:gridSpan w:val="2"/>
          </w:tcPr>
          <w:p w14:paraId="12C7BAE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Recherche du génotype RH1 d'un fœtus sur le sang d'une mère RH :-1 (RhD négatif)</w:t>
            </w:r>
          </w:p>
        </w:tc>
        <w:tc>
          <w:tcPr>
            <w:tcW w:w="579" w:type="dxa"/>
            <w:vAlign w:val="bottom"/>
          </w:tcPr>
          <w:p w14:paraId="13595E7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668A10C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5000</w:t>
            </w:r>
          </w:p>
        </w:tc>
        <w:tc>
          <w:tcPr>
            <w:tcW w:w="289" w:type="dxa"/>
            <w:vAlign w:val="bottom"/>
          </w:tcPr>
          <w:p w14:paraId="59B2DE2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F373ED0" w14:textId="77777777" w:rsidTr="00FD6D88">
        <w:trPr>
          <w:cantSplit/>
        </w:trPr>
        <w:tc>
          <w:tcPr>
            <w:tcW w:w="289" w:type="dxa"/>
          </w:tcPr>
          <w:p w14:paraId="3FC026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99401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E09BB1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65BB2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6CC91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(Maximum1) (Règle diagnostique 4)</w:t>
            </w:r>
            <w:r w:rsidRPr="003169F4">
              <w:rPr>
                <w:rFonts w:ascii="Arial" w:eastAsia="Times New Roman" w:hAnsi="Arial" w:cs="Times New Roman"/>
                <w:color w:val="0000FF"/>
                <w:sz w:val="20"/>
                <w:szCs w:val="20"/>
                <w:lang w:val="fr-FR"/>
              </w:rPr>
              <w:t>"</w:t>
            </w:r>
          </w:p>
        </w:tc>
        <w:tc>
          <w:tcPr>
            <w:tcW w:w="579" w:type="dxa"/>
            <w:vAlign w:val="bottom"/>
          </w:tcPr>
          <w:p w14:paraId="50FA619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07FA55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BF7DF1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3B3DFD2" w14:textId="77777777" w:rsidTr="00FD6D88">
        <w:trPr>
          <w:cantSplit/>
        </w:trPr>
        <w:tc>
          <w:tcPr>
            <w:tcW w:w="289" w:type="dxa"/>
          </w:tcPr>
          <w:p w14:paraId="6571A54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3DD737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1A3C00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20A82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83FCD2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22AEB1F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2EDB47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431C08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8B09A3F" w14:textId="77777777" w:rsidTr="00FD6D88">
        <w:trPr>
          <w:cantSplit/>
        </w:trPr>
        <w:tc>
          <w:tcPr>
            <w:tcW w:w="289" w:type="dxa"/>
          </w:tcPr>
          <w:p w14:paraId="369E60E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4F7F05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6CCB1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5C6DD3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4921EA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w:t>
            </w:r>
          </w:p>
        </w:tc>
        <w:tc>
          <w:tcPr>
            <w:tcW w:w="579" w:type="dxa"/>
            <w:vAlign w:val="bottom"/>
          </w:tcPr>
          <w:p w14:paraId="3526DCA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EEBA12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09113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B48EA5D" w14:textId="77777777" w:rsidTr="00FD6D88">
        <w:trPr>
          <w:cantSplit/>
        </w:trPr>
        <w:tc>
          <w:tcPr>
            <w:tcW w:w="289" w:type="dxa"/>
          </w:tcPr>
          <w:p w14:paraId="2A1A64B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p>
        </w:tc>
        <w:tc>
          <w:tcPr>
            <w:tcW w:w="578" w:type="dxa"/>
          </w:tcPr>
          <w:p w14:paraId="519778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AED4E6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587775</w:t>
            </w:r>
          </w:p>
        </w:tc>
        <w:tc>
          <w:tcPr>
            <w:tcW w:w="862" w:type="dxa"/>
          </w:tcPr>
          <w:p w14:paraId="3CE5716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587786</w:t>
            </w:r>
          </w:p>
        </w:tc>
        <w:tc>
          <w:tcPr>
            <w:tcW w:w="5497" w:type="dxa"/>
            <w:gridSpan w:val="2"/>
          </w:tcPr>
          <w:p w14:paraId="493C47CC" w14:textId="77777777" w:rsidR="003169F4" w:rsidRPr="003169F4" w:rsidRDefault="003169F4" w:rsidP="003169F4">
            <w:pPr>
              <w:tabs>
                <w:tab w:val="left" w:leader="dot" w:pos="3969"/>
              </w:tabs>
              <w:spacing w:after="0" w:line="240" w:lineRule="auto"/>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Détermination d'autres antigènes d'érythrocytes que ABO et Rh au moyen d'une méthode de biologie moléculaire, minimum 14 antigènes</w:t>
            </w:r>
          </w:p>
        </w:tc>
        <w:tc>
          <w:tcPr>
            <w:tcW w:w="579" w:type="dxa"/>
            <w:vAlign w:val="bottom"/>
          </w:tcPr>
          <w:p w14:paraId="289B2C9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B</w:t>
            </w:r>
          </w:p>
        </w:tc>
        <w:tc>
          <w:tcPr>
            <w:tcW w:w="676" w:type="dxa"/>
            <w:vAlign w:val="bottom"/>
          </w:tcPr>
          <w:p w14:paraId="640B2BC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4500</w:t>
            </w:r>
          </w:p>
        </w:tc>
        <w:tc>
          <w:tcPr>
            <w:tcW w:w="289" w:type="dxa"/>
            <w:vAlign w:val="bottom"/>
          </w:tcPr>
          <w:p w14:paraId="1B9C03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6E93020" w14:textId="77777777" w:rsidTr="00FD6D88">
        <w:trPr>
          <w:cantSplit/>
        </w:trPr>
        <w:tc>
          <w:tcPr>
            <w:tcW w:w="289" w:type="dxa"/>
          </w:tcPr>
          <w:p w14:paraId="4753D72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67236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6B040A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2AD75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36F5B0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en-GB"/>
              </w:rPr>
              <w:t>(Maximum 1) (Règle diagnostique 15)</w:t>
            </w:r>
          </w:p>
        </w:tc>
        <w:tc>
          <w:tcPr>
            <w:tcW w:w="579" w:type="dxa"/>
            <w:vAlign w:val="bottom"/>
          </w:tcPr>
          <w:p w14:paraId="7203A19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05BE9D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127976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50B763D" w14:textId="77777777" w:rsidTr="00FD6D88">
        <w:trPr>
          <w:cantSplit/>
        </w:trPr>
        <w:tc>
          <w:tcPr>
            <w:tcW w:w="289" w:type="dxa"/>
          </w:tcPr>
          <w:p w14:paraId="4AE81B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56C7DD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E2385C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3D00EB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FD254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30B5A9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5A030B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D78F9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0A45019" w14:textId="77777777" w:rsidTr="00FD6D88">
        <w:trPr>
          <w:cantSplit/>
        </w:trPr>
        <w:tc>
          <w:tcPr>
            <w:tcW w:w="289" w:type="dxa"/>
          </w:tcPr>
          <w:p w14:paraId="13C3C2F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bookmarkStart w:id="0" w:name="_Hlk126167553"/>
          </w:p>
        </w:tc>
        <w:tc>
          <w:tcPr>
            <w:tcW w:w="578" w:type="dxa"/>
          </w:tcPr>
          <w:p w14:paraId="581BA8D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2A2165" w14:textId="77777777" w:rsidR="003169F4" w:rsidRPr="003169F4" w:rsidRDefault="003169F4" w:rsidP="003169F4">
            <w:pPr>
              <w:spacing w:after="0" w:line="240" w:lineRule="atLeast"/>
              <w:jc w:val="both"/>
              <w:rPr>
                <w:rFonts w:ascii="Arial" w:eastAsia="Times New Roman" w:hAnsi="Arial" w:cs="Arial"/>
                <w:strike/>
                <w:color w:val="0000FF"/>
                <w:sz w:val="20"/>
                <w:szCs w:val="20"/>
                <w:lang w:val="fr-FR"/>
              </w:rPr>
            </w:pPr>
            <w:r w:rsidRPr="003169F4">
              <w:rPr>
                <w:rFonts w:ascii="Arial" w:eastAsia="Times New Roman" w:hAnsi="Arial" w:cs="Arial"/>
                <w:strike/>
                <w:noProof/>
                <w:color w:val="0000FF"/>
                <w:spacing w:val="-3"/>
                <w:sz w:val="20"/>
                <w:szCs w:val="20"/>
              </w:rPr>
              <w:t>587790</w:t>
            </w:r>
          </w:p>
        </w:tc>
        <w:tc>
          <w:tcPr>
            <w:tcW w:w="862" w:type="dxa"/>
          </w:tcPr>
          <w:p w14:paraId="434FE3E0" w14:textId="77777777" w:rsidR="003169F4" w:rsidRPr="003169F4" w:rsidRDefault="003169F4" w:rsidP="003169F4">
            <w:pPr>
              <w:spacing w:after="0" w:line="240" w:lineRule="atLeast"/>
              <w:jc w:val="both"/>
              <w:rPr>
                <w:rFonts w:ascii="Arial" w:eastAsia="Times New Roman" w:hAnsi="Arial" w:cs="Arial"/>
                <w:strike/>
                <w:color w:val="0000FF"/>
                <w:sz w:val="20"/>
                <w:szCs w:val="20"/>
                <w:lang w:val="fr-FR"/>
              </w:rPr>
            </w:pPr>
            <w:r w:rsidRPr="003169F4">
              <w:rPr>
                <w:rFonts w:ascii="Arial" w:eastAsia="Times New Roman" w:hAnsi="Arial" w:cs="Arial"/>
                <w:strike/>
                <w:noProof/>
                <w:color w:val="0000FF"/>
                <w:spacing w:val="-3"/>
                <w:sz w:val="20"/>
                <w:szCs w:val="20"/>
              </w:rPr>
              <w:t>587801</w:t>
            </w:r>
          </w:p>
        </w:tc>
        <w:tc>
          <w:tcPr>
            <w:tcW w:w="5497" w:type="dxa"/>
            <w:gridSpan w:val="2"/>
          </w:tcPr>
          <w:p w14:paraId="6AE5ED73" w14:textId="77777777" w:rsidR="003169F4" w:rsidRPr="003169F4" w:rsidRDefault="003169F4" w:rsidP="003169F4">
            <w:pPr>
              <w:spacing w:after="0" w:line="240" w:lineRule="atLeast"/>
              <w:jc w:val="both"/>
              <w:rPr>
                <w:rFonts w:ascii="Arial" w:eastAsia="Times New Roman" w:hAnsi="Arial" w:cs="Arial"/>
                <w:color w:val="0000FF"/>
                <w:sz w:val="20"/>
                <w:szCs w:val="20"/>
                <w:highlight w:val="yellow"/>
                <w:lang w:val="fr-FR"/>
              </w:rPr>
            </w:pPr>
            <w:r w:rsidRPr="003169F4">
              <w:rPr>
                <w:rFonts w:ascii="Arial" w:eastAsia="Times New Roman" w:hAnsi="Arial" w:cs="Times New Roman"/>
                <w:i/>
                <w:color w:val="0000FF"/>
                <w:sz w:val="18"/>
                <w:szCs w:val="20"/>
              </w:rPr>
              <w:t>Supprimé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16.12.2022 (en vigueur 1.3.2023)</w:t>
            </w:r>
          </w:p>
        </w:tc>
        <w:tc>
          <w:tcPr>
            <w:tcW w:w="579" w:type="dxa"/>
            <w:vAlign w:val="bottom"/>
          </w:tcPr>
          <w:p w14:paraId="11D35642" w14:textId="77777777" w:rsidR="003169F4" w:rsidRPr="003169F4" w:rsidRDefault="003169F4" w:rsidP="003169F4">
            <w:pPr>
              <w:spacing w:after="0" w:line="240" w:lineRule="atLeast"/>
              <w:jc w:val="right"/>
              <w:rPr>
                <w:rFonts w:ascii="Arial" w:eastAsia="Times New Roman" w:hAnsi="Arial" w:cs="Arial"/>
                <w:color w:val="0000FF"/>
                <w:sz w:val="20"/>
                <w:szCs w:val="20"/>
                <w:highlight w:val="yellow"/>
                <w:lang w:val="fr-FR"/>
              </w:rPr>
            </w:pPr>
          </w:p>
        </w:tc>
        <w:tc>
          <w:tcPr>
            <w:tcW w:w="676" w:type="dxa"/>
            <w:vAlign w:val="bottom"/>
          </w:tcPr>
          <w:p w14:paraId="73A0D0A7" w14:textId="77777777" w:rsidR="003169F4" w:rsidRPr="003169F4" w:rsidRDefault="003169F4" w:rsidP="003169F4">
            <w:pPr>
              <w:spacing w:after="0" w:line="240" w:lineRule="atLeast"/>
              <w:jc w:val="right"/>
              <w:rPr>
                <w:rFonts w:ascii="Arial" w:eastAsia="Times New Roman" w:hAnsi="Arial" w:cs="Arial"/>
                <w:color w:val="0000FF"/>
                <w:sz w:val="20"/>
                <w:szCs w:val="20"/>
                <w:highlight w:val="yellow"/>
                <w:lang w:val="fr-FR"/>
              </w:rPr>
            </w:pPr>
          </w:p>
        </w:tc>
        <w:tc>
          <w:tcPr>
            <w:tcW w:w="289" w:type="dxa"/>
            <w:vAlign w:val="bottom"/>
          </w:tcPr>
          <w:p w14:paraId="7B719D16" w14:textId="77777777" w:rsidR="003169F4" w:rsidRPr="003169F4" w:rsidRDefault="003169F4" w:rsidP="003169F4">
            <w:pPr>
              <w:spacing w:after="0" w:line="240" w:lineRule="atLeast"/>
              <w:jc w:val="both"/>
              <w:rPr>
                <w:rFonts w:ascii="Arial" w:eastAsia="Times New Roman" w:hAnsi="Arial" w:cs="Arial"/>
                <w:color w:val="0000FF"/>
                <w:sz w:val="20"/>
                <w:szCs w:val="20"/>
                <w:highlight w:val="yellow"/>
                <w:lang w:val="fr-FR"/>
              </w:rPr>
            </w:pPr>
          </w:p>
        </w:tc>
      </w:tr>
      <w:bookmarkEnd w:id="0"/>
      <w:tr w:rsidR="003169F4" w:rsidRPr="003169F4" w14:paraId="6392338F" w14:textId="77777777" w:rsidTr="00FD6D88">
        <w:trPr>
          <w:cantSplit/>
        </w:trPr>
        <w:tc>
          <w:tcPr>
            <w:tcW w:w="289" w:type="dxa"/>
          </w:tcPr>
          <w:p w14:paraId="4AA1B9B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95E1A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A2911A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9815A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9829E0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42F5328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3A069E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C0B2B8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55E8948" w14:textId="77777777" w:rsidTr="00FD6D88">
        <w:trPr>
          <w:cantSplit/>
        </w:trPr>
        <w:tc>
          <w:tcPr>
            <w:tcW w:w="289" w:type="dxa"/>
          </w:tcPr>
          <w:p w14:paraId="7AD0DA6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957790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BCA289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8484D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7E937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 + "A.R. 16.12.2022" (en vigueur 1.3.2023)</w:t>
            </w:r>
          </w:p>
        </w:tc>
        <w:tc>
          <w:tcPr>
            <w:tcW w:w="289" w:type="dxa"/>
            <w:vAlign w:val="bottom"/>
          </w:tcPr>
          <w:p w14:paraId="190A90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39A55F4" w14:textId="77777777" w:rsidTr="00FD6D88">
        <w:trPr>
          <w:cantSplit/>
        </w:trPr>
        <w:tc>
          <w:tcPr>
            <w:tcW w:w="289" w:type="dxa"/>
          </w:tcPr>
          <w:p w14:paraId="56C56FF6" w14:textId="77777777" w:rsidR="003169F4" w:rsidRPr="003169F4" w:rsidRDefault="003169F4" w:rsidP="003169F4">
            <w:pPr>
              <w:spacing w:after="0" w:line="240" w:lineRule="atLeast"/>
              <w:jc w:val="both"/>
              <w:rPr>
                <w:rFonts w:ascii="Arial" w:eastAsia="Times New Roman" w:hAnsi="Arial" w:cs="Arial"/>
                <w:color w:val="0000FF"/>
                <w:sz w:val="20"/>
                <w:szCs w:val="20"/>
              </w:rPr>
            </w:pPr>
            <w:bookmarkStart w:id="1" w:name="_Hlk126167691"/>
            <w:bookmarkStart w:id="2" w:name="_Hlk126167656"/>
            <w:r w:rsidRPr="003169F4">
              <w:rPr>
                <w:rFonts w:ascii="Arial" w:eastAsia="Times New Roman" w:hAnsi="Arial" w:cs="Arial"/>
                <w:color w:val="0000FF"/>
                <w:sz w:val="20"/>
                <w:szCs w:val="20"/>
              </w:rPr>
              <w:t>"</w:t>
            </w:r>
          </w:p>
        </w:tc>
        <w:tc>
          <w:tcPr>
            <w:tcW w:w="578" w:type="dxa"/>
          </w:tcPr>
          <w:p w14:paraId="6F65244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62DB7E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587812</w:t>
            </w:r>
          </w:p>
        </w:tc>
        <w:tc>
          <w:tcPr>
            <w:tcW w:w="862" w:type="dxa"/>
          </w:tcPr>
          <w:p w14:paraId="72F5A39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587823</w:t>
            </w:r>
          </w:p>
        </w:tc>
        <w:tc>
          <w:tcPr>
            <w:tcW w:w="5497" w:type="dxa"/>
            <w:gridSpan w:val="2"/>
          </w:tcPr>
          <w:p w14:paraId="54919CF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Détermination d’un D variant au moyen d’une méthode de biologie moléculaire</w:t>
            </w:r>
          </w:p>
        </w:tc>
        <w:tc>
          <w:tcPr>
            <w:tcW w:w="579" w:type="dxa"/>
            <w:vAlign w:val="bottom"/>
          </w:tcPr>
          <w:p w14:paraId="713E8F4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B</w:t>
            </w:r>
          </w:p>
        </w:tc>
        <w:tc>
          <w:tcPr>
            <w:tcW w:w="676" w:type="dxa"/>
            <w:vAlign w:val="bottom"/>
          </w:tcPr>
          <w:p w14:paraId="080CA7A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5000</w:t>
            </w:r>
          </w:p>
        </w:tc>
        <w:tc>
          <w:tcPr>
            <w:tcW w:w="289" w:type="dxa"/>
            <w:vAlign w:val="bottom"/>
          </w:tcPr>
          <w:p w14:paraId="6888CF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32DFEE8" w14:textId="77777777" w:rsidTr="00FD6D88">
        <w:trPr>
          <w:cantSplit/>
        </w:trPr>
        <w:tc>
          <w:tcPr>
            <w:tcW w:w="289" w:type="dxa"/>
          </w:tcPr>
          <w:p w14:paraId="32E04C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1D93E0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62EC25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AE2EF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EF8D4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en-GB"/>
              </w:rPr>
              <w:t>(Maximum 1) (Règle diagnostique 16)</w:t>
            </w:r>
          </w:p>
        </w:tc>
        <w:tc>
          <w:tcPr>
            <w:tcW w:w="579" w:type="dxa"/>
            <w:vAlign w:val="bottom"/>
          </w:tcPr>
          <w:p w14:paraId="0B08C6F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AC4D8C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CBE14B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p>
        </w:tc>
      </w:tr>
      <w:bookmarkEnd w:id="1"/>
      <w:tr w:rsidR="003169F4" w:rsidRPr="003169F4" w14:paraId="6A786287" w14:textId="77777777" w:rsidTr="00FD6D88">
        <w:trPr>
          <w:cantSplit/>
        </w:trPr>
        <w:tc>
          <w:tcPr>
            <w:tcW w:w="289" w:type="dxa"/>
          </w:tcPr>
          <w:p w14:paraId="5698F4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4DE4F2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F8E7A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0643C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363E55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A621A9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0A2E07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38AAF6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5230CA5" w14:textId="77777777" w:rsidTr="00FD6D88">
        <w:trPr>
          <w:cantSplit/>
        </w:trPr>
        <w:tc>
          <w:tcPr>
            <w:tcW w:w="289" w:type="dxa"/>
          </w:tcPr>
          <w:p w14:paraId="2A7E52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B3FA7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40731A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308B5D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03437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16.12.2022" (en vigueur 1.3.2023)</w:t>
            </w:r>
          </w:p>
        </w:tc>
        <w:tc>
          <w:tcPr>
            <w:tcW w:w="289" w:type="dxa"/>
            <w:vAlign w:val="bottom"/>
          </w:tcPr>
          <w:p w14:paraId="6E43AB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BC59263" w14:textId="77777777" w:rsidTr="00FD6D88">
        <w:trPr>
          <w:cantSplit/>
        </w:trPr>
        <w:tc>
          <w:tcPr>
            <w:tcW w:w="289" w:type="dxa"/>
          </w:tcPr>
          <w:p w14:paraId="1CA8E78A" w14:textId="77777777" w:rsidR="003169F4" w:rsidRPr="003169F4" w:rsidRDefault="003169F4" w:rsidP="003169F4">
            <w:pPr>
              <w:spacing w:after="0" w:line="240" w:lineRule="atLeast"/>
              <w:jc w:val="both"/>
              <w:rPr>
                <w:rFonts w:ascii="Arial" w:eastAsia="Times New Roman" w:hAnsi="Arial" w:cs="Arial"/>
                <w:color w:val="0000FF"/>
                <w:sz w:val="20"/>
                <w:szCs w:val="20"/>
              </w:rPr>
            </w:pPr>
            <w:bookmarkStart w:id="3" w:name="_Hlk126167768"/>
            <w:r w:rsidRPr="003169F4">
              <w:rPr>
                <w:rFonts w:ascii="Arial" w:eastAsia="Times New Roman" w:hAnsi="Arial" w:cs="Arial"/>
                <w:color w:val="0000FF"/>
                <w:sz w:val="20"/>
                <w:szCs w:val="20"/>
              </w:rPr>
              <w:t>"</w:t>
            </w:r>
          </w:p>
        </w:tc>
        <w:tc>
          <w:tcPr>
            <w:tcW w:w="578" w:type="dxa"/>
          </w:tcPr>
          <w:p w14:paraId="16C76B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B75F8E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587974</w:t>
            </w:r>
          </w:p>
        </w:tc>
        <w:tc>
          <w:tcPr>
            <w:tcW w:w="862" w:type="dxa"/>
          </w:tcPr>
          <w:p w14:paraId="77DBB43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587985</w:t>
            </w:r>
          </w:p>
        </w:tc>
        <w:tc>
          <w:tcPr>
            <w:tcW w:w="5497" w:type="dxa"/>
            <w:gridSpan w:val="2"/>
          </w:tcPr>
          <w:p w14:paraId="429CFE8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Identification d’un variant du gène RHCE au moyen d’une méthode de biologie moléculaire</w:t>
            </w:r>
          </w:p>
        </w:tc>
        <w:tc>
          <w:tcPr>
            <w:tcW w:w="579" w:type="dxa"/>
            <w:vAlign w:val="bottom"/>
          </w:tcPr>
          <w:p w14:paraId="1BDDD14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 xml:space="preserve">B </w:t>
            </w:r>
          </w:p>
        </w:tc>
        <w:tc>
          <w:tcPr>
            <w:tcW w:w="676" w:type="dxa"/>
            <w:vAlign w:val="bottom"/>
          </w:tcPr>
          <w:p w14:paraId="27B2157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5000</w:t>
            </w:r>
          </w:p>
        </w:tc>
        <w:tc>
          <w:tcPr>
            <w:tcW w:w="289" w:type="dxa"/>
            <w:vAlign w:val="bottom"/>
          </w:tcPr>
          <w:p w14:paraId="75ED4D9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01898E8" w14:textId="77777777" w:rsidTr="00FD6D88">
        <w:trPr>
          <w:cantSplit/>
        </w:trPr>
        <w:tc>
          <w:tcPr>
            <w:tcW w:w="289" w:type="dxa"/>
          </w:tcPr>
          <w:p w14:paraId="558DAA3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6C800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1C47C5C"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59E3A27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0CDBE521"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rPr>
              <w:t>(Maximum 1) (Règle diagnostique 26)</w:t>
            </w:r>
          </w:p>
        </w:tc>
        <w:tc>
          <w:tcPr>
            <w:tcW w:w="579" w:type="dxa"/>
            <w:vAlign w:val="bottom"/>
          </w:tcPr>
          <w:p w14:paraId="6AF1E42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CCB6D3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032A7D6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p>
        </w:tc>
      </w:tr>
      <w:bookmarkEnd w:id="3"/>
      <w:tr w:rsidR="003169F4" w:rsidRPr="003169F4" w14:paraId="63A3B121" w14:textId="77777777" w:rsidTr="00FD6D88">
        <w:trPr>
          <w:cantSplit/>
        </w:trPr>
        <w:tc>
          <w:tcPr>
            <w:tcW w:w="289" w:type="dxa"/>
          </w:tcPr>
          <w:p w14:paraId="1AAEA546" w14:textId="55E71004" w:rsidR="00AC7B4E" w:rsidRPr="003169F4" w:rsidRDefault="00AC7B4E" w:rsidP="003169F4">
            <w:pPr>
              <w:spacing w:after="0" w:line="240" w:lineRule="atLeast"/>
              <w:jc w:val="both"/>
              <w:rPr>
                <w:rFonts w:ascii="Arial" w:eastAsia="Times New Roman" w:hAnsi="Arial" w:cs="Arial"/>
                <w:color w:val="0000FF"/>
                <w:sz w:val="20"/>
                <w:szCs w:val="20"/>
              </w:rPr>
            </w:pPr>
          </w:p>
        </w:tc>
        <w:tc>
          <w:tcPr>
            <w:tcW w:w="578" w:type="dxa"/>
          </w:tcPr>
          <w:p w14:paraId="390720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16D55C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A815A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F7740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6CF8D2F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0C2F8D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2D1548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AC7B4E" w:rsidRPr="003169F4" w14:paraId="7201DDC3" w14:textId="77777777" w:rsidTr="00FD6D88">
        <w:trPr>
          <w:cantSplit/>
        </w:trPr>
        <w:tc>
          <w:tcPr>
            <w:tcW w:w="289" w:type="dxa"/>
          </w:tcPr>
          <w:p w14:paraId="03BA1A56" w14:textId="77777777" w:rsidR="00AC7B4E" w:rsidRDefault="00AC7B4E" w:rsidP="003169F4">
            <w:pPr>
              <w:spacing w:after="0" w:line="240" w:lineRule="atLeast"/>
              <w:jc w:val="both"/>
              <w:rPr>
                <w:rFonts w:ascii="Arial" w:eastAsia="Times New Roman" w:hAnsi="Arial" w:cs="Arial"/>
                <w:color w:val="0000FF"/>
                <w:sz w:val="20"/>
                <w:szCs w:val="20"/>
              </w:rPr>
            </w:pPr>
          </w:p>
          <w:p w14:paraId="7919603A" w14:textId="77777777" w:rsidR="00AC7B4E" w:rsidRDefault="00AC7B4E" w:rsidP="003169F4">
            <w:pPr>
              <w:spacing w:after="0" w:line="240" w:lineRule="atLeast"/>
              <w:jc w:val="both"/>
              <w:rPr>
                <w:rFonts w:ascii="Arial" w:eastAsia="Times New Roman" w:hAnsi="Arial" w:cs="Arial"/>
                <w:color w:val="0000FF"/>
                <w:sz w:val="20"/>
                <w:szCs w:val="20"/>
              </w:rPr>
            </w:pPr>
          </w:p>
          <w:p w14:paraId="1714A980" w14:textId="15910FD7" w:rsidR="00AC7B4E" w:rsidRPr="003169F4" w:rsidRDefault="00AC7B4E" w:rsidP="003169F4">
            <w:pPr>
              <w:spacing w:after="0" w:line="240" w:lineRule="atLeast"/>
              <w:jc w:val="both"/>
              <w:rPr>
                <w:rFonts w:ascii="Arial" w:eastAsia="Times New Roman" w:hAnsi="Arial" w:cs="Arial"/>
                <w:color w:val="0000FF"/>
                <w:sz w:val="20"/>
                <w:szCs w:val="20"/>
              </w:rPr>
            </w:pPr>
          </w:p>
        </w:tc>
        <w:tc>
          <w:tcPr>
            <w:tcW w:w="578" w:type="dxa"/>
          </w:tcPr>
          <w:p w14:paraId="0EB740AF"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2739415B"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5A8D1A59"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2389D73"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0FD2BCF" w14:textId="77777777" w:rsidR="00AC7B4E" w:rsidRPr="003169F4" w:rsidRDefault="00AC7B4E"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B864E63" w14:textId="77777777" w:rsidR="00AC7B4E" w:rsidRPr="003169F4" w:rsidRDefault="00AC7B4E"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A79E98F"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r>
      <w:bookmarkEnd w:id="2"/>
      <w:tr w:rsidR="003169F4" w:rsidRPr="003169F4" w14:paraId="0663B319" w14:textId="77777777" w:rsidTr="00FD6D88">
        <w:trPr>
          <w:cantSplit/>
        </w:trPr>
        <w:tc>
          <w:tcPr>
            <w:tcW w:w="289" w:type="dxa"/>
          </w:tcPr>
          <w:p w14:paraId="19CF17E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8D5D03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DA298A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1C6954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A5AC75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 + "A.R. 16.12.2022" (en vigueur 1.3.2023)</w:t>
            </w:r>
          </w:p>
        </w:tc>
        <w:tc>
          <w:tcPr>
            <w:tcW w:w="289" w:type="dxa"/>
            <w:vAlign w:val="bottom"/>
          </w:tcPr>
          <w:p w14:paraId="279E7E6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13BAEB8" w14:textId="77777777" w:rsidTr="00FD6D88">
        <w:trPr>
          <w:cantSplit/>
        </w:trPr>
        <w:tc>
          <w:tcPr>
            <w:tcW w:w="289" w:type="dxa"/>
          </w:tcPr>
          <w:p w14:paraId="39DA87B8" w14:textId="77777777" w:rsidR="003169F4" w:rsidRPr="003169F4" w:rsidRDefault="003169F4" w:rsidP="003169F4">
            <w:pPr>
              <w:spacing w:after="0" w:line="240" w:lineRule="atLeast"/>
              <w:jc w:val="both"/>
              <w:rPr>
                <w:rFonts w:ascii="Arial" w:eastAsia="Times New Roman" w:hAnsi="Arial" w:cs="Arial"/>
                <w:color w:val="0000FF"/>
                <w:sz w:val="20"/>
                <w:szCs w:val="20"/>
              </w:rPr>
            </w:pPr>
            <w:bookmarkStart w:id="4" w:name="_Hlk126057116"/>
            <w:r w:rsidRPr="003169F4">
              <w:rPr>
                <w:rFonts w:ascii="Arial" w:eastAsia="Times New Roman" w:hAnsi="Arial" w:cs="Arial"/>
                <w:color w:val="0000FF"/>
                <w:sz w:val="20"/>
                <w:szCs w:val="20"/>
              </w:rPr>
              <w:t>"</w:t>
            </w:r>
          </w:p>
        </w:tc>
        <w:tc>
          <w:tcPr>
            <w:tcW w:w="578" w:type="dxa"/>
          </w:tcPr>
          <w:p w14:paraId="0F957C2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4C9BE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587834</w:t>
            </w:r>
          </w:p>
        </w:tc>
        <w:tc>
          <w:tcPr>
            <w:tcW w:w="862" w:type="dxa"/>
          </w:tcPr>
          <w:p w14:paraId="7A9D89B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noProof/>
                <w:color w:val="0000FF"/>
                <w:spacing w:val="-3"/>
                <w:sz w:val="20"/>
                <w:szCs w:val="20"/>
              </w:rPr>
              <w:t>587845</w:t>
            </w:r>
          </w:p>
        </w:tc>
        <w:tc>
          <w:tcPr>
            <w:tcW w:w="5497" w:type="dxa"/>
            <w:gridSpan w:val="2"/>
          </w:tcPr>
          <w:p w14:paraId="08B9164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Détermination du statut mutationnel et de l’usage des gènes de la partie variable des gènes des chaînes lourdes d’immunoglobulines chez des patients avec une leucémie lymphoïde chronique</w:t>
            </w:r>
          </w:p>
        </w:tc>
        <w:tc>
          <w:tcPr>
            <w:tcW w:w="579" w:type="dxa"/>
            <w:vAlign w:val="bottom"/>
          </w:tcPr>
          <w:p w14:paraId="3F97C7A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 xml:space="preserve">B </w:t>
            </w:r>
          </w:p>
        </w:tc>
        <w:tc>
          <w:tcPr>
            <w:tcW w:w="676" w:type="dxa"/>
            <w:vAlign w:val="bottom"/>
          </w:tcPr>
          <w:p w14:paraId="3CD33E2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8000</w:t>
            </w:r>
          </w:p>
        </w:tc>
        <w:tc>
          <w:tcPr>
            <w:tcW w:w="289" w:type="dxa"/>
            <w:vAlign w:val="bottom"/>
          </w:tcPr>
          <w:p w14:paraId="0F04AB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36BDB03" w14:textId="77777777" w:rsidTr="00FD6D88">
        <w:trPr>
          <w:cantSplit/>
        </w:trPr>
        <w:tc>
          <w:tcPr>
            <w:tcW w:w="289" w:type="dxa"/>
          </w:tcPr>
          <w:p w14:paraId="29AAA7A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2ED9C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0A1C80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1984CE67"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16EF0EED"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rPr>
              <w:t>(Maximum 1) (Règle de cumul 2) (Règle diagnostique 18)</w:t>
            </w:r>
          </w:p>
        </w:tc>
        <w:tc>
          <w:tcPr>
            <w:tcW w:w="579" w:type="dxa"/>
            <w:vAlign w:val="bottom"/>
          </w:tcPr>
          <w:p w14:paraId="6C1C54D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5EFA58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5AE1BC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bookmarkEnd w:id="4"/>
      <w:tr w:rsidR="003169F4" w:rsidRPr="003169F4" w14:paraId="28FB5B87" w14:textId="77777777" w:rsidTr="00FD6D88">
        <w:trPr>
          <w:cantSplit/>
        </w:trPr>
        <w:tc>
          <w:tcPr>
            <w:tcW w:w="289" w:type="dxa"/>
          </w:tcPr>
          <w:p w14:paraId="7BBDCD6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B7D64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47AB1F4"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0209AFEA"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6752" w:type="dxa"/>
            <w:gridSpan w:val="4"/>
          </w:tcPr>
          <w:p w14:paraId="48AE686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5E8A47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C832AF0" w14:textId="77777777" w:rsidTr="00FD6D88">
        <w:trPr>
          <w:cantSplit/>
        </w:trPr>
        <w:tc>
          <w:tcPr>
            <w:tcW w:w="289" w:type="dxa"/>
          </w:tcPr>
          <w:p w14:paraId="4DF317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1CBBCC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01541E9"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4A8E3C8C"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6752" w:type="dxa"/>
            <w:gridSpan w:val="4"/>
          </w:tcPr>
          <w:p w14:paraId="4DB59A79"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16.12.2022" (en vigueur 1.3.2023)</w:t>
            </w:r>
          </w:p>
        </w:tc>
        <w:tc>
          <w:tcPr>
            <w:tcW w:w="289" w:type="dxa"/>
            <w:vAlign w:val="bottom"/>
          </w:tcPr>
          <w:p w14:paraId="4AF3F82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41751D2" w14:textId="77777777" w:rsidTr="00FD6D88">
        <w:trPr>
          <w:cantSplit/>
        </w:trPr>
        <w:tc>
          <w:tcPr>
            <w:tcW w:w="289" w:type="dxa"/>
          </w:tcPr>
          <w:p w14:paraId="1F12F2F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bookmarkStart w:id="5" w:name="_Hlk126057235"/>
          </w:p>
        </w:tc>
        <w:tc>
          <w:tcPr>
            <w:tcW w:w="578" w:type="dxa"/>
          </w:tcPr>
          <w:p w14:paraId="34FF7C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85A9F2A"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5798FBF4"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6752" w:type="dxa"/>
            <w:gridSpan w:val="4"/>
          </w:tcPr>
          <w:p w14:paraId="230696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La prestation 587834-587845 peut être attestée uniquement une seule fois au cours de la vie d’un patient.</w:t>
            </w:r>
            <w:r w:rsidRPr="003169F4">
              <w:rPr>
                <w:rFonts w:ascii="Times New Roman" w:eastAsia="Times New Roman" w:hAnsi="Times New Roman" w:cs="Times New Roman"/>
                <w:sz w:val="20"/>
                <w:szCs w:val="20"/>
              </w:rPr>
              <w:t xml:space="preserve"> </w:t>
            </w:r>
            <w:r w:rsidRPr="003169F4">
              <w:rPr>
                <w:rFonts w:ascii="Arial" w:eastAsia="Times New Roman" w:hAnsi="Arial" w:cs="Arial"/>
                <w:color w:val="0000FF"/>
                <w:sz w:val="20"/>
                <w:szCs w:val="20"/>
                <w:lang w:val="fr-FR"/>
              </w:rPr>
              <w:t>"</w:t>
            </w:r>
          </w:p>
        </w:tc>
        <w:tc>
          <w:tcPr>
            <w:tcW w:w="289" w:type="dxa"/>
            <w:vAlign w:val="bottom"/>
          </w:tcPr>
          <w:p w14:paraId="4EC7DA8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bookmarkEnd w:id="5"/>
      <w:tr w:rsidR="003169F4" w:rsidRPr="003169F4" w14:paraId="374D11F5" w14:textId="77777777" w:rsidTr="00FD6D88">
        <w:trPr>
          <w:cantSplit/>
        </w:trPr>
        <w:tc>
          <w:tcPr>
            <w:tcW w:w="289" w:type="dxa"/>
          </w:tcPr>
          <w:p w14:paraId="6DAACAE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C3672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FCDEBB1"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79D7CEF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6752" w:type="dxa"/>
            <w:gridSpan w:val="4"/>
          </w:tcPr>
          <w:p w14:paraId="672B1E76"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7C3C7B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4D30CE1" w14:textId="77777777" w:rsidTr="00FD6D88">
        <w:trPr>
          <w:cantSplit/>
        </w:trPr>
        <w:tc>
          <w:tcPr>
            <w:tcW w:w="289" w:type="dxa"/>
          </w:tcPr>
          <w:p w14:paraId="22B6C3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883CE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3A12A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8F0C10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72A81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w:t>
            </w:r>
          </w:p>
        </w:tc>
        <w:tc>
          <w:tcPr>
            <w:tcW w:w="579" w:type="dxa"/>
            <w:vAlign w:val="bottom"/>
          </w:tcPr>
          <w:p w14:paraId="34B93E7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19F1ED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06F31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851C5E3" w14:textId="77777777" w:rsidTr="00FD6D88">
        <w:trPr>
          <w:cantSplit/>
        </w:trPr>
        <w:tc>
          <w:tcPr>
            <w:tcW w:w="289" w:type="dxa"/>
          </w:tcPr>
          <w:p w14:paraId="7FA1CD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p>
        </w:tc>
        <w:tc>
          <w:tcPr>
            <w:tcW w:w="578" w:type="dxa"/>
          </w:tcPr>
          <w:p w14:paraId="7D58AF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E57BAD7"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587856</w:t>
            </w:r>
          </w:p>
        </w:tc>
        <w:tc>
          <w:tcPr>
            <w:tcW w:w="862" w:type="dxa"/>
          </w:tcPr>
          <w:p w14:paraId="16A798DC"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587860</w:t>
            </w:r>
          </w:p>
        </w:tc>
        <w:tc>
          <w:tcPr>
            <w:tcW w:w="5497" w:type="dxa"/>
            <w:gridSpan w:val="2"/>
          </w:tcPr>
          <w:p w14:paraId="369FDFB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Suivi du statut chimérique des cellules T sélectionnées après une transplantation allogène de cellules souches au moyen d'une méthode de biologie moléculaire</w:t>
            </w:r>
          </w:p>
        </w:tc>
        <w:tc>
          <w:tcPr>
            <w:tcW w:w="579" w:type="dxa"/>
            <w:vAlign w:val="bottom"/>
          </w:tcPr>
          <w:p w14:paraId="2E56B81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B</w:t>
            </w:r>
          </w:p>
        </w:tc>
        <w:tc>
          <w:tcPr>
            <w:tcW w:w="676" w:type="dxa"/>
            <w:vAlign w:val="bottom"/>
          </w:tcPr>
          <w:p w14:paraId="4FE0215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noProof/>
                <w:color w:val="0000FF"/>
                <w:sz w:val="20"/>
                <w:szCs w:val="20"/>
              </w:rPr>
              <w:t>5000</w:t>
            </w:r>
          </w:p>
        </w:tc>
        <w:tc>
          <w:tcPr>
            <w:tcW w:w="289" w:type="dxa"/>
            <w:vAlign w:val="bottom"/>
          </w:tcPr>
          <w:p w14:paraId="646B02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90DE5FF" w14:textId="77777777" w:rsidTr="00FD6D88">
        <w:trPr>
          <w:cantSplit/>
        </w:trPr>
        <w:tc>
          <w:tcPr>
            <w:tcW w:w="289" w:type="dxa"/>
          </w:tcPr>
          <w:p w14:paraId="7421940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73855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73D157C"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5D6E253D"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65978447"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rPr>
              <w:t>(Maximum 1) (Règle de cumul 3) (Règle diagnostique 11)</w:t>
            </w:r>
          </w:p>
        </w:tc>
        <w:tc>
          <w:tcPr>
            <w:tcW w:w="579" w:type="dxa"/>
            <w:vAlign w:val="bottom"/>
          </w:tcPr>
          <w:p w14:paraId="00BA7FF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DCB2CD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683603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EEF0C07" w14:textId="77777777" w:rsidTr="00FD6D88">
        <w:trPr>
          <w:cantSplit/>
        </w:trPr>
        <w:tc>
          <w:tcPr>
            <w:tcW w:w="289" w:type="dxa"/>
          </w:tcPr>
          <w:p w14:paraId="653D2D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70BF94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1666AA4"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7115CD3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6C6FE88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1C37E8E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7EE640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F80E5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720C9B9" w14:textId="77777777" w:rsidTr="00FD6D88">
        <w:trPr>
          <w:cantSplit/>
        </w:trPr>
        <w:tc>
          <w:tcPr>
            <w:tcW w:w="289" w:type="dxa"/>
          </w:tcPr>
          <w:p w14:paraId="03AD124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1A30E4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7687804"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587871</w:t>
            </w:r>
          </w:p>
        </w:tc>
        <w:tc>
          <w:tcPr>
            <w:tcW w:w="862" w:type="dxa"/>
          </w:tcPr>
          <w:p w14:paraId="4DD0F556"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587882</w:t>
            </w:r>
          </w:p>
        </w:tc>
        <w:tc>
          <w:tcPr>
            <w:tcW w:w="5497" w:type="dxa"/>
            <w:gridSpan w:val="2"/>
          </w:tcPr>
          <w:p w14:paraId="6460D3CF"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Dépistage d'anomalies géniques sub-microscopiques au moyen d'une méthode de biologie moléculaire complexe pangénomique dans la phase d'investigation diagnostique d'une leucémie lymphoïde chronique ou d'un myélome multiple</w:t>
            </w:r>
          </w:p>
        </w:tc>
        <w:tc>
          <w:tcPr>
            <w:tcW w:w="579" w:type="dxa"/>
            <w:vAlign w:val="bottom"/>
          </w:tcPr>
          <w:p w14:paraId="71AA97C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rPr>
              <w:t>B</w:t>
            </w:r>
          </w:p>
        </w:tc>
        <w:tc>
          <w:tcPr>
            <w:tcW w:w="676" w:type="dxa"/>
            <w:vAlign w:val="bottom"/>
          </w:tcPr>
          <w:p w14:paraId="388E40A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rPr>
              <w:t>20000</w:t>
            </w:r>
          </w:p>
        </w:tc>
        <w:tc>
          <w:tcPr>
            <w:tcW w:w="289" w:type="dxa"/>
            <w:vAlign w:val="bottom"/>
          </w:tcPr>
          <w:p w14:paraId="445334E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2764F49" w14:textId="77777777" w:rsidTr="00FD6D88">
        <w:trPr>
          <w:cantSplit/>
        </w:trPr>
        <w:tc>
          <w:tcPr>
            <w:tcW w:w="289" w:type="dxa"/>
          </w:tcPr>
          <w:p w14:paraId="4FE78F3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16DA54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66AFB3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31339BE9"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23F10A6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en-GB"/>
              </w:rPr>
              <w:t>(Maximum 1) (Règle diagnostique 19)</w:t>
            </w:r>
          </w:p>
        </w:tc>
        <w:tc>
          <w:tcPr>
            <w:tcW w:w="579" w:type="dxa"/>
            <w:vAlign w:val="bottom"/>
          </w:tcPr>
          <w:p w14:paraId="71297D5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FBB587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13D947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B74ADB3" w14:textId="77777777" w:rsidTr="00FD6D88">
        <w:trPr>
          <w:cantSplit/>
        </w:trPr>
        <w:tc>
          <w:tcPr>
            <w:tcW w:w="289" w:type="dxa"/>
          </w:tcPr>
          <w:p w14:paraId="2FCC6F2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0CFDCA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1514EE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374C07D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7AD6D2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1E5DEAF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40B68E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14C382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D61B2FA" w14:textId="77777777" w:rsidTr="00FD6D88">
        <w:trPr>
          <w:cantSplit/>
        </w:trPr>
        <w:tc>
          <w:tcPr>
            <w:tcW w:w="289" w:type="dxa"/>
          </w:tcPr>
          <w:p w14:paraId="3638684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D04FA6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3072B5E"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587893</w:t>
            </w:r>
          </w:p>
        </w:tc>
        <w:tc>
          <w:tcPr>
            <w:tcW w:w="862" w:type="dxa"/>
          </w:tcPr>
          <w:p w14:paraId="351788D8"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587904</w:t>
            </w:r>
          </w:p>
        </w:tc>
        <w:tc>
          <w:tcPr>
            <w:tcW w:w="5497" w:type="dxa"/>
            <w:gridSpan w:val="2"/>
          </w:tcPr>
          <w:p w14:paraId="62E99C2F"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Dépistage d'anomalies acquises chromosomiques ou géniques (à l'exception du réarrangement des gènes des immunoglobulines ou des gènes du récepteur des cellules T), au moyen d'une méthode de biologie moléculaire : dans la phase d'investigation diagnostique d'une leucémie myéloïde aiguë ou de l'anémie réfractaire avec excès de blastes (AREB-2)</w:t>
            </w:r>
          </w:p>
        </w:tc>
        <w:tc>
          <w:tcPr>
            <w:tcW w:w="579" w:type="dxa"/>
            <w:vAlign w:val="bottom"/>
          </w:tcPr>
          <w:p w14:paraId="3719AF7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rPr>
              <w:t>B</w:t>
            </w:r>
          </w:p>
        </w:tc>
        <w:tc>
          <w:tcPr>
            <w:tcW w:w="676" w:type="dxa"/>
            <w:vAlign w:val="bottom"/>
          </w:tcPr>
          <w:p w14:paraId="6F6DFDE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rPr>
              <w:t>3000</w:t>
            </w:r>
          </w:p>
        </w:tc>
        <w:tc>
          <w:tcPr>
            <w:tcW w:w="289" w:type="dxa"/>
            <w:vAlign w:val="bottom"/>
          </w:tcPr>
          <w:p w14:paraId="69B2D9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B5118D9" w14:textId="77777777" w:rsidTr="00FD6D88">
        <w:trPr>
          <w:cantSplit/>
        </w:trPr>
        <w:tc>
          <w:tcPr>
            <w:tcW w:w="289" w:type="dxa"/>
          </w:tcPr>
          <w:p w14:paraId="781BE22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0C001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00DE65"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59609677"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697941E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en-GB"/>
              </w:rPr>
              <w:t>(Maximum 8) (Règle diagnostique 1, 20)</w:t>
            </w:r>
            <w:r w:rsidRPr="003169F4">
              <w:rPr>
                <w:rFonts w:ascii="Arial" w:eastAsia="Times New Roman" w:hAnsi="Arial" w:cs="Times New Roman"/>
                <w:color w:val="0000FF"/>
                <w:sz w:val="20"/>
                <w:szCs w:val="20"/>
                <w:lang w:val="fr-FR"/>
              </w:rPr>
              <w:t>"</w:t>
            </w:r>
          </w:p>
        </w:tc>
        <w:tc>
          <w:tcPr>
            <w:tcW w:w="579" w:type="dxa"/>
            <w:vAlign w:val="bottom"/>
          </w:tcPr>
          <w:p w14:paraId="6BE1F94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724379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376456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E384BDE" w14:textId="77777777" w:rsidTr="00FD6D88">
        <w:trPr>
          <w:cantSplit/>
        </w:trPr>
        <w:tc>
          <w:tcPr>
            <w:tcW w:w="289" w:type="dxa"/>
          </w:tcPr>
          <w:p w14:paraId="4132F8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B760A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A700DD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17D11B73"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4C16D2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22A131D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D0240F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A8292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BFAB58F" w14:textId="77777777" w:rsidTr="00FD6D88">
        <w:trPr>
          <w:cantSplit/>
        </w:trPr>
        <w:tc>
          <w:tcPr>
            <w:tcW w:w="289" w:type="dxa"/>
          </w:tcPr>
          <w:p w14:paraId="50C36F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49DF6D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B14366D"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0178F201"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17E8D4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15.10.2017" (en vigueur 1.7.2017)</w:t>
            </w:r>
          </w:p>
        </w:tc>
        <w:tc>
          <w:tcPr>
            <w:tcW w:w="579" w:type="dxa"/>
            <w:vAlign w:val="bottom"/>
          </w:tcPr>
          <w:p w14:paraId="5A26445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0918172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C3C2F9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6DF074F" w14:textId="77777777" w:rsidTr="00FD6D88">
        <w:trPr>
          <w:cantSplit/>
        </w:trPr>
        <w:tc>
          <w:tcPr>
            <w:tcW w:w="289" w:type="dxa"/>
          </w:tcPr>
          <w:p w14:paraId="4C13F29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44F255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B5825D6"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5FB07B86"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107FBC6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color w:val="0000FF"/>
                <w:sz w:val="20"/>
                <w:szCs w:val="20"/>
                <w:lang w:val="fr-FR"/>
              </w:rPr>
              <w:t>"</w:t>
            </w:r>
            <w:r w:rsidRPr="003169F4">
              <w:rPr>
                <w:rFonts w:ascii="Arial" w:eastAsia="Times New Roman" w:hAnsi="Arial" w:cs="Arial"/>
                <w:color w:val="0000FF"/>
                <w:sz w:val="20"/>
                <w:szCs w:val="20"/>
              </w:rPr>
              <w:t>C.</w:t>
            </w:r>
          </w:p>
        </w:tc>
        <w:tc>
          <w:tcPr>
            <w:tcW w:w="579" w:type="dxa"/>
            <w:vAlign w:val="bottom"/>
          </w:tcPr>
          <w:p w14:paraId="0F6B13B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9DFD64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3B2B4AB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D5B72C8" w14:textId="77777777" w:rsidTr="00FD6D88">
        <w:trPr>
          <w:cantSplit/>
        </w:trPr>
        <w:tc>
          <w:tcPr>
            <w:tcW w:w="289" w:type="dxa"/>
          </w:tcPr>
          <w:p w14:paraId="3528229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FC3B9D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2BE70A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0EF3E1C7"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3D294A90" w14:textId="77777777" w:rsidR="003169F4" w:rsidRPr="003169F4" w:rsidRDefault="003169F4" w:rsidP="003169F4">
            <w:pPr>
              <w:spacing w:after="0" w:line="240" w:lineRule="atLeast"/>
              <w:jc w:val="both"/>
              <w:rPr>
                <w:rFonts w:ascii="Arial" w:eastAsia="Times New Roman" w:hAnsi="Arial" w:cs="Times New Roman"/>
                <w:color w:val="0000FF"/>
                <w:sz w:val="20"/>
                <w:szCs w:val="20"/>
                <w:lang w:val="fr-FR"/>
              </w:rPr>
            </w:pPr>
          </w:p>
        </w:tc>
        <w:tc>
          <w:tcPr>
            <w:tcW w:w="579" w:type="dxa"/>
            <w:vAlign w:val="bottom"/>
          </w:tcPr>
          <w:p w14:paraId="741E43C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81B6F2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F85069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89BE1FA" w14:textId="77777777" w:rsidTr="00FD6D88">
        <w:trPr>
          <w:cantSplit/>
        </w:trPr>
        <w:tc>
          <w:tcPr>
            <w:tcW w:w="289" w:type="dxa"/>
          </w:tcPr>
          <w:p w14:paraId="084F09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B2DFDC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E6C89F1"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Calibri" w:hAnsi="Arial" w:cs="Arial"/>
                <w:color w:val="0000FF"/>
                <w:sz w:val="20"/>
                <w:szCs w:val="20"/>
              </w:rPr>
              <w:t>565611</w:t>
            </w:r>
          </w:p>
        </w:tc>
        <w:tc>
          <w:tcPr>
            <w:tcW w:w="862" w:type="dxa"/>
          </w:tcPr>
          <w:p w14:paraId="74F4983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Calibri" w:hAnsi="Arial" w:cs="Arial"/>
                <w:color w:val="0000FF"/>
                <w:sz w:val="20"/>
                <w:szCs w:val="20"/>
              </w:rPr>
              <w:t>565622</w:t>
            </w:r>
          </w:p>
        </w:tc>
        <w:tc>
          <w:tcPr>
            <w:tcW w:w="5497" w:type="dxa"/>
            <w:gridSpan w:val="2"/>
          </w:tcPr>
          <w:p w14:paraId="667FB876" w14:textId="77777777" w:rsidR="003169F4" w:rsidRPr="003169F4" w:rsidRDefault="003169F4" w:rsidP="003169F4">
            <w:pPr>
              <w:spacing w:after="0" w:line="240" w:lineRule="auto"/>
              <w:jc w:val="both"/>
              <w:rPr>
                <w:rFonts w:ascii="Arial" w:eastAsia="Times New Roman" w:hAnsi="Arial" w:cs="Arial"/>
                <w:color w:val="0000FF"/>
                <w:sz w:val="20"/>
                <w:szCs w:val="20"/>
                <w:lang w:val="fr-FR"/>
              </w:rPr>
            </w:pPr>
            <w:r w:rsidRPr="003169F4">
              <w:rPr>
                <w:rFonts w:ascii="Arial" w:eastAsia="Calibri" w:hAnsi="Arial" w:cs="Arial"/>
                <w:color w:val="0000FF"/>
                <w:sz w:val="20"/>
                <w:szCs w:val="20"/>
              </w:rPr>
              <w:t>Dépistage prénatal de la trisomie 21 par une méthode de biologie moléculaire sur un prélèvement sanguin de la mère à partir de la 12</w:t>
            </w:r>
            <w:r w:rsidRPr="003169F4">
              <w:rPr>
                <w:rFonts w:ascii="Arial" w:eastAsia="Calibri" w:hAnsi="Arial" w:cs="Arial"/>
                <w:color w:val="0000FF"/>
                <w:sz w:val="20"/>
                <w:szCs w:val="20"/>
                <w:vertAlign w:val="superscript"/>
              </w:rPr>
              <w:t>e</w:t>
            </w:r>
            <w:r w:rsidRPr="003169F4">
              <w:rPr>
                <w:rFonts w:ascii="Arial" w:eastAsia="Calibri" w:hAnsi="Arial" w:cs="Arial"/>
                <w:color w:val="0000FF"/>
                <w:sz w:val="20"/>
                <w:szCs w:val="20"/>
              </w:rPr>
              <w:t xml:space="preserve"> semaine de grossesse</w:t>
            </w:r>
          </w:p>
        </w:tc>
        <w:tc>
          <w:tcPr>
            <w:tcW w:w="579" w:type="dxa"/>
            <w:vAlign w:val="bottom"/>
          </w:tcPr>
          <w:p w14:paraId="4CD4824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Calibri" w:hAnsi="Arial" w:cs="Arial"/>
                <w:color w:val="0000FF"/>
                <w:sz w:val="20"/>
                <w:szCs w:val="20"/>
              </w:rPr>
              <w:t>B</w:t>
            </w:r>
          </w:p>
        </w:tc>
        <w:tc>
          <w:tcPr>
            <w:tcW w:w="676" w:type="dxa"/>
            <w:vAlign w:val="bottom"/>
          </w:tcPr>
          <w:p w14:paraId="0F96977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Calibri" w:hAnsi="Arial" w:cs="Arial"/>
                <w:color w:val="0000FF"/>
                <w:sz w:val="20"/>
                <w:szCs w:val="20"/>
              </w:rPr>
              <w:t>6100</w:t>
            </w:r>
          </w:p>
        </w:tc>
        <w:tc>
          <w:tcPr>
            <w:tcW w:w="289" w:type="dxa"/>
            <w:vAlign w:val="bottom"/>
          </w:tcPr>
          <w:p w14:paraId="1F3E6B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FC1BEA9" w14:textId="77777777" w:rsidTr="00FD6D88">
        <w:trPr>
          <w:cantSplit/>
        </w:trPr>
        <w:tc>
          <w:tcPr>
            <w:tcW w:w="289" w:type="dxa"/>
          </w:tcPr>
          <w:p w14:paraId="4F38FAC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7F97E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97CCF1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642294CD"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1DB373B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Calibri" w:hAnsi="Arial" w:cs="Arial"/>
                <w:color w:val="0000FF"/>
                <w:sz w:val="20"/>
                <w:szCs w:val="20"/>
              </w:rPr>
              <w:t>(Maximum 1) (Règle de cumul 4) (Règles diagnostiques 23 et 24)"</w:t>
            </w:r>
          </w:p>
        </w:tc>
        <w:tc>
          <w:tcPr>
            <w:tcW w:w="579" w:type="dxa"/>
            <w:vAlign w:val="bottom"/>
          </w:tcPr>
          <w:p w14:paraId="0869DA0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5FDE86D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6E73AA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4696B3E" w14:textId="77777777" w:rsidTr="00FD6D88">
        <w:trPr>
          <w:cantSplit/>
        </w:trPr>
        <w:tc>
          <w:tcPr>
            <w:tcW w:w="289" w:type="dxa"/>
          </w:tcPr>
          <w:p w14:paraId="66BC10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7D0927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79025B6"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7003BDB0"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5A90EB7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4A62F0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667614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770CE2E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3326DDF" w14:textId="77777777" w:rsidTr="00FD6D88">
        <w:trPr>
          <w:cantSplit/>
        </w:trPr>
        <w:tc>
          <w:tcPr>
            <w:tcW w:w="289" w:type="dxa"/>
          </w:tcPr>
          <w:p w14:paraId="1B4413B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1DB47C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10060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71C5409E"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6752" w:type="dxa"/>
            <w:gridSpan w:val="4"/>
          </w:tcPr>
          <w:p w14:paraId="374CDF11"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19.9.2018" (en vigueur 1.12.2018)</w:t>
            </w:r>
          </w:p>
        </w:tc>
        <w:tc>
          <w:tcPr>
            <w:tcW w:w="289" w:type="dxa"/>
            <w:vAlign w:val="bottom"/>
          </w:tcPr>
          <w:p w14:paraId="1B1657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DCA9C9D" w14:textId="77777777" w:rsidTr="00FD6D88">
        <w:trPr>
          <w:cantSplit/>
        </w:trPr>
        <w:tc>
          <w:tcPr>
            <w:tcW w:w="289" w:type="dxa"/>
          </w:tcPr>
          <w:p w14:paraId="00ADD22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7645A0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FDF2818"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3F120CBA"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6752" w:type="dxa"/>
            <w:gridSpan w:val="4"/>
          </w:tcPr>
          <w:p w14:paraId="327F2239" w14:textId="77777777" w:rsidR="003169F4" w:rsidRPr="003169F4" w:rsidRDefault="003169F4" w:rsidP="003169F4">
            <w:pPr>
              <w:spacing w:after="0" w:line="240" w:lineRule="atLeast"/>
              <w:rPr>
                <w:rFonts w:ascii="Arial" w:eastAsia="Times New Roman" w:hAnsi="Arial" w:cs="Arial"/>
                <w:b/>
                <w:color w:val="0000FF"/>
                <w:sz w:val="20"/>
                <w:szCs w:val="20"/>
                <w:lang w:val="fr-FR"/>
              </w:rPr>
            </w:pPr>
            <w:r w:rsidRPr="003169F4">
              <w:rPr>
                <w:rFonts w:ascii="Arial" w:eastAsia="Times New Roman" w:hAnsi="Arial" w:cs="Arial"/>
                <w:b/>
                <w:color w:val="0000FF"/>
                <w:sz w:val="20"/>
                <w:szCs w:val="20"/>
                <w:lang w:val="fr-FR"/>
              </w:rPr>
              <w:t>"§ 1/1</w:t>
            </w:r>
            <w:r w:rsidRPr="003169F4">
              <w:rPr>
                <w:rFonts w:ascii="Arial" w:eastAsia="Times New Roman" w:hAnsi="Arial" w:cs="Arial"/>
                <w:color w:val="0000FF"/>
                <w:sz w:val="20"/>
                <w:szCs w:val="20"/>
                <w:lang w:val="fr-FR"/>
              </w:rPr>
              <w:t>. Typages HLA par tests de biologie moléculaire.</w:t>
            </w:r>
          </w:p>
        </w:tc>
        <w:tc>
          <w:tcPr>
            <w:tcW w:w="289" w:type="dxa"/>
            <w:vAlign w:val="bottom"/>
          </w:tcPr>
          <w:p w14:paraId="5250B8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52AE4B4" w14:textId="77777777" w:rsidTr="00FD6D88">
        <w:trPr>
          <w:cantSplit/>
        </w:trPr>
        <w:tc>
          <w:tcPr>
            <w:tcW w:w="289" w:type="dxa"/>
          </w:tcPr>
          <w:p w14:paraId="60E7415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2C1E49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36B7416"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4C5133CD"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623D2812"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579" w:type="dxa"/>
            <w:vAlign w:val="bottom"/>
          </w:tcPr>
          <w:p w14:paraId="5F372A4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625CF92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3CEF2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F052554" w14:textId="77777777" w:rsidTr="00FD6D88">
        <w:trPr>
          <w:cantSplit/>
        </w:trPr>
        <w:tc>
          <w:tcPr>
            <w:tcW w:w="289" w:type="dxa"/>
          </w:tcPr>
          <w:p w14:paraId="6994A0A2"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05E35F7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D302D1"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555354</w:t>
            </w:r>
          </w:p>
        </w:tc>
        <w:tc>
          <w:tcPr>
            <w:tcW w:w="862" w:type="dxa"/>
          </w:tcPr>
          <w:p w14:paraId="002005EA"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555365</w:t>
            </w:r>
          </w:p>
        </w:tc>
        <w:tc>
          <w:tcPr>
            <w:tcW w:w="5497" w:type="dxa"/>
            <w:gridSpan w:val="2"/>
          </w:tcPr>
          <w:p w14:paraId="678F8A64"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Détermination loci HLA A et/ou B et/ou Cw et/ou DR et/ou DQ et/ou DP chez un candidat à une transplantation d'organes, au moyen d’une méthode de biologie moléculaire par locus</w:t>
            </w:r>
          </w:p>
        </w:tc>
        <w:tc>
          <w:tcPr>
            <w:tcW w:w="579" w:type="dxa"/>
            <w:vAlign w:val="bottom"/>
          </w:tcPr>
          <w:p w14:paraId="08BD1AD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59BC4DC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2000</w:t>
            </w:r>
          </w:p>
        </w:tc>
        <w:tc>
          <w:tcPr>
            <w:tcW w:w="289" w:type="dxa"/>
            <w:vAlign w:val="bottom"/>
          </w:tcPr>
          <w:p w14:paraId="2801902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EA49875" w14:textId="77777777" w:rsidTr="00FD6D88">
        <w:trPr>
          <w:cantSplit/>
        </w:trPr>
        <w:tc>
          <w:tcPr>
            <w:tcW w:w="289" w:type="dxa"/>
          </w:tcPr>
          <w:p w14:paraId="6375E19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3C5BD1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97AE9FF"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6B6FAAFC"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35FF6D19"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5) (Règle diagnostique 25)</w:t>
            </w:r>
          </w:p>
        </w:tc>
        <w:tc>
          <w:tcPr>
            <w:tcW w:w="579" w:type="dxa"/>
            <w:vAlign w:val="bottom"/>
          </w:tcPr>
          <w:p w14:paraId="2309331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32FAFA5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162996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BDE23A2" w14:textId="77777777" w:rsidTr="00FD6D88">
        <w:trPr>
          <w:cantSplit/>
        </w:trPr>
        <w:tc>
          <w:tcPr>
            <w:tcW w:w="289" w:type="dxa"/>
          </w:tcPr>
          <w:p w14:paraId="2B797A4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6E54AA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30AAC4"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0313E89D"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2DCF867C"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579" w:type="dxa"/>
            <w:vAlign w:val="bottom"/>
          </w:tcPr>
          <w:p w14:paraId="0D67066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46DBFF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4169333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93ECD7C" w14:textId="77777777" w:rsidTr="00FD6D88">
        <w:trPr>
          <w:cantSplit/>
        </w:trPr>
        <w:tc>
          <w:tcPr>
            <w:tcW w:w="289" w:type="dxa"/>
          </w:tcPr>
          <w:p w14:paraId="140A049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5F5E45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EA31818"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555413</w:t>
            </w:r>
          </w:p>
        </w:tc>
        <w:tc>
          <w:tcPr>
            <w:tcW w:w="862" w:type="dxa"/>
          </w:tcPr>
          <w:p w14:paraId="11E0374C"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555424</w:t>
            </w:r>
          </w:p>
        </w:tc>
        <w:tc>
          <w:tcPr>
            <w:tcW w:w="5497" w:type="dxa"/>
            <w:gridSpan w:val="2"/>
          </w:tcPr>
          <w:p w14:paraId="61B62BA2"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Détermination des loci HLA A et/ou B et/ou Cw et/ou DR et/ou DQ et/ou DP chez un candidat donneur vivant, en vue d’une transplantation d’organe, au moyen d’une méthode de biologie moléculaire</w:t>
            </w:r>
          </w:p>
        </w:tc>
        <w:tc>
          <w:tcPr>
            <w:tcW w:w="579" w:type="dxa"/>
            <w:vAlign w:val="bottom"/>
          </w:tcPr>
          <w:p w14:paraId="24B4DB9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49580AD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2000</w:t>
            </w:r>
          </w:p>
        </w:tc>
        <w:tc>
          <w:tcPr>
            <w:tcW w:w="289" w:type="dxa"/>
            <w:vAlign w:val="bottom"/>
          </w:tcPr>
          <w:p w14:paraId="51A59B2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F3A73B2" w14:textId="77777777" w:rsidTr="00FD6D88">
        <w:trPr>
          <w:cantSplit/>
        </w:trPr>
        <w:tc>
          <w:tcPr>
            <w:tcW w:w="289" w:type="dxa"/>
          </w:tcPr>
          <w:p w14:paraId="595DFA78"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055EA1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A55C9FE"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6832CD51"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7FFB9788"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5) (Règle diagnostique 25)</w:t>
            </w:r>
          </w:p>
        </w:tc>
        <w:tc>
          <w:tcPr>
            <w:tcW w:w="579" w:type="dxa"/>
            <w:vAlign w:val="bottom"/>
          </w:tcPr>
          <w:p w14:paraId="71F126F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4B7043D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CE884C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4B3BC5C" w14:textId="77777777" w:rsidTr="00FD6D88">
        <w:trPr>
          <w:cantSplit/>
        </w:trPr>
        <w:tc>
          <w:tcPr>
            <w:tcW w:w="289" w:type="dxa"/>
          </w:tcPr>
          <w:p w14:paraId="307576B7"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55818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B003E5"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5E924088"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2BC2812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579" w:type="dxa"/>
            <w:vAlign w:val="bottom"/>
          </w:tcPr>
          <w:p w14:paraId="5FE2075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7D4081B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2EBC9BD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0A4CED7" w14:textId="77777777" w:rsidTr="00FD6D88">
        <w:trPr>
          <w:cantSplit/>
        </w:trPr>
        <w:tc>
          <w:tcPr>
            <w:tcW w:w="289" w:type="dxa"/>
          </w:tcPr>
          <w:p w14:paraId="4E4DD7CF"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1B5CF77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88F67B3"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555435</w:t>
            </w:r>
          </w:p>
        </w:tc>
        <w:tc>
          <w:tcPr>
            <w:tcW w:w="862" w:type="dxa"/>
          </w:tcPr>
          <w:p w14:paraId="108A3072"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r w:rsidRPr="003169F4">
              <w:rPr>
                <w:rFonts w:ascii="Arial" w:eastAsia="Times New Roman" w:hAnsi="Arial" w:cs="Arial"/>
                <w:noProof/>
                <w:color w:val="0000FF"/>
                <w:spacing w:val="-3"/>
                <w:sz w:val="20"/>
                <w:szCs w:val="20"/>
              </w:rPr>
              <w:t>555446</w:t>
            </w:r>
          </w:p>
        </w:tc>
        <w:tc>
          <w:tcPr>
            <w:tcW w:w="5497" w:type="dxa"/>
            <w:gridSpan w:val="2"/>
          </w:tcPr>
          <w:p w14:paraId="207146E7"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Détermination des loci HLA A et/ou B et/ou Cw et/ou DR et/ou DQ et/ou DP chez un donneur décédé, en vue d'une transplantation d'organe, au moyen d’une méthode de biologie moléculaire</w:t>
            </w:r>
          </w:p>
        </w:tc>
        <w:tc>
          <w:tcPr>
            <w:tcW w:w="579" w:type="dxa"/>
            <w:vAlign w:val="bottom"/>
          </w:tcPr>
          <w:p w14:paraId="34B9DC5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76" w:type="dxa"/>
            <w:vAlign w:val="bottom"/>
          </w:tcPr>
          <w:p w14:paraId="5945E57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4000</w:t>
            </w:r>
          </w:p>
        </w:tc>
        <w:tc>
          <w:tcPr>
            <w:tcW w:w="289" w:type="dxa"/>
            <w:vAlign w:val="bottom"/>
          </w:tcPr>
          <w:p w14:paraId="69800DF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00029FD" w14:textId="77777777" w:rsidTr="00FD6D88">
        <w:trPr>
          <w:cantSplit/>
        </w:trPr>
        <w:tc>
          <w:tcPr>
            <w:tcW w:w="289" w:type="dxa"/>
          </w:tcPr>
          <w:p w14:paraId="7D9FEF9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7BB733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E3E64AD"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7AA911D8"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431E72DF" w14:textId="77777777" w:rsidR="003169F4" w:rsidRPr="003169F4" w:rsidRDefault="003169F4" w:rsidP="003169F4">
            <w:pPr>
              <w:spacing w:after="0" w:line="240" w:lineRule="atLeas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(Maximum 6) (Règle diagnostique 25)"</w:t>
            </w:r>
          </w:p>
        </w:tc>
        <w:tc>
          <w:tcPr>
            <w:tcW w:w="579" w:type="dxa"/>
            <w:vAlign w:val="bottom"/>
          </w:tcPr>
          <w:p w14:paraId="0229A1F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1237491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DFCA2D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B52B225" w14:textId="77777777" w:rsidTr="00FD6D88">
        <w:trPr>
          <w:cantSplit/>
        </w:trPr>
        <w:tc>
          <w:tcPr>
            <w:tcW w:w="289" w:type="dxa"/>
          </w:tcPr>
          <w:p w14:paraId="7157899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4645D5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011B943"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862" w:type="dxa"/>
          </w:tcPr>
          <w:p w14:paraId="42FCF2BE" w14:textId="77777777" w:rsidR="003169F4" w:rsidRPr="003169F4" w:rsidRDefault="003169F4" w:rsidP="003169F4">
            <w:pPr>
              <w:spacing w:after="0" w:line="240" w:lineRule="atLeast"/>
              <w:jc w:val="both"/>
              <w:rPr>
                <w:rFonts w:ascii="Arial" w:eastAsia="Times New Roman" w:hAnsi="Arial" w:cs="Arial"/>
                <w:noProof/>
                <w:color w:val="0000FF"/>
                <w:spacing w:val="-3"/>
                <w:sz w:val="20"/>
                <w:szCs w:val="20"/>
              </w:rPr>
            </w:pPr>
          </w:p>
        </w:tc>
        <w:tc>
          <w:tcPr>
            <w:tcW w:w="5497" w:type="dxa"/>
            <w:gridSpan w:val="2"/>
          </w:tcPr>
          <w:p w14:paraId="7CF92DB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579" w:type="dxa"/>
            <w:vAlign w:val="bottom"/>
          </w:tcPr>
          <w:p w14:paraId="7E5C23B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FD31A1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509CD2E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2A25212" w14:textId="77777777" w:rsidTr="00FD6D88">
        <w:trPr>
          <w:cantSplit/>
        </w:trPr>
        <w:tc>
          <w:tcPr>
            <w:tcW w:w="289" w:type="dxa"/>
          </w:tcPr>
          <w:p w14:paraId="1E88F5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7507A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579E55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060E37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00365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lang w:val="en-GB"/>
              </w:rPr>
              <w:t>"A.R. 7.6.2007" (en vigueur 1.8.</w:t>
            </w:r>
            <w:r w:rsidRPr="003169F4">
              <w:rPr>
                <w:rFonts w:ascii="Arial" w:eastAsia="Times New Roman" w:hAnsi="Arial" w:cs="Times New Roman"/>
                <w:i/>
                <w:color w:val="0000FF"/>
                <w:sz w:val="18"/>
                <w:szCs w:val="18"/>
                <w:lang w:val="en-GB"/>
              </w:rPr>
              <w:t>2007)</w:t>
            </w:r>
          </w:p>
        </w:tc>
        <w:tc>
          <w:tcPr>
            <w:tcW w:w="289" w:type="dxa"/>
            <w:vAlign w:val="bottom"/>
          </w:tcPr>
          <w:p w14:paraId="5D63A44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0558791" w14:textId="77777777" w:rsidTr="00FD6D88">
        <w:trPr>
          <w:cantSplit/>
        </w:trPr>
        <w:tc>
          <w:tcPr>
            <w:tcW w:w="289" w:type="dxa"/>
          </w:tcPr>
          <w:p w14:paraId="3833564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482B90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60192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50634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7FE03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b/>
                <w:color w:val="0000FF"/>
                <w:sz w:val="20"/>
                <w:szCs w:val="20"/>
                <w:lang w:val="fr-FR"/>
              </w:rPr>
              <w:t>"</w:t>
            </w:r>
            <w:r w:rsidRPr="003169F4">
              <w:rPr>
                <w:rFonts w:ascii="Arial" w:eastAsia="Times New Roman" w:hAnsi="Arial" w:cs="Arial"/>
                <w:b/>
                <w:color w:val="0000FF"/>
                <w:sz w:val="20"/>
                <w:szCs w:val="20"/>
                <w:lang w:val="fr-FR"/>
              </w:rPr>
              <w:t>§ 2.</w:t>
            </w:r>
            <w:r w:rsidRPr="003169F4">
              <w:rPr>
                <w:rFonts w:ascii="Arial" w:eastAsia="Times New Roman" w:hAnsi="Arial" w:cs="Arial"/>
                <w:color w:val="0000FF"/>
                <w:sz w:val="20"/>
                <w:szCs w:val="20"/>
                <w:lang w:val="fr-FR"/>
              </w:rPr>
              <w:t xml:space="preserve"> Les prestations de l'article 33</w:t>
            </w:r>
            <w:r w:rsidRPr="003169F4">
              <w:rPr>
                <w:rFonts w:ascii="Arial" w:eastAsia="Times New Roman" w:hAnsi="Arial" w:cs="Arial"/>
                <w:i/>
                <w:color w:val="0000FF"/>
                <w:sz w:val="20"/>
                <w:szCs w:val="20"/>
                <w:lang w:val="fr-FR"/>
              </w:rPr>
              <w:t>bis</w:t>
            </w:r>
            <w:r w:rsidRPr="003169F4">
              <w:rPr>
                <w:rFonts w:ascii="Arial" w:eastAsia="Times New Roman" w:hAnsi="Arial" w:cs="Arial"/>
                <w:color w:val="0000FF"/>
                <w:sz w:val="20"/>
                <w:szCs w:val="20"/>
                <w:lang w:val="fr-FR"/>
              </w:rPr>
              <w:t xml:space="preserve"> sont considérées comme des prestations pour lesquelles la compétence exigée est celle de spécialiste en biologie clinique, médecin spécialiste en anatomie-pathologique ou celles des médecins repris à l'article 33, § 2.</w:t>
            </w:r>
            <w:r w:rsidRPr="003169F4">
              <w:rPr>
                <w:rFonts w:ascii="Arial" w:eastAsia="Times New Roman" w:hAnsi="Arial" w:cs="Times New Roman"/>
                <w:color w:val="0000FF"/>
                <w:sz w:val="20"/>
                <w:szCs w:val="20"/>
                <w:lang w:val="fr-FR"/>
              </w:rPr>
              <w:t>"</w:t>
            </w:r>
          </w:p>
        </w:tc>
        <w:tc>
          <w:tcPr>
            <w:tcW w:w="289" w:type="dxa"/>
            <w:vAlign w:val="bottom"/>
          </w:tcPr>
          <w:p w14:paraId="26D9E5E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AA014CB" w14:textId="77777777" w:rsidTr="00FD6D88">
        <w:trPr>
          <w:cantSplit/>
        </w:trPr>
        <w:tc>
          <w:tcPr>
            <w:tcW w:w="289" w:type="dxa"/>
          </w:tcPr>
          <w:p w14:paraId="3C3E85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59209A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E884D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E1472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17DE10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252F9EC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2EEAA6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7AFDEDF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374CEB2" w14:textId="77777777" w:rsidTr="00FD6D88">
        <w:trPr>
          <w:cantSplit/>
        </w:trPr>
        <w:tc>
          <w:tcPr>
            <w:tcW w:w="289" w:type="dxa"/>
          </w:tcPr>
          <w:p w14:paraId="6A4AA2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C52E5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3462C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630C9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8B0F8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lang w:val="en-GB"/>
              </w:rPr>
              <w:t>"A.R. 7.6.2007" (en vigueur 1.8.2007)</w:t>
            </w:r>
          </w:p>
        </w:tc>
        <w:tc>
          <w:tcPr>
            <w:tcW w:w="289" w:type="dxa"/>
            <w:vAlign w:val="bottom"/>
          </w:tcPr>
          <w:p w14:paraId="283424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A824452" w14:textId="77777777" w:rsidTr="00FD6D88">
        <w:trPr>
          <w:cantSplit/>
        </w:trPr>
        <w:tc>
          <w:tcPr>
            <w:tcW w:w="289" w:type="dxa"/>
          </w:tcPr>
          <w:p w14:paraId="632A770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F2524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F02B85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66623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777DBE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b/>
                <w:color w:val="0000FF"/>
                <w:sz w:val="20"/>
                <w:szCs w:val="20"/>
                <w:lang w:val="fr-FR"/>
              </w:rPr>
              <w:t>"§ 3.</w:t>
            </w:r>
            <w:r w:rsidRPr="003169F4">
              <w:rPr>
                <w:rFonts w:ascii="Arial" w:eastAsia="Times New Roman" w:hAnsi="Arial" w:cs="Arial"/>
                <w:color w:val="0000FF"/>
                <w:sz w:val="20"/>
                <w:szCs w:val="20"/>
                <w:lang w:val="fr-FR"/>
              </w:rPr>
              <w:t xml:space="preserve"> Chaque prestation mentionnée au § 1</w:t>
            </w:r>
            <w:r w:rsidRPr="003169F4">
              <w:rPr>
                <w:rFonts w:ascii="Arial (W1)" w:eastAsia="Times New Roman" w:hAnsi="Arial (W1)" w:cs="Arial"/>
                <w:color w:val="0000FF"/>
                <w:sz w:val="20"/>
                <w:szCs w:val="20"/>
                <w:vertAlign w:val="superscript"/>
                <w:lang w:val="fr-FR"/>
              </w:rPr>
              <w:t>er</w:t>
            </w:r>
            <w:r w:rsidRPr="003169F4">
              <w:rPr>
                <w:rFonts w:ascii="Arial" w:eastAsia="Times New Roman" w:hAnsi="Arial" w:cs="Arial"/>
                <w:color w:val="0000FF"/>
                <w:sz w:val="20"/>
                <w:szCs w:val="20"/>
                <w:lang w:val="fr-FR"/>
              </w:rPr>
              <w:t xml:space="preserve"> comporte l'ensemble des manipulations permettant de réaliser un examen et dont la valeur du résultat peut être garantie."</w:t>
            </w:r>
          </w:p>
        </w:tc>
        <w:tc>
          <w:tcPr>
            <w:tcW w:w="289" w:type="dxa"/>
            <w:vAlign w:val="bottom"/>
          </w:tcPr>
          <w:p w14:paraId="0C3C908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6B898B4" w14:textId="77777777" w:rsidTr="00FD6D88">
        <w:trPr>
          <w:cantSplit/>
        </w:trPr>
        <w:tc>
          <w:tcPr>
            <w:tcW w:w="289" w:type="dxa"/>
          </w:tcPr>
          <w:p w14:paraId="4283C22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3BB124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AB900A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65B4F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807AD3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98DCEE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20477AA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7138AF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C883D61" w14:textId="77777777" w:rsidTr="00FD6D88">
        <w:trPr>
          <w:cantSplit/>
        </w:trPr>
        <w:tc>
          <w:tcPr>
            <w:tcW w:w="289" w:type="dxa"/>
          </w:tcPr>
          <w:p w14:paraId="12C6F9D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66BC6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F9BF6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4EDC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578E92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lang w:val="en-GB"/>
              </w:rPr>
              <w:t>"A.R. 7.6.2007" (en vigueur 1.8.200</w:t>
            </w:r>
            <w:r w:rsidRPr="003169F4">
              <w:rPr>
                <w:rFonts w:ascii="Arial" w:eastAsia="Times New Roman" w:hAnsi="Arial" w:cs="Times New Roman"/>
                <w:i/>
                <w:color w:val="0000FF"/>
                <w:sz w:val="18"/>
                <w:szCs w:val="18"/>
                <w:lang w:val="en-GB"/>
              </w:rPr>
              <w:t>7)</w:t>
            </w:r>
          </w:p>
        </w:tc>
        <w:tc>
          <w:tcPr>
            <w:tcW w:w="289" w:type="dxa"/>
            <w:vAlign w:val="bottom"/>
          </w:tcPr>
          <w:p w14:paraId="5A9476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7B98B66" w14:textId="77777777" w:rsidTr="00FD6D88">
        <w:trPr>
          <w:cantSplit/>
        </w:trPr>
        <w:tc>
          <w:tcPr>
            <w:tcW w:w="289" w:type="dxa"/>
          </w:tcPr>
          <w:p w14:paraId="61A76F7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F6B9E5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EA64A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C7EEA9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BFB37F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b/>
                <w:color w:val="0000FF"/>
                <w:sz w:val="20"/>
                <w:szCs w:val="20"/>
                <w:lang w:val="fr-FR"/>
              </w:rPr>
              <w:t xml:space="preserve">"§ 4. </w:t>
            </w:r>
            <w:r w:rsidRPr="003169F4">
              <w:rPr>
                <w:rFonts w:ascii="Arial" w:eastAsia="Times New Roman" w:hAnsi="Arial" w:cs="Arial"/>
                <w:color w:val="0000FF"/>
                <w:sz w:val="20"/>
                <w:szCs w:val="20"/>
                <w:lang w:val="fr-FR"/>
              </w:rPr>
              <w:t>Chaque prestation mentionnée au § 1</w:t>
            </w:r>
            <w:r w:rsidRPr="003169F4">
              <w:rPr>
                <w:rFonts w:ascii="Arial (W1)" w:eastAsia="Times New Roman" w:hAnsi="Arial (W1)" w:cs="Arial"/>
                <w:color w:val="0000FF"/>
                <w:sz w:val="20"/>
                <w:szCs w:val="20"/>
                <w:vertAlign w:val="superscript"/>
                <w:lang w:val="fr-FR"/>
              </w:rPr>
              <w:t>er</w:t>
            </w:r>
            <w:r w:rsidRPr="003169F4">
              <w:rPr>
                <w:rFonts w:ascii="Arial" w:eastAsia="Times New Roman" w:hAnsi="Arial" w:cs="Arial"/>
                <w:color w:val="0000FF"/>
                <w:sz w:val="20"/>
                <w:szCs w:val="20"/>
                <w:lang w:val="fr-FR"/>
              </w:rPr>
              <w:t xml:space="preserve"> donne lieu à un rapport circonstancié, adressé au médecin traitant, avec mention de l'examen, ou des examens effectués."</w:t>
            </w:r>
          </w:p>
        </w:tc>
        <w:tc>
          <w:tcPr>
            <w:tcW w:w="289" w:type="dxa"/>
            <w:vAlign w:val="bottom"/>
          </w:tcPr>
          <w:p w14:paraId="7F9DE72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F39EFCB" w14:textId="77777777" w:rsidTr="00FD6D88">
        <w:trPr>
          <w:cantSplit/>
        </w:trPr>
        <w:tc>
          <w:tcPr>
            <w:tcW w:w="289" w:type="dxa"/>
          </w:tcPr>
          <w:p w14:paraId="5425A5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356192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90F3C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A397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6FC5CD7" w14:textId="77777777" w:rsidR="003169F4" w:rsidRPr="003169F4" w:rsidRDefault="003169F4" w:rsidP="003169F4">
            <w:pPr>
              <w:spacing w:after="0" w:line="240" w:lineRule="atLeast"/>
              <w:jc w:val="both"/>
              <w:rPr>
                <w:rFonts w:ascii="Arial" w:eastAsia="Times New Roman" w:hAnsi="Arial" w:cs="Arial"/>
                <w:b/>
                <w:color w:val="0000FF"/>
                <w:sz w:val="20"/>
                <w:szCs w:val="20"/>
                <w:lang w:val="fr-FR"/>
              </w:rPr>
            </w:pPr>
          </w:p>
        </w:tc>
        <w:tc>
          <w:tcPr>
            <w:tcW w:w="289" w:type="dxa"/>
            <w:vAlign w:val="bottom"/>
          </w:tcPr>
          <w:p w14:paraId="4A8299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D611BD2" w14:textId="77777777" w:rsidTr="00FD6D88">
        <w:trPr>
          <w:cantSplit/>
        </w:trPr>
        <w:tc>
          <w:tcPr>
            <w:tcW w:w="289" w:type="dxa"/>
          </w:tcPr>
          <w:p w14:paraId="3CB0FF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D574EB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7382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F66D3D1" w14:textId="77777777" w:rsidR="003169F4" w:rsidRPr="003169F4" w:rsidRDefault="003169F4" w:rsidP="003169F4">
            <w:pPr>
              <w:spacing w:after="0" w:line="240" w:lineRule="atLeast"/>
              <w:jc w:val="both"/>
              <w:rPr>
                <w:rFonts w:ascii="Arial" w:eastAsia="Times New Roman" w:hAnsi="Arial" w:cs="Times New Roman"/>
                <w:i/>
                <w:color w:val="0000FF"/>
                <w:sz w:val="18"/>
                <w:szCs w:val="20"/>
                <w:lang w:val="fr-FR"/>
              </w:rPr>
            </w:pPr>
          </w:p>
        </w:tc>
        <w:tc>
          <w:tcPr>
            <w:tcW w:w="6752" w:type="dxa"/>
            <w:gridSpan w:val="4"/>
          </w:tcPr>
          <w:p w14:paraId="56D8F2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lang w:val="en-GB"/>
              </w:rPr>
              <w:t>"A.R. 7.6.2007" (en vigueur 1.8.2007)</w:t>
            </w:r>
          </w:p>
        </w:tc>
        <w:tc>
          <w:tcPr>
            <w:tcW w:w="289" w:type="dxa"/>
            <w:vAlign w:val="bottom"/>
          </w:tcPr>
          <w:p w14:paraId="5BE5E3C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C31C92E" w14:textId="77777777" w:rsidTr="00FD6D88">
        <w:trPr>
          <w:cantSplit/>
        </w:trPr>
        <w:tc>
          <w:tcPr>
            <w:tcW w:w="289" w:type="dxa"/>
          </w:tcPr>
          <w:p w14:paraId="317513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bookmarkStart w:id="6" w:name="_Hlk126057272"/>
          </w:p>
        </w:tc>
        <w:tc>
          <w:tcPr>
            <w:tcW w:w="578" w:type="dxa"/>
          </w:tcPr>
          <w:p w14:paraId="738517A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3EA4C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E7BE53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215C1D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b/>
                <w:color w:val="0000FF"/>
                <w:sz w:val="20"/>
                <w:szCs w:val="20"/>
                <w:lang w:val="fr-FR"/>
              </w:rPr>
              <w:t>"§ 5.</w:t>
            </w:r>
            <w:r w:rsidRPr="003169F4">
              <w:rPr>
                <w:rFonts w:ascii="Arial" w:eastAsia="Times New Roman" w:hAnsi="Arial" w:cs="Arial"/>
                <w:color w:val="0000FF"/>
                <w:sz w:val="20"/>
                <w:szCs w:val="20"/>
                <w:lang w:val="fr-FR"/>
              </w:rPr>
              <w:t xml:space="preserve"> Pour pouvoir être portées en compte, les prestations mentionnées au § 1</w:t>
            </w:r>
            <w:r w:rsidRPr="003169F4">
              <w:rPr>
                <w:rFonts w:ascii="Arial (W1)" w:eastAsia="Times New Roman" w:hAnsi="Arial (W1)" w:cs="Arial"/>
                <w:color w:val="0000FF"/>
                <w:sz w:val="20"/>
                <w:szCs w:val="20"/>
                <w:vertAlign w:val="superscript"/>
                <w:lang w:val="fr-FR"/>
              </w:rPr>
              <w:t>er</w:t>
            </w:r>
            <w:r w:rsidRPr="003169F4">
              <w:rPr>
                <w:rFonts w:ascii="Arial" w:eastAsia="Times New Roman" w:hAnsi="Arial" w:cs="Arial"/>
                <w:color w:val="0000FF"/>
                <w:sz w:val="20"/>
                <w:szCs w:val="20"/>
                <w:lang w:val="fr-FR"/>
              </w:rPr>
              <w:t xml:space="preserve"> doivent satisfaire aux conditions suivantes :"</w:t>
            </w:r>
          </w:p>
        </w:tc>
        <w:tc>
          <w:tcPr>
            <w:tcW w:w="289" w:type="dxa"/>
            <w:vAlign w:val="bottom"/>
          </w:tcPr>
          <w:p w14:paraId="27B9C11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bookmarkEnd w:id="6"/>
      <w:tr w:rsidR="003169F4" w:rsidRPr="003169F4" w14:paraId="1DE48701" w14:textId="77777777" w:rsidTr="00FD6D88">
        <w:trPr>
          <w:cantSplit/>
        </w:trPr>
        <w:tc>
          <w:tcPr>
            <w:tcW w:w="289" w:type="dxa"/>
          </w:tcPr>
          <w:p w14:paraId="3CFFAF2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7EFED1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A66AD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013FE3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A0BDB72" w14:textId="77777777" w:rsidR="003169F4" w:rsidRPr="003169F4" w:rsidRDefault="003169F4" w:rsidP="003169F4">
            <w:pPr>
              <w:spacing w:after="0" w:line="240" w:lineRule="atLeast"/>
              <w:jc w:val="both"/>
              <w:rPr>
                <w:rFonts w:ascii="Arial" w:eastAsia="Times New Roman" w:hAnsi="Arial" w:cs="Arial"/>
                <w:b/>
                <w:color w:val="0000FF"/>
                <w:sz w:val="20"/>
                <w:szCs w:val="20"/>
                <w:lang w:val="fr-FR"/>
              </w:rPr>
            </w:pPr>
          </w:p>
        </w:tc>
        <w:tc>
          <w:tcPr>
            <w:tcW w:w="289" w:type="dxa"/>
            <w:vAlign w:val="bottom"/>
          </w:tcPr>
          <w:p w14:paraId="73EE73F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688A907" w14:textId="77777777" w:rsidTr="00FD6D88">
        <w:trPr>
          <w:cantSplit/>
        </w:trPr>
        <w:tc>
          <w:tcPr>
            <w:tcW w:w="289" w:type="dxa"/>
          </w:tcPr>
          <w:p w14:paraId="631BFFF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4376EF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DA8B1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B9F153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0FD2ECD" w14:textId="77777777" w:rsidR="003169F4" w:rsidRPr="003169F4" w:rsidRDefault="003169F4" w:rsidP="003169F4">
            <w:pPr>
              <w:spacing w:after="0" w:line="240" w:lineRule="atLeast"/>
              <w:jc w:val="both"/>
              <w:rPr>
                <w:rFonts w:ascii="Arial" w:eastAsia="Times New Roman" w:hAnsi="Arial" w:cs="Arial"/>
                <w:b/>
                <w:color w:val="0000FF"/>
                <w:sz w:val="20"/>
                <w:szCs w:val="20"/>
                <w:lang w:val="fr-FR"/>
              </w:rPr>
            </w:pPr>
            <w:r w:rsidRPr="003169F4">
              <w:rPr>
                <w:rFonts w:ascii="Arial" w:eastAsia="Times New Roman" w:hAnsi="Arial" w:cs="Times New Roman"/>
                <w:i/>
                <w:color w:val="0000FF"/>
                <w:sz w:val="18"/>
                <w:szCs w:val="20"/>
              </w:rPr>
              <w:t>"A.R. 4.5.2010" (en vigueur 1.8.2010)</w:t>
            </w:r>
          </w:p>
        </w:tc>
        <w:tc>
          <w:tcPr>
            <w:tcW w:w="289" w:type="dxa"/>
            <w:vAlign w:val="bottom"/>
          </w:tcPr>
          <w:p w14:paraId="1BF950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51BE54F" w14:textId="77777777" w:rsidTr="00FD6D88">
        <w:trPr>
          <w:cantSplit/>
        </w:trPr>
        <w:tc>
          <w:tcPr>
            <w:tcW w:w="289" w:type="dxa"/>
          </w:tcPr>
          <w:p w14:paraId="03C93C1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A135A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389B52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F65B2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A13A86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 Les examens repris sous la rubrique A doivent être prescrits dans le cadre d'un programme de soins oncologiques reconnus."</w:t>
            </w:r>
          </w:p>
        </w:tc>
        <w:tc>
          <w:tcPr>
            <w:tcW w:w="289" w:type="dxa"/>
            <w:vAlign w:val="bottom"/>
          </w:tcPr>
          <w:p w14:paraId="1F3165D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154C6B8" w14:textId="77777777" w:rsidTr="00FD6D88">
        <w:trPr>
          <w:cantSplit/>
        </w:trPr>
        <w:tc>
          <w:tcPr>
            <w:tcW w:w="289" w:type="dxa"/>
          </w:tcPr>
          <w:p w14:paraId="5A38CE2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048BE4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1B962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0064E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D0911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FFC68F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E307EA2" w14:textId="77777777" w:rsidTr="00FD6D88">
        <w:trPr>
          <w:cantSplit/>
        </w:trPr>
        <w:tc>
          <w:tcPr>
            <w:tcW w:w="289" w:type="dxa"/>
          </w:tcPr>
          <w:p w14:paraId="3C5850A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31A8E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CDC85E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0ABDD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E22052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17.5.2019" (en vigueur 1.7.2019)</w:t>
            </w:r>
          </w:p>
        </w:tc>
        <w:tc>
          <w:tcPr>
            <w:tcW w:w="289" w:type="dxa"/>
            <w:vAlign w:val="bottom"/>
          </w:tcPr>
          <w:p w14:paraId="4A2B678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8499162" w14:textId="77777777" w:rsidTr="00FD6D88">
        <w:trPr>
          <w:cantSplit/>
        </w:trPr>
        <w:tc>
          <w:tcPr>
            <w:tcW w:w="289" w:type="dxa"/>
          </w:tcPr>
          <w:p w14:paraId="25771B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5562BB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5D83C2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88D69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39C8B8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"1bis° Les prestations de l’article 33bis ne peuvent pas être portées en compte pour le dépistage des marqueurs biologiques moléculaires figurant dans le point C du chapitre VIII de l’annexe I à l’arrêté royal du 21 décembre 2001."</w:t>
            </w:r>
          </w:p>
        </w:tc>
        <w:tc>
          <w:tcPr>
            <w:tcW w:w="289" w:type="dxa"/>
            <w:vAlign w:val="bottom"/>
          </w:tcPr>
          <w:p w14:paraId="57A1E13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FF4A80F" w14:textId="77777777" w:rsidTr="00FD6D88">
        <w:trPr>
          <w:cantSplit/>
        </w:trPr>
        <w:tc>
          <w:tcPr>
            <w:tcW w:w="289" w:type="dxa"/>
          </w:tcPr>
          <w:p w14:paraId="395B425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7D0D6A4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6B43C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B9337F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9D75BC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05E868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EC65868" w14:textId="77777777" w:rsidTr="00FD6D88">
        <w:trPr>
          <w:cantSplit/>
        </w:trPr>
        <w:tc>
          <w:tcPr>
            <w:tcW w:w="289" w:type="dxa"/>
          </w:tcPr>
          <w:p w14:paraId="27E0197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B3EF3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8FD4D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88D1C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89CC3B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2° </w:t>
            </w:r>
            <w:r w:rsidRPr="003169F4">
              <w:rPr>
                <w:rFonts w:ascii="Arial" w:eastAsia="Times New Roman" w:hAnsi="Arial" w:cs="Times New Roman"/>
                <w:i/>
                <w:color w:val="0000FF"/>
                <w:sz w:val="18"/>
                <w:szCs w:val="20"/>
              </w:rPr>
              <w:t>Supprimé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4.5.2010 (en vigueur 1.8.2010)</w:t>
            </w:r>
          </w:p>
        </w:tc>
        <w:tc>
          <w:tcPr>
            <w:tcW w:w="289" w:type="dxa"/>
            <w:vAlign w:val="bottom"/>
          </w:tcPr>
          <w:p w14:paraId="610DF03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D0C45E3" w14:textId="77777777" w:rsidTr="00FD6D88">
        <w:trPr>
          <w:cantSplit/>
        </w:trPr>
        <w:tc>
          <w:tcPr>
            <w:tcW w:w="289" w:type="dxa"/>
          </w:tcPr>
          <w:p w14:paraId="4A3A7E7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112C8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8B5745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43E07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AB4780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086E5D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4FEED97" w14:textId="77777777" w:rsidTr="00FD6D88">
        <w:trPr>
          <w:cantSplit/>
        </w:trPr>
        <w:tc>
          <w:tcPr>
            <w:tcW w:w="289" w:type="dxa"/>
          </w:tcPr>
          <w:p w14:paraId="2AE1C3F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228DF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51CF2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288C2E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3AACC18" w14:textId="77777777" w:rsidR="003169F4" w:rsidRPr="003169F4" w:rsidRDefault="003169F4" w:rsidP="003169F4">
            <w:pPr>
              <w:spacing w:after="0" w:line="240" w:lineRule="atLeast"/>
              <w:jc w:val="both"/>
              <w:rPr>
                <w:rFonts w:ascii="Arial" w:eastAsia="Times New Roman" w:hAnsi="Arial" w:cs="Arial"/>
                <w:i/>
                <w:color w:val="0000FF"/>
                <w:sz w:val="20"/>
                <w:szCs w:val="20"/>
                <w:lang w:val="fr-FR"/>
              </w:rPr>
            </w:pPr>
            <w:r w:rsidRPr="003169F4">
              <w:rPr>
                <w:rFonts w:ascii="Arial" w:eastAsia="Times New Roman" w:hAnsi="Arial" w:cs="Times New Roman"/>
                <w:i/>
                <w:color w:val="0000FF"/>
                <w:sz w:val="18"/>
                <w:szCs w:val="20"/>
                <w:lang w:val="fr-FR"/>
              </w:rPr>
              <w:t>"A.R. 31.8.2009" (en vigueur 1.11.2009)</w:t>
            </w:r>
          </w:p>
        </w:tc>
        <w:tc>
          <w:tcPr>
            <w:tcW w:w="289" w:type="dxa"/>
            <w:vAlign w:val="bottom"/>
          </w:tcPr>
          <w:p w14:paraId="7A64B84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D7CD1E8" w14:textId="77777777" w:rsidTr="00FD6D88">
        <w:trPr>
          <w:cantSplit/>
        </w:trPr>
        <w:tc>
          <w:tcPr>
            <w:tcW w:w="289" w:type="dxa"/>
          </w:tcPr>
          <w:p w14:paraId="42ED73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A6E1D3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D633CD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22D6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A8B119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"2bis° Le laboratoire est soumis, pour ce qui concerne le diagnostic moléculaire des affections hématologiques reprises sous la rubrique B, à la tenue d'un registre dans lequel figurent les données suivantes :</w:t>
            </w:r>
          </w:p>
        </w:tc>
        <w:tc>
          <w:tcPr>
            <w:tcW w:w="289" w:type="dxa"/>
            <w:vAlign w:val="bottom"/>
          </w:tcPr>
          <w:p w14:paraId="342F813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A199EB6" w14:textId="77777777" w:rsidTr="00FD6D88">
        <w:trPr>
          <w:cantSplit/>
        </w:trPr>
        <w:tc>
          <w:tcPr>
            <w:tcW w:w="289" w:type="dxa"/>
          </w:tcPr>
          <w:p w14:paraId="588D6A3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4310E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90E153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C50A23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309" w:type="dxa"/>
          </w:tcPr>
          <w:p w14:paraId="5C6B090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a)</w:t>
            </w:r>
          </w:p>
        </w:tc>
        <w:tc>
          <w:tcPr>
            <w:tcW w:w="6443" w:type="dxa"/>
            <w:gridSpan w:val="3"/>
          </w:tcPr>
          <w:p w14:paraId="1145C8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communication du nombre de tests effectués cités au § 1</w:t>
            </w:r>
            <w:r w:rsidRPr="003169F4">
              <w:rPr>
                <w:rFonts w:ascii="Arial" w:eastAsia="Times New Roman" w:hAnsi="Arial" w:cs="Arial"/>
                <w:color w:val="0000FF"/>
                <w:sz w:val="20"/>
                <w:szCs w:val="20"/>
                <w:vertAlign w:val="superscript"/>
                <w:lang w:val="fr-FR"/>
              </w:rPr>
              <w:t>er</w:t>
            </w:r>
            <w:r w:rsidRPr="003169F4">
              <w:rPr>
                <w:rFonts w:ascii="Arial" w:eastAsia="Times New Roman" w:hAnsi="Arial" w:cs="Arial"/>
                <w:color w:val="0000FF"/>
                <w:sz w:val="20"/>
                <w:szCs w:val="20"/>
                <w:lang w:val="fr-FR"/>
              </w:rPr>
              <w:t xml:space="preserve"> ainsi que du nombre de patients avec leur diagnostic. Pour les patients extra-muros les données relatives au médecin demandeur ou au laboratoire référant seront communiquées ;</w:t>
            </w:r>
          </w:p>
        </w:tc>
        <w:tc>
          <w:tcPr>
            <w:tcW w:w="289" w:type="dxa"/>
            <w:vAlign w:val="bottom"/>
          </w:tcPr>
          <w:p w14:paraId="3D344A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9D66FD2" w14:textId="77777777" w:rsidTr="00FD6D88">
        <w:trPr>
          <w:cantSplit/>
        </w:trPr>
        <w:tc>
          <w:tcPr>
            <w:tcW w:w="289" w:type="dxa"/>
          </w:tcPr>
          <w:p w14:paraId="63EA59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07F06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41A25D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A2B19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309" w:type="dxa"/>
          </w:tcPr>
          <w:p w14:paraId="72800BA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443" w:type="dxa"/>
            <w:gridSpan w:val="3"/>
          </w:tcPr>
          <w:p w14:paraId="354B6F1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29F291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418A47E" w14:textId="77777777" w:rsidTr="00FD6D88">
        <w:trPr>
          <w:cantSplit/>
        </w:trPr>
        <w:tc>
          <w:tcPr>
            <w:tcW w:w="289" w:type="dxa"/>
          </w:tcPr>
          <w:p w14:paraId="128CA2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851788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88A28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72FD72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309" w:type="dxa"/>
          </w:tcPr>
          <w:p w14:paraId="615E289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b)</w:t>
            </w:r>
          </w:p>
        </w:tc>
        <w:tc>
          <w:tcPr>
            <w:tcW w:w="6443" w:type="dxa"/>
            <w:gridSpan w:val="3"/>
          </w:tcPr>
          <w:p w14:paraId="7447395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la preuve de l'accréditation selon la norme ISO 15189 comme décrit au § 5, 3°, pour les prestations exécutées."</w:t>
            </w:r>
          </w:p>
        </w:tc>
        <w:tc>
          <w:tcPr>
            <w:tcW w:w="289" w:type="dxa"/>
            <w:vAlign w:val="bottom"/>
          </w:tcPr>
          <w:p w14:paraId="6B7073D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E2E00D4" w14:textId="77777777" w:rsidTr="00FD6D88">
        <w:trPr>
          <w:cantSplit/>
        </w:trPr>
        <w:tc>
          <w:tcPr>
            <w:tcW w:w="289" w:type="dxa"/>
          </w:tcPr>
          <w:p w14:paraId="506B683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388E14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537A44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2A6342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309" w:type="dxa"/>
          </w:tcPr>
          <w:p w14:paraId="6D2C69E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443" w:type="dxa"/>
            <w:gridSpan w:val="3"/>
          </w:tcPr>
          <w:p w14:paraId="5BE7AEB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6227712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98BA74C" w14:textId="77777777" w:rsidTr="00FD6D88">
        <w:trPr>
          <w:cantSplit/>
        </w:trPr>
        <w:tc>
          <w:tcPr>
            <w:tcW w:w="289" w:type="dxa"/>
          </w:tcPr>
          <w:p w14:paraId="65E275F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BD38FD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E421D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9735F2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A16C50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 + "A.R. 11.9.2016" (en vigueur 1.11.2016)</w:t>
            </w:r>
          </w:p>
        </w:tc>
        <w:tc>
          <w:tcPr>
            <w:tcW w:w="289" w:type="dxa"/>
            <w:vAlign w:val="bottom"/>
          </w:tcPr>
          <w:p w14:paraId="469126D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54FD9AB" w14:textId="77777777" w:rsidTr="00FD6D88">
        <w:trPr>
          <w:cantSplit/>
        </w:trPr>
        <w:tc>
          <w:tcPr>
            <w:tcW w:w="289" w:type="dxa"/>
          </w:tcPr>
          <w:p w14:paraId="0D9DFA5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09A56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BF6D2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6E47E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6CE763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"3° </w:t>
            </w:r>
            <w:r w:rsidRPr="003169F4">
              <w:rPr>
                <w:rFonts w:ascii="Arial" w:eastAsia="Times New Roman" w:hAnsi="Arial" w:cs="Arial"/>
                <w:color w:val="0000FF"/>
                <w:sz w:val="20"/>
                <w:szCs w:val="20"/>
                <w:lang w:eastAsia="nl-BE"/>
              </w:rPr>
              <w:t>Les prestations doivent être effectuées dans un laboratoire qui possède une accréditation ISO 15189 ou une accréditation suivant une norme de laboratoire équivalente pour les prestations effectuées;"</w:t>
            </w:r>
          </w:p>
        </w:tc>
        <w:tc>
          <w:tcPr>
            <w:tcW w:w="289" w:type="dxa"/>
            <w:vAlign w:val="bottom"/>
          </w:tcPr>
          <w:p w14:paraId="399ADE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14EF428" w14:textId="77777777" w:rsidTr="00FD6D88">
        <w:trPr>
          <w:cantSplit/>
        </w:trPr>
        <w:tc>
          <w:tcPr>
            <w:tcW w:w="289" w:type="dxa"/>
          </w:tcPr>
          <w:p w14:paraId="635E1B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C513DE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BFFF2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7ABBB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235C9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746E2A0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AC7B4E" w:rsidRPr="003169F4" w14:paraId="08F815F6" w14:textId="77777777" w:rsidTr="00FD6D88">
        <w:trPr>
          <w:cantSplit/>
        </w:trPr>
        <w:tc>
          <w:tcPr>
            <w:tcW w:w="289" w:type="dxa"/>
          </w:tcPr>
          <w:p w14:paraId="380DC703"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8" w:type="dxa"/>
          </w:tcPr>
          <w:p w14:paraId="0398978F"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0FFAF7C8"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2A007B4A"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F86923B"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18A4E529"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r>
      <w:tr w:rsidR="003169F4" w:rsidRPr="003169F4" w14:paraId="1E606C5A" w14:textId="77777777" w:rsidTr="00FD6D88">
        <w:trPr>
          <w:cantSplit/>
        </w:trPr>
        <w:tc>
          <w:tcPr>
            <w:tcW w:w="289" w:type="dxa"/>
          </w:tcPr>
          <w:p w14:paraId="0CF983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B390DC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6D20BF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321F4E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8BDD4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w:t>
            </w:r>
          </w:p>
        </w:tc>
        <w:tc>
          <w:tcPr>
            <w:tcW w:w="289" w:type="dxa"/>
            <w:vAlign w:val="bottom"/>
          </w:tcPr>
          <w:p w14:paraId="6594F3F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CB83F08" w14:textId="77777777" w:rsidTr="00FD6D88">
        <w:trPr>
          <w:cantSplit/>
        </w:trPr>
        <w:tc>
          <w:tcPr>
            <w:tcW w:w="289" w:type="dxa"/>
          </w:tcPr>
          <w:p w14:paraId="74298AD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8BF50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E8A24C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4B1BB5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16CB24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"4° Le laboratoire doit pouvoir fournir la preuve de sa participation à des contrôles de qualité interne et externe qui répondent aux normes de qualité nationales ou internationales ;"</w:t>
            </w:r>
          </w:p>
        </w:tc>
        <w:tc>
          <w:tcPr>
            <w:tcW w:w="289" w:type="dxa"/>
            <w:vAlign w:val="bottom"/>
          </w:tcPr>
          <w:p w14:paraId="220108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8FEE9FC" w14:textId="77777777" w:rsidTr="00FD6D88">
        <w:trPr>
          <w:cantSplit/>
        </w:trPr>
        <w:tc>
          <w:tcPr>
            <w:tcW w:w="289" w:type="dxa"/>
          </w:tcPr>
          <w:p w14:paraId="6356D4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527B2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F06106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6B0B8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4B3570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F1F90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07534FE" w14:textId="77777777" w:rsidTr="00FD6D88">
        <w:trPr>
          <w:cantSplit/>
        </w:trPr>
        <w:tc>
          <w:tcPr>
            <w:tcW w:w="289" w:type="dxa"/>
          </w:tcPr>
          <w:p w14:paraId="266342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90AC0B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C90A8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4AA10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B593A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w:t>
            </w:r>
          </w:p>
        </w:tc>
        <w:tc>
          <w:tcPr>
            <w:tcW w:w="289" w:type="dxa"/>
            <w:vAlign w:val="bottom"/>
          </w:tcPr>
          <w:p w14:paraId="0916F3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2A6EC5B" w14:textId="77777777" w:rsidTr="00FD6D88">
        <w:trPr>
          <w:cantSplit/>
        </w:trPr>
        <w:tc>
          <w:tcPr>
            <w:tcW w:w="289" w:type="dxa"/>
          </w:tcPr>
          <w:p w14:paraId="3B7EE6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E70554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6841E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58CED7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A7F8D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"5° Le laboratoire s'engage à se soumettre aux contrôles réalisés par l'institut scientifique de Santé publique (ISP) à partir du 1</w:t>
            </w:r>
            <w:r w:rsidRPr="003169F4">
              <w:rPr>
                <w:rFonts w:ascii="Arial" w:eastAsia="Times New Roman" w:hAnsi="Arial" w:cs="Arial"/>
                <w:color w:val="0000FF"/>
                <w:sz w:val="20"/>
                <w:szCs w:val="20"/>
                <w:vertAlign w:val="superscript"/>
                <w:lang w:val="fr-FR"/>
              </w:rPr>
              <w:t>er</w:t>
            </w:r>
            <w:r w:rsidRPr="003169F4">
              <w:rPr>
                <w:rFonts w:ascii="Arial" w:eastAsia="Times New Roman" w:hAnsi="Arial" w:cs="Arial"/>
                <w:color w:val="0000FF"/>
                <w:sz w:val="20"/>
                <w:szCs w:val="20"/>
                <w:lang w:val="fr-FR"/>
              </w:rPr>
              <w:t xml:space="preserve"> août 2007"</w:t>
            </w:r>
          </w:p>
        </w:tc>
        <w:tc>
          <w:tcPr>
            <w:tcW w:w="289" w:type="dxa"/>
            <w:vAlign w:val="bottom"/>
          </w:tcPr>
          <w:p w14:paraId="6A72D6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609C671" w14:textId="77777777" w:rsidTr="00FD6D88">
        <w:trPr>
          <w:cantSplit/>
        </w:trPr>
        <w:tc>
          <w:tcPr>
            <w:tcW w:w="289" w:type="dxa"/>
          </w:tcPr>
          <w:p w14:paraId="68C64B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A41E1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C765EA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41AC9C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2BB69F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4ADC71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983A087" w14:textId="77777777" w:rsidTr="00FD6D88">
        <w:trPr>
          <w:cantSplit/>
        </w:trPr>
        <w:tc>
          <w:tcPr>
            <w:tcW w:w="289" w:type="dxa"/>
          </w:tcPr>
          <w:p w14:paraId="400EA0A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C3560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6D3A05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FBBE1D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5D37E5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6° </w:t>
            </w:r>
            <w:r w:rsidRPr="003169F4">
              <w:rPr>
                <w:rFonts w:ascii="Arial" w:eastAsia="Times New Roman" w:hAnsi="Arial" w:cs="Times New Roman"/>
                <w:i/>
                <w:color w:val="0000FF"/>
                <w:sz w:val="18"/>
                <w:szCs w:val="20"/>
              </w:rPr>
              <w:t>Supprimé par A.R.</w:t>
            </w:r>
            <w:r w:rsidRPr="003169F4">
              <w:rPr>
                <w:rFonts w:ascii="Arial" w:eastAsia="Times New Roman" w:hAnsi="Arial" w:cs="Arial"/>
                <w:color w:val="0000FF"/>
                <w:sz w:val="20"/>
                <w:szCs w:val="20"/>
                <w:lang w:val="fr-FR"/>
              </w:rPr>
              <w:t xml:space="preserve"> </w:t>
            </w:r>
            <w:r w:rsidRPr="003169F4">
              <w:rPr>
                <w:rFonts w:ascii="Arial" w:eastAsia="Times New Roman" w:hAnsi="Arial" w:cs="Times New Roman"/>
                <w:i/>
                <w:color w:val="0000FF"/>
                <w:sz w:val="18"/>
                <w:szCs w:val="20"/>
              </w:rPr>
              <w:t>11.9.2016 (en vigueur 1.11.2016)</w:t>
            </w:r>
          </w:p>
        </w:tc>
        <w:tc>
          <w:tcPr>
            <w:tcW w:w="289" w:type="dxa"/>
            <w:vAlign w:val="bottom"/>
          </w:tcPr>
          <w:p w14:paraId="2DA1F6B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DCB12B5" w14:textId="77777777" w:rsidTr="00FD6D88">
        <w:trPr>
          <w:cantSplit/>
        </w:trPr>
        <w:tc>
          <w:tcPr>
            <w:tcW w:w="289" w:type="dxa"/>
          </w:tcPr>
          <w:p w14:paraId="09B23C2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5BA67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B170B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E2937A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E4A03F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78883C2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1D78A1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7D3A7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71C92AC" w14:textId="77777777" w:rsidTr="00FD6D88">
        <w:trPr>
          <w:cantSplit/>
        </w:trPr>
        <w:tc>
          <w:tcPr>
            <w:tcW w:w="289" w:type="dxa"/>
          </w:tcPr>
          <w:p w14:paraId="02998B3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77F62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CFA48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AB99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A232DB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18.3.2011" (en vigueur 1.5.2011)</w:t>
            </w:r>
          </w:p>
        </w:tc>
        <w:tc>
          <w:tcPr>
            <w:tcW w:w="579" w:type="dxa"/>
            <w:vAlign w:val="bottom"/>
          </w:tcPr>
          <w:p w14:paraId="229E0D9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676" w:type="dxa"/>
            <w:vAlign w:val="bottom"/>
          </w:tcPr>
          <w:p w14:paraId="247D201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c>
          <w:tcPr>
            <w:tcW w:w="289" w:type="dxa"/>
            <w:vAlign w:val="bottom"/>
          </w:tcPr>
          <w:p w14:paraId="6F450D4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B744282" w14:textId="77777777" w:rsidTr="00FD6D88">
        <w:trPr>
          <w:cantSplit/>
        </w:trPr>
        <w:tc>
          <w:tcPr>
            <w:tcW w:w="289" w:type="dxa"/>
          </w:tcPr>
          <w:p w14:paraId="2E33BD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205623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3951A9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A2ADBF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9447D6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r w:rsidRPr="003169F4">
              <w:rPr>
                <w:rFonts w:ascii="Arial" w:eastAsia="Times New Roman" w:hAnsi="Arial" w:cs="Arial"/>
                <w:b/>
                <w:color w:val="0000FF"/>
                <w:sz w:val="20"/>
                <w:szCs w:val="20"/>
                <w:lang w:val="fr-FR"/>
              </w:rPr>
              <w:t>Règles de cumul :</w:t>
            </w:r>
          </w:p>
        </w:tc>
        <w:tc>
          <w:tcPr>
            <w:tcW w:w="289" w:type="dxa"/>
            <w:vAlign w:val="bottom"/>
          </w:tcPr>
          <w:p w14:paraId="738B8B8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5B83A9C" w14:textId="77777777" w:rsidTr="00FD6D88">
        <w:trPr>
          <w:cantSplit/>
        </w:trPr>
        <w:tc>
          <w:tcPr>
            <w:tcW w:w="289" w:type="dxa"/>
          </w:tcPr>
          <w:p w14:paraId="4628634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6762D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ECCDC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43BA5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F4FD835" w14:textId="77777777" w:rsidR="003169F4" w:rsidRPr="003169F4" w:rsidRDefault="003169F4" w:rsidP="003169F4">
            <w:pPr>
              <w:spacing w:after="0" w:line="240" w:lineRule="atLeast"/>
              <w:jc w:val="both"/>
              <w:rPr>
                <w:rFonts w:ascii="Arial" w:eastAsia="Times New Roman" w:hAnsi="Arial" w:cs="Arial"/>
                <w:b/>
                <w:color w:val="0000FF"/>
                <w:sz w:val="20"/>
                <w:szCs w:val="20"/>
                <w:lang w:val="fr-FR"/>
              </w:rPr>
            </w:pPr>
          </w:p>
        </w:tc>
        <w:tc>
          <w:tcPr>
            <w:tcW w:w="289" w:type="dxa"/>
            <w:vAlign w:val="bottom"/>
          </w:tcPr>
          <w:p w14:paraId="552634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6ED034F" w14:textId="77777777" w:rsidTr="00FD6D88">
        <w:trPr>
          <w:cantSplit/>
        </w:trPr>
        <w:tc>
          <w:tcPr>
            <w:tcW w:w="289" w:type="dxa"/>
          </w:tcPr>
          <w:p w14:paraId="77AD4A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DFE338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C0BB06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77B9B5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C03215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1. </w:t>
            </w:r>
            <w:r w:rsidRPr="003169F4">
              <w:rPr>
                <w:rFonts w:ascii="Arial" w:eastAsia="Times New Roman" w:hAnsi="Arial" w:cs="Times New Roman"/>
                <w:i/>
                <w:color w:val="0000FF"/>
                <w:sz w:val="18"/>
                <w:szCs w:val="20"/>
              </w:rPr>
              <w:t>Supprimé par A.R. 17.5.2019 (en vigueur 1.7.2019)</w:t>
            </w:r>
          </w:p>
        </w:tc>
        <w:tc>
          <w:tcPr>
            <w:tcW w:w="289" w:type="dxa"/>
            <w:vAlign w:val="bottom"/>
          </w:tcPr>
          <w:p w14:paraId="5F23AE9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AE66150" w14:textId="77777777" w:rsidTr="00FD6D88">
        <w:trPr>
          <w:cantSplit/>
        </w:trPr>
        <w:tc>
          <w:tcPr>
            <w:tcW w:w="289" w:type="dxa"/>
          </w:tcPr>
          <w:p w14:paraId="7DA4D9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83C8BA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5C5C9F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FE152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214E62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06CF546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D25E19D" w14:textId="77777777" w:rsidTr="00FD6D88">
        <w:trPr>
          <w:cantSplit/>
        </w:trPr>
        <w:tc>
          <w:tcPr>
            <w:tcW w:w="289" w:type="dxa"/>
          </w:tcPr>
          <w:p w14:paraId="53302F1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A8BC7A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F76DE8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E44D0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107E2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w:t>
            </w:r>
          </w:p>
        </w:tc>
        <w:tc>
          <w:tcPr>
            <w:tcW w:w="289" w:type="dxa"/>
            <w:vAlign w:val="bottom"/>
          </w:tcPr>
          <w:p w14:paraId="067EE50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E0349AF" w14:textId="77777777" w:rsidTr="00FD6D88">
        <w:trPr>
          <w:cantSplit/>
        </w:trPr>
        <w:tc>
          <w:tcPr>
            <w:tcW w:w="289" w:type="dxa"/>
          </w:tcPr>
          <w:p w14:paraId="414D1F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6B3A9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582D3C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70374A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A9DF75E"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val="fr-FR"/>
              </w:rPr>
              <w:t>"</w:t>
            </w:r>
            <w:r w:rsidRPr="003169F4">
              <w:rPr>
                <w:rFonts w:ascii="Arial" w:eastAsia="Times New Roman" w:hAnsi="Arial" w:cs="Arial"/>
                <w:color w:val="0000FF"/>
                <w:sz w:val="20"/>
                <w:szCs w:val="20"/>
                <w:lang w:eastAsia="nl-BE"/>
              </w:rPr>
              <w:t>2. La prestation 587834-587845 ne peut être portée en compte à l'AMI qu'une seule fois par patient.</w:t>
            </w:r>
          </w:p>
        </w:tc>
        <w:tc>
          <w:tcPr>
            <w:tcW w:w="289" w:type="dxa"/>
            <w:vAlign w:val="bottom"/>
          </w:tcPr>
          <w:p w14:paraId="392791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B3458A2" w14:textId="77777777" w:rsidTr="00FD6D88">
        <w:trPr>
          <w:cantSplit/>
        </w:trPr>
        <w:tc>
          <w:tcPr>
            <w:tcW w:w="289" w:type="dxa"/>
          </w:tcPr>
          <w:p w14:paraId="1F2E89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769656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163D1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D65EE2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A6D564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4F93FBE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C0050C4" w14:textId="77777777" w:rsidTr="00FD6D88">
        <w:trPr>
          <w:cantSplit/>
        </w:trPr>
        <w:tc>
          <w:tcPr>
            <w:tcW w:w="289" w:type="dxa"/>
          </w:tcPr>
          <w:p w14:paraId="22393F2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937ADA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0CCE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E64B7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8D0427F"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rPr>
              <w:t>3.</w:t>
            </w:r>
            <w:r w:rsidRPr="003169F4">
              <w:rPr>
                <w:rFonts w:ascii="Arial" w:eastAsia="Times New Roman" w:hAnsi="Arial" w:cs="Arial"/>
                <w:color w:val="0000FF"/>
                <w:sz w:val="20"/>
                <w:szCs w:val="20"/>
                <w:lang w:eastAsia="nl-BE"/>
              </w:rPr>
              <w:t xml:space="preserve"> Les prestations 588814-588825 et 587856-587860 ne sont pas cumulables entre elles.</w:t>
            </w:r>
            <w:r w:rsidRPr="003169F4">
              <w:rPr>
                <w:rFonts w:ascii="Arial" w:eastAsia="Times New Roman" w:hAnsi="Arial" w:cs="Arial"/>
                <w:color w:val="0000FF"/>
                <w:sz w:val="20"/>
                <w:szCs w:val="20"/>
                <w:lang w:val="fr-FR"/>
              </w:rPr>
              <w:t>"</w:t>
            </w:r>
          </w:p>
        </w:tc>
        <w:tc>
          <w:tcPr>
            <w:tcW w:w="289" w:type="dxa"/>
            <w:vAlign w:val="bottom"/>
          </w:tcPr>
          <w:p w14:paraId="4893DFD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FD1FD0B" w14:textId="77777777" w:rsidTr="00FD6D88">
        <w:trPr>
          <w:cantSplit/>
        </w:trPr>
        <w:tc>
          <w:tcPr>
            <w:tcW w:w="289" w:type="dxa"/>
          </w:tcPr>
          <w:p w14:paraId="6327587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77A22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37B1AD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C2347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963FBE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289" w:type="dxa"/>
            <w:vAlign w:val="bottom"/>
          </w:tcPr>
          <w:p w14:paraId="3BC3564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A804190" w14:textId="77777777" w:rsidTr="00FD6D88">
        <w:trPr>
          <w:cantSplit/>
        </w:trPr>
        <w:tc>
          <w:tcPr>
            <w:tcW w:w="289" w:type="dxa"/>
          </w:tcPr>
          <w:p w14:paraId="45E576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F0493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9FF6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CCB1D1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727CB4E"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Times New Roman"/>
                <w:i/>
                <w:color w:val="0000FF"/>
                <w:sz w:val="18"/>
                <w:szCs w:val="20"/>
              </w:rPr>
              <w:t>"A.R. 15.10.2017" (en vigueur 1.7.2017)</w:t>
            </w:r>
          </w:p>
        </w:tc>
        <w:tc>
          <w:tcPr>
            <w:tcW w:w="289" w:type="dxa"/>
            <w:vAlign w:val="bottom"/>
          </w:tcPr>
          <w:p w14:paraId="2CAF41E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677AF57" w14:textId="77777777" w:rsidTr="00FD6D88">
        <w:trPr>
          <w:cantSplit/>
        </w:trPr>
        <w:tc>
          <w:tcPr>
            <w:tcW w:w="289" w:type="dxa"/>
          </w:tcPr>
          <w:p w14:paraId="05601AD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2F16D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30E8CA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3665B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1E9EEA9" w14:textId="77777777" w:rsidR="003169F4" w:rsidRPr="003169F4" w:rsidRDefault="003169F4" w:rsidP="003169F4">
            <w:pPr>
              <w:spacing w:after="0" w:line="240" w:lineRule="auto"/>
              <w:jc w:val="both"/>
              <w:rPr>
                <w:rFonts w:ascii="Arial" w:eastAsia="Times New Roman" w:hAnsi="Arial" w:cs="Arial"/>
                <w:color w:val="0000FF"/>
                <w:sz w:val="20"/>
                <w:szCs w:val="20"/>
              </w:rPr>
            </w:pPr>
            <w:r w:rsidRPr="003169F4">
              <w:rPr>
                <w:rFonts w:ascii="Arial" w:eastAsia="Calibri" w:hAnsi="Arial" w:cs="Arial"/>
                <w:color w:val="0000FF"/>
                <w:sz w:val="20"/>
                <w:szCs w:val="20"/>
              </w:rPr>
              <w:t>"4. Une seule des prestations 565611 - 565622, 433296 - 433300, 433193 - 433204, 542776 - 542780 et 542555 - 542566 peut être portée en compte à l'assurance obligatoire de soins de santé au cours du suivi d'une même grossesse. En cas de répétition du test au cours d'une même grossesse, la prestation 565611 - 565622 ne peut pas être attestée une 2</w:t>
            </w:r>
            <w:r w:rsidRPr="003169F4">
              <w:rPr>
                <w:rFonts w:ascii="Arial" w:eastAsia="Calibri" w:hAnsi="Arial" w:cs="Arial"/>
                <w:color w:val="0000FF"/>
                <w:sz w:val="20"/>
                <w:szCs w:val="20"/>
                <w:vertAlign w:val="superscript"/>
              </w:rPr>
              <w:t>e</w:t>
            </w:r>
            <w:r w:rsidRPr="003169F4">
              <w:rPr>
                <w:rFonts w:ascii="Arial" w:eastAsia="Calibri" w:hAnsi="Arial" w:cs="Arial"/>
                <w:color w:val="0000FF"/>
                <w:sz w:val="20"/>
                <w:szCs w:val="20"/>
              </w:rPr>
              <w:t xml:space="preserve"> fois, ni à l'assurance maladie obligatoire ni à la patiente."</w:t>
            </w:r>
          </w:p>
        </w:tc>
        <w:tc>
          <w:tcPr>
            <w:tcW w:w="289" w:type="dxa"/>
            <w:vAlign w:val="bottom"/>
          </w:tcPr>
          <w:p w14:paraId="76758B8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9CD371B" w14:textId="77777777" w:rsidTr="00FD6D88">
        <w:trPr>
          <w:cantSplit/>
        </w:trPr>
        <w:tc>
          <w:tcPr>
            <w:tcW w:w="289" w:type="dxa"/>
          </w:tcPr>
          <w:p w14:paraId="088E4DB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6470B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8EB1D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4A2D8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FC1370A" w14:textId="77777777" w:rsidR="003169F4" w:rsidRPr="003169F4" w:rsidRDefault="003169F4" w:rsidP="003169F4">
            <w:pPr>
              <w:spacing w:after="0" w:line="240" w:lineRule="atLeast"/>
              <w:jc w:val="both"/>
              <w:rPr>
                <w:rFonts w:ascii="Arial" w:eastAsia="Times New Roman" w:hAnsi="Arial" w:cs="Arial"/>
                <w:b/>
                <w:color w:val="0000FF"/>
                <w:sz w:val="20"/>
                <w:szCs w:val="20"/>
                <w:lang w:val="fr-FR"/>
              </w:rPr>
            </w:pPr>
          </w:p>
        </w:tc>
        <w:tc>
          <w:tcPr>
            <w:tcW w:w="579" w:type="dxa"/>
            <w:vAlign w:val="bottom"/>
          </w:tcPr>
          <w:p w14:paraId="0269277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171AE5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7DDD9C9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E4A9658" w14:textId="77777777" w:rsidTr="00FD6D88">
        <w:trPr>
          <w:cantSplit/>
        </w:trPr>
        <w:tc>
          <w:tcPr>
            <w:tcW w:w="289" w:type="dxa"/>
          </w:tcPr>
          <w:p w14:paraId="10C7D02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C89AE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8F57D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CD362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46C6B0C"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Times New Roman"/>
                <w:i/>
                <w:color w:val="0000FF"/>
                <w:sz w:val="18"/>
                <w:szCs w:val="20"/>
              </w:rPr>
              <w:t>"A.R. 17.5.2019" (en vigueur 1.7.2019)</w:t>
            </w:r>
          </w:p>
        </w:tc>
        <w:tc>
          <w:tcPr>
            <w:tcW w:w="289" w:type="dxa"/>
            <w:vAlign w:val="bottom"/>
          </w:tcPr>
          <w:p w14:paraId="4E53575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F007823" w14:textId="77777777" w:rsidTr="00FD6D88">
        <w:trPr>
          <w:cantSplit/>
        </w:trPr>
        <w:tc>
          <w:tcPr>
            <w:tcW w:w="289" w:type="dxa"/>
          </w:tcPr>
          <w:p w14:paraId="3E76A3D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877F19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C7B946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BF8305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B646BE7" w14:textId="77777777" w:rsidR="003169F4" w:rsidRPr="003169F4" w:rsidRDefault="003169F4" w:rsidP="003169F4">
            <w:pPr>
              <w:spacing w:after="0" w:line="240" w:lineRule="auto"/>
              <w:jc w:val="both"/>
              <w:rPr>
                <w:rFonts w:ascii="Arial" w:eastAsia="Times New Roman" w:hAnsi="Arial" w:cs="Arial"/>
                <w:color w:val="0000FF"/>
                <w:sz w:val="20"/>
                <w:szCs w:val="20"/>
              </w:rPr>
            </w:pPr>
            <w:r w:rsidRPr="003169F4">
              <w:rPr>
                <w:rFonts w:ascii="Arial" w:eastAsia="Calibri" w:hAnsi="Arial" w:cs="Arial"/>
                <w:color w:val="0000FF"/>
                <w:sz w:val="20"/>
                <w:szCs w:val="20"/>
              </w:rPr>
              <w:t>"5. Les prestations 587915-587926 et 588534-588545 ne peuvent pas être cumulées pour le même gène."</w:t>
            </w:r>
          </w:p>
        </w:tc>
        <w:tc>
          <w:tcPr>
            <w:tcW w:w="289" w:type="dxa"/>
            <w:vAlign w:val="bottom"/>
          </w:tcPr>
          <w:p w14:paraId="668C4A0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A14E7CD" w14:textId="77777777" w:rsidTr="00FD6D88">
        <w:trPr>
          <w:cantSplit/>
        </w:trPr>
        <w:tc>
          <w:tcPr>
            <w:tcW w:w="289" w:type="dxa"/>
          </w:tcPr>
          <w:p w14:paraId="400D93C8"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63EB3AE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2402C5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2F2508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50786EF" w14:textId="77777777" w:rsidR="003169F4" w:rsidRPr="003169F4" w:rsidRDefault="003169F4" w:rsidP="003169F4">
            <w:pPr>
              <w:spacing w:after="0" w:line="240" w:lineRule="atLeast"/>
              <w:jc w:val="both"/>
              <w:rPr>
                <w:rFonts w:ascii="Arial" w:eastAsia="Times New Roman" w:hAnsi="Arial" w:cs="Arial"/>
                <w:b/>
                <w:color w:val="0000FF"/>
                <w:sz w:val="20"/>
                <w:szCs w:val="20"/>
                <w:lang w:val="fr-FR"/>
              </w:rPr>
            </w:pPr>
          </w:p>
        </w:tc>
        <w:tc>
          <w:tcPr>
            <w:tcW w:w="579" w:type="dxa"/>
            <w:vAlign w:val="bottom"/>
          </w:tcPr>
          <w:p w14:paraId="2CD0546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4F4281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457A90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3586B29" w14:textId="77777777" w:rsidTr="00FD6D88">
        <w:trPr>
          <w:cantSplit/>
        </w:trPr>
        <w:tc>
          <w:tcPr>
            <w:tcW w:w="289" w:type="dxa"/>
          </w:tcPr>
          <w:p w14:paraId="5F0D51B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D0443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78B445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C8D82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8192C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w:t>
            </w:r>
          </w:p>
        </w:tc>
        <w:tc>
          <w:tcPr>
            <w:tcW w:w="289" w:type="dxa"/>
            <w:vAlign w:val="bottom"/>
          </w:tcPr>
          <w:p w14:paraId="28C39C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01BE3E1" w14:textId="77777777" w:rsidTr="00FD6D88">
        <w:trPr>
          <w:cantSplit/>
        </w:trPr>
        <w:tc>
          <w:tcPr>
            <w:tcW w:w="289" w:type="dxa"/>
          </w:tcPr>
          <w:p w14:paraId="221403B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bookmarkStart w:id="7" w:name="_Hlk126057307"/>
          </w:p>
        </w:tc>
        <w:tc>
          <w:tcPr>
            <w:tcW w:w="578" w:type="dxa"/>
          </w:tcPr>
          <w:p w14:paraId="74DFA5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2DEE7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C6F1B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D6BE1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r w:rsidRPr="003169F4">
              <w:rPr>
                <w:rFonts w:ascii="Arial" w:eastAsia="Times New Roman" w:hAnsi="Arial" w:cs="Arial"/>
                <w:b/>
                <w:color w:val="0000FF"/>
                <w:sz w:val="20"/>
                <w:szCs w:val="20"/>
                <w:lang w:val="fr-FR"/>
              </w:rPr>
              <w:t>Règles diagnostiques</w:t>
            </w:r>
            <w:r w:rsidRPr="003169F4">
              <w:rPr>
                <w:rFonts w:ascii="Arial" w:eastAsia="Times New Roman" w:hAnsi="Arial" w:cs="Arial"/>
                <w:color w:val="0000FF"/>
                <w:sz w:val="20"/>
                <w:szCs w:val="20"/>
                <w:lang w:val="fr-FR"/>
              </w:rPr>
              <w:t>"</w:t>
            </w:r>
          </w:p>
        </w:tc>
        <w:tc>
          <w:tcPr>
            <w:tcW w:w="289" w:type="dxa"/>
            <w:vAlign w:val="bottom"/>
          </w:tcPr>
          <w:p w14:paraId="3EB3504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bookmarkEnd w:id="7"/>
      <w:tr w:rsidR="003169F4" w:rsidRPr="003169F4" w14:paraId="01ED21A2" w14:textId="77777777" w:rsidTr="00FD6D88">
        <w:trPr>
          <w:cantSplit/>
        </w:trPr>
        <w:tc>
          <w:tcPr>
            <w:tcW w:w="289" w:type="dxa"/>
          </w:tcPr>
          <w:p w14:paraId="4901DCA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77B73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600378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15F56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5193484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1A4995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1403CB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7090E6A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9406E94" w14:textId="77777777" w:rsidTr="00FD6D88">
        <w:trPr>
          <w:cantSplit/>
        </w:trPr>
        <w:tc>
          <w:tcPr>
            <w:tcW w:w="289" w:type="dxa"/>
          </w:tcPr>
          <w:p w14:paraId="013007A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AA2C70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B904F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2013B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44A3C5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7.6.2007" (en vigueur 1.8.2007) + "A.R. 4.5.2010" (en vigueur 1.8.2010) + "A.R. 2.6.2010" (en vigueur 1.8.2010) + "A.R. 11.9.2016" (en vigueur 1.11.2016) + "A.R. 18.6.2017" (en vigueur 1.8.2017) + Erratum M.B. 14.7.2017 + "A.R. 17.5.2019" (en vigueur 1.7.2019)</w:t>
            </w:r>
          </w:p>
        </w:tc>
        <w:tc>
          <w:tcPr>
            <w:tcW w:w="289" w:type="dxa"/>
            <w:vAlign w:val="bottom"/>
          </w:tcPr>
          <w:p w14:paraId="1EFADE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EADF8BC" w14:textId="77777777" w:rsidTr="00FD6D88">
        <w:trPr>
          <w:cantSplit/>
        </w:trPr>
        <w:tc>
          <w:tcPr>
            <w:tcW w:w="289" w:type="dxa"/>
          </w:tcPr>
          <w:p w14:paraId="57DEDC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BC8EDA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650EE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9D90ED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71A3B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 Pour les prestations 588431-588442, 588453-588464, 588475-588486,  588490-588501, 588512-588523,</w:t>
            </w:r>
            <w:r w:rsidRPr="003169F4">
              <w:rPr>
                <w:rFonts w:ascii="Arial" w:eastAsia="Times New Roman" w:hAnsi="Arial" w:cs="Arial"/>
                <w:sz w:val="20"/>
                <w:szCs w:val="20"/>
                <w:lang w:eastAsia="en-GB"/>
              </w:rPr>
              <w:t xml:space="preserve"> </w:t>
            </w:r>
            <w:r w:rsidRPr="003169F4">
              <w:rPr>
                <w:rFonts w:ascii="Arial" w:eastAsia="Times New Roman" w:hAnsi="Arial" w:cs="Arial"/>
                <w:color w:val="0000FF"/>
                <w:sz w:val="20"/>
                <w:szCs w:val="20"/>
                <w:lang w:val="fr-FR"/>
              </w:rPr>
              <w:t xml:space="preserve">587915-587926 588534-588545 </w:t>
            </w:r>
            <w:r w:rsidRPr="003169F4">
              <w:rPr>
                <w:rFonts w:ascii="Arial" w:eastAsia="Times New Roman" w:hAnsi="Arial" w:cs="Arial"/>
                <w:noProof/>
                <w:color w:val="0000FF"/>
                <w:spacing w:val="-3"/>
                <w:sz w:val="20"/>
                <w:szCs w:val="20"/>
              </w:rPr>
              <w:t>et</w:t>
            </w:r>
            <w:r w:rsidRPr="003169F4">
              <w:rPr>
                <w:rFonts w:ascii="Arial" w:eastAsia="Times New Roman" w:hAnsi="Arial" w:cs="Arial"/>
                <w:color w:val="0000FF"/>
                <w:sz w:val="20"/>
                <w:szCs w:val="20"/>
                <w:lang w:val="fr-FR"/>
              </w:rPr>
              <w:t xml:space="preserve"> </w:t>
            </w:r>
            <w:r w:rsidRPr="003169F4">
              <w:rPr>
                <w:rFonts w:ascii="Arial" w:eastAsia="Times New Roman" w:hAnsi="Arial" w:cs="Arial"/>
                <w:noProof/>
                <w:color w:val="0000FF"/>
                <w:spacing w:val="-3"/>
                <w:sz w:val="20"/>
                <w:szCs w:val="20"/>
              </w:rPr>
              <w:t>, 587893-587904,</w:t>
            </w:r>
            <w:r w:rsidRPr="003169F4">
              <w:rPr>
                <w:rFonts w:ascii="Times New Roman" w:eastAsia="Times New Roman" w:hAnsi="Times New Roman" w:cs="Arial"/>
                <w:noProof/>
                <w:color w:val="0000FF"/>
                <w:spacing w:val="-3"/>
                <w:sz w:val="20"/>
                <w:szCs w:val="20"/>
              </w:rPr>
              <w:t xml:space="preserve"> </w:t>
            </w:r>
            <w:r w:rsidRPr="003169F4">
              <w:rPr>
                <w:rFonts w:ascii="Arial" w:eastAsia="Times New Roman" w:hAnsi="Arial" w:cs="Arial"/>
                <w:color w:val="0000FF"/>
                <w:sz w:val="20"/>
                <w:szCs w:val="20"/>
                <w:lang w:val="fr-FR"/>
              </w:rPr>
              <w:t>une récidive après la première année de follow-up est considérée comme une nouvelle phase d'investigation diagnostique."</w:t>
            </w:r>
          </w:p>
        </w:tc>
        <w:tc>
          <w:tcPr>
            <w:tcW w:w="289" w:type="dxa"/>
            <w:vAlign w:val="bottom"/>
          </w:tcPr>
          <w:p w14:paraId="546E18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85B14AA" w14:textId="77777777" w:rsidTr="00FD6D88">
        <w:trPr>
          <w:cantSplit/>
        </w:trPr>
        <w:tc>
          <w:tcPr>
            <w:tcW w:w="289" w:type="dxa"/>
          </w:tcPr>
          <w:p w14:paraId="132BF3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834DF7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6D592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10127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045DAA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186DE54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4B01526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0CC2CDB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915907E" w14:textId="77777777" w:rsidTr="00FD6D88">
        <w:trPr>
          <w:cantSplit/>
        </w:trPr>
        <w:tc>
          <w:tcPr>
            <w:tcW w:w="289" w:type="dxa"/>
          </w:tcPr>
          <w:p w14:paraId="743A82C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3B8B10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F6C99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458575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C1C19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lang w:val="fr-FR"/>
              </w:rPr>
              <w:t>"A.R. 31.8.2009" (en vigueur 1.11.2009)</w:t>
            </w:r>
            <w:r w:rsidRPr="003169F4">
              <w:rPr>
                <w:rFonts w:ascii="Arial" w:eastAsia="Times New Roman" w:hAnsi="Arial" w:cs="Times New Roman"/>
                <w:i/>
                <w:color w:val="0000FF"/>
                <w:sz w:val="18"/>
                <w:szCs w:val="20"/>
              </w:rPr>
              <w:t xml:space="preserve"> + Errata M.B. 28.10.2009 et 30.10.2009</w:t>
            </w:r>
          </w:p>
        </w:tc>
        <w:tc>
          <w:tcPr>
            <w:tcW w:w="289" w:type="dxa"/>
            <w:vAlign w:val="bottom"/>
          </w:tcPr>
          <w:p w14:paraId="4D0161E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4DCF08A" w14:textId="77777777" w:rsidTr="00FD6D88">
        <w:trPr>
          <w:cantSplit/>
        </w:trPr>
        <w:tc>
          <w:tcPr>
            <w:tcW w:w="289" w:type="dxa"/>
          </w:tcPr>
          <w:p w14:paraId="5B5506B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7F080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06FB1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7EFC07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3B845E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"2. La prestation 587016-587020 ne peut être portée en compte à l'AMI qu'uniquement en cas de recherche positive de la résistance à la protéine C activée par le test APC-R spécifique modifié.</w:t>
            </w:r>
          </w:p>
        </w:tc>
        <w:tc>
          <w:tcPr>
            <w:tcW w:w="289" w:type="dxa"/>
            <w:vAlign w:val="bottom"/>
          </w:tcPr>
          <w:p w14:paraId="3F5E04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9C14AC7" w14:textId="77777777" w:rsidTr="00FD6D88">
        <w:trPr>
          <w:cantSplit/>
        </w:trPr>
        <w:tc>
          <w:tcPr>
            <w:tcW w:w="289" w:type="dxa"/>
          </w:tcPr>
          <w:p w14:paraId="7B04AC4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D52314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53A4D9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BF3BA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1B6026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52A1676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150936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1D79190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AC7B4E" w:rsidRPr="003169F4" w14:paraId="311F9EC4" w14:textId="77777777" w:rsidTr="00FD6D88">
        <w:trPr>
          <w:cantSplit/>
        </w:trPr>
        <w:tc>
          <w:tcPr>
            <w:tcW w:w="289" w:type="dxa"/>
          </w:tcPr>
          <w:p w14:paraId="5DACEDF7"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8" w:type="dxa"/>
          </w:tcPr>
          <w:p w14:paraId="4E32166A"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7292B9BF"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01ECBB0B"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71D042C6"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5D9EA575"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2A3E7044"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865B6B9"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r>
      <w:tr w:rsidR="003169F4" w:rsidRPr="003169F4" w14:paraId="0F19EEB2" w14:textId="77777777" w:rsidTr="00FD6D88">
        <w:trPr>
          <w:cantSplit/>
        </w:trPr>
        <w:tc>
          <w:tcPr>
            <w:tcW w:w="289" w:type="dxa"/>
          </w:tcPr>
          <w:p w14:paraId="175E81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F8B568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8346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A380EF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3A3A44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3. La prestation 587031-587042 ne peut être portée en compte à l'AMI que chez des patients de moins de 55 ans ayant présenté un accident thrombotique, chez tout patient ayant des antécédents familiaux d'accidents thrombotiques récidivants, ou en cas de coagulation intravasculaire disséminée.</w:t>
            </w:r>
          </w:p>
        </w:tc>
        <w:tc>
          <w:tcPr>
            <w:tcW w:w="289" w:type="dxa"/>
            <w:vAlign w:val="bottom"/>
          </w:tcPr>
          <w:p w14:paraId="77E108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5C5A5D4" w14:textId="77777777" w:rsidTr="00FD6D88">
        <w:trPr>
          <w:cantSplit/>
        </w:trPr>
        <w:tc>
          <w:tcPr>
            <w:tcW w:w="289" w:type="dxa"/>
          </w:tcPr>
          <w:p w14:paraId="70E6CBA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11F86D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1855A9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F16DA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008AA3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0776AD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6EF7CAD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32ECEF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3373B35" w14:textId="77777777" w:rsidTr="00FD6D88">
        <w:trPr>
          <w:cantSplit/>
        </w:trPr>
        <w:tc>
          <w:tcPr>
            <w:tcW w:w="289" w:type="dxa"/>
          </w:tcPr>
          <w:p w14:paraId="2A778B4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7273E1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786F37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F38068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35E8BF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4. La prestation 587053-587064 ne peut être portée en compte à l'AMI qu'exclusivement pour une femme enceinte porteuse d'anticorps anti-RH1 (RhD) ou chez une femme enceinte RH : -1 (RhD négatif) sur laquelle un acte invasif doit être pratiqué."</w:t>
            </w:r>
          </w:p>
        </w:tc>
        <w:tc>
          <w:tcPr>
            <w:tcW w:w="289" w:type="dxa"/>
            <w:vAlign w:val="bottom"/>
          </w:tcPr>
          <w:p w14:paraId="1D2D057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A80646E" w14:textId="77777777" w:rsidTr="00FD6D88">
        <w:trPr>
          <w:cantSplit/>
        </w:trPr>
        <w:tc>
          <w:tcPr>
            <w:tcW w:w="289" w:type="dxa"/>
          </w:tcPr>
          <w:p w14:paraId="58E75B0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E9D437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232E19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505F74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30EC8EA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7E295C0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13BD788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66C68F9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CE176C9" w14:textId="77777777" w:rsidTr="00FD6D88">
        <w:trPr>
          <w:cantSplit/>
        </w:trPr>
        <w:tc>
          <w:tcPr>
            <w:tcW w:w="289" w:type="dxa"/>
          </w:tcPr>
          <w:p w14:paraId="5A99CD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96C319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6B71B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9B1D51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649DD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 + "A.R. 11.9.2016" (en vigueur 1.11.2016) + "A.R. 17.5.2019" (en vigueur 1.7.2019)</w:t>
            </w:r>
          </w:p>
        </w:tc>
        <w:tc>
          <w:tcPr>
            <w:tcW w:w="289" w:type="dxa"/>
            <w:vAlign w:val="bottom"/>
          </w:tcPr>
          <w:p w14:paraId="2ACB1B4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900912E" w14:textId="77777777" w:rsidTr="00FD6D88">
        <w:trPr>
          <w:cantSplit/>
        </w:trPr>
        <w:tc>
          <w:tcPr>
            <w:tcW w:w="289" w:type="dxa"/>
          </w:tcPr>
          <w:p w14:paraId="0096E5A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7F3CE1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F3728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20911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0E9C43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r w:rsidRPr="003169F4">
              <w:rPr>
                <w:rFonts w:ascii="Arial" w:eastAsia="Times New Roman" w:hAnsi="Arial" w:cs="Arial"/>
                <w:color w:val="0000FF"/>
                <w:sz w:val="20"/>
                <w:szCs w:val="20"/>
                <w:lang w:eastAsia="nl-BE"/>
              </w:rPr>
              <w:t>5. Les prestations 588431-588442 peuvent être portées en compte 5 fois maximum par phase d'investigation diagnostique.</w:t>
            </w:r>
            <w:r w:rsidRPr="003169F4">
              <w:rPr>
                <w:rFonts w:ascii="Arial" w:eastAsia="Times New Roman" w:hAnsi="Arial" w:cs="Arial"/>
                <w:color w:val="0000FF"/>
                <w:sz w:val="20"/>
                <w:szCs w:val="20"/>
                <w:lang w:val="fr-FR"/>
              </w:rPr>
              <w:t>"</w:t>
            </w:r>
          </w:p>
        </w:tc>
        <w:tc>
          <w:tcPr>
            <w:tcW w:w="289" w:type="dxa"/>
            <w:vAlign w:val="bottom"/>
          </w:tcPr>
          <w:p w14:paraId="331934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A137873" w14:textId="77777777" w:rsidTr="00FD6D88">
        <w:trPr>
          <w:cantSplit/>
        </w:trPr>
        <w:tc>
          <w:tcPr>
            <w:tcW w:w="289" w:type="dxa"/>
          </w:tcPr>
          <w:p w14:paraId="55CE7A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D4857A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B570F6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5F6168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CCA9F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45E20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2BC9A9D" w14:textId="77777777" w:rsidTr="00FD6D88">
        <w:trPr>
          <w:cantSplit/>
        </w:trPr>
        <w:tc>
          <w:tcPr>
            <w:tcW w:w="289" w:type="dxa"/>
          </w:tcPr>
          <w:p w14:paraId="780082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69102F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2B05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778A2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1FBED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w:t>
            </w:r>
          </w:p>
        </w:tc>
        <w:tc>
          <w:tcPr>
            <w:tcW w:w="289" w:type="dxa"/>
            <w:vAlign w:val="bottom"/>
          </w:tcPr>
          <w:p w14:paraId="58E3B5A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29E6625" w14:textId="77777777" w:rsidTr="00FD6D88">
        <w:trPr>
          <w:cantSplit/>
        </w:trPr>
        <w:tc>
          <w:tcPr>
            <w:tcW w:w="289" w:type="dxa"/>
          </w:tcPr>
          <w:p w14:paraId="088455C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7DC48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8C320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C211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034E6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"6. La prestation 588453-588464 peut être portée en compte 3 fois maximum par phase d'investigation diagnostique.</w:t>
            </w:r>
          </w:p>
        </w:tc>
        <w:tc>
          <w:tcPr>
            <w:tcW w:w="289" w:type="dxa"/>
            <w:vAlign w:val="bottom"/>
          </w:tcPr>
          <w:p w14:paraId="288D5FB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C2AC730" w14:textId="77777777" w:rsidTr="00FD6D88">
        <w:trPr>
          <w:cantSplit/>
        </w:trPr>
        <w:tc>
          <w:tcPr>
            <w:tcW w:w="289" w:type="dxa"/>
          </w:tcPr>
          <w:p w14:paraId="21C171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536E56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60BF29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36677F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D1491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290F548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573E86D" w14:textId="77777777" w:rsidTr="00FD6D88">
        <w:trPr>
          <w:cantSplit/>
        </w:trPr>
        <w:tc>
          <w:tcPr>
            <w:tcW w:w="289" w:type="dxa"/>
          </w:tcPr>
          <w:p w14:paraId="202857D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6BF10C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AF265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25F7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B8AFA6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7. Les prestations 588475-588486 et 588490-588501 peuvent être portées en compte 2 fois maximum par phase d'investigation diagnostique et par tissu examiné."</w:t>
            </w:r>
          </w:p>
        </w:tc>
        <w:tc>
          <w:tcPr>
            <w:tcW w:w="289" w:type="dxa"/>
            <w:vAlign w:val="bottom"/>
          </w:tcPr>
          <w:p w14:paraId="5DB575C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76CBC87D" w14:textId="77777777" w:rsidTr="00FD6D88">
        <w:trPr>
          <w:cantSplit/>
        </w:trPr>
        <w:tc>
          <w:tcPr>
            <w:tcW w:w="289" w:type="dxa"/>
          </w:tcPr>
          <w:p w14:paraId="1AA859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782C8D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F5F63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972601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3DD0C6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523282A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17A1DC4" w14:textId="77777777" w:rsidTr="00FD6D88">
        <w:trPr>
          <w:cantSplit/>
        </w:trPr>
        <w:tc>
          <w:tcPr>
            <w:tcW w:w="289" w:type="dxa"/>
          </w:tcPr>
          <w:p w14:paraId="02D7529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988CD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02FC6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3F0CEA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8344C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 + "A.R. 11.9.2016" (en vigueur 1.11.2016) + "A.R. 17.5.2019" (en vigueur 1.7.2019)</w:t>
            </w:r>
          </w:p>
        </w:tc>
        <w:tc>
          <w:tcPr>
            <w:tcW w:w="289" w:type="dxa"/>
            <w:vAlign w:val="bottom"/>
          </w:tcPr>
          <w:p w14:paraId="4964220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F8BA0F9" w14:textId="77777777" w:rsidTr="00FD6D88">
        <w:trPr>
          <w:cantSplit/>
        </w:trPr>
        <w:tc>
          <w:tcPr>
            <w:tcW w:w="289" w:type="dxa"/>
          </w:tcPr>
          <w:p w14:paraId="64D4BD0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0645A5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4EA4FD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C05A0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EE0C8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"8 </w:t>
            </w:r>
            <w:r w:rsidRPr="003169F4">
              <w:rPr>
                <w:rFonts w:ascii="Arial" w:eastAsia="Times New Roman" w:hAnsi="Arial" w:cs="Arial"/>
                <w:color w:val="0000FF"/>
                <w:sz w:val="20"/>
                <w:szCs w:val="20"/>
                <w:lang w:eastAsia="nl-BE"/>
              </w:rPr>
              <w:t>Les prestations 588512-588523 peuvent être portées en compte maximum 2 fois par phase d'investigation diagnostique."</w:t>
            </w:r>
          </w:p>
        </w:tc>
        <w:tc>
          <w:tcPr>
            <w:tcW w:w="289" w:type="dxa"/>
            <w:vAlign w:val="bottom"/>
          </w:tcPr>
          <w:p w14:paraId="308A2A7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A5D4AF5" w14:textId="77777777" w:rsidTr="00FD6D88">
        <w:trPr>
          <w:cantSplit/>
        </w:trPr>
        <w:tc>
          <w:tcPr>
            <w:tcW w:w="289" w:type="dxa"/>
          </w:tcPr>
          <w:p w14:paraId="6AAB3B7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614F0E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C6A183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D2F06E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029F7B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50FCD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9D1A24E" w14:textId="77777777" w:rsidTr="00FD6D88">
        <w:trPr>
          <w:cantSplit/>
        </w:trPr>
        <w:tc>
          <w:tcPr>
            <w:tcW w:w="289" w:type="dxa"/>
          </w:tcPr>
          <w:p w14:paraId="281164C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E53327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8C36D0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C3A53B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4A9CFA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 + "A.R. 17.5.2019" (en vigueur 1.7.2019)</w:t>
            </w:r>
          </w:p>
        </w:tc>
        <w:tc>
          <w:tcPr>
            <w:tcW w:w="289" w:type="dxa"/>
            <w:vAlign w:val="bottom"/>
          </w:tcPr>
          <w:p w14:paraId="0190C4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CB3D12A" w14:textId="77777777" w:rsidTr="00FD6D88">
        <w:trPr>
          <w:cantSplit/>
        </w:trPr>
        <w:tc>
          <w:tcPr>
            <w:tcW w:w="289" w:type="dxa"/>
          </w:tcPr>
          <w:p w14:paraId="6A4C43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AC987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06ABAF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92FE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737891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"9. Les prestations 588571-588582 peuvent être portées en compte 4 fois maximum par année de follow-up.</w:t>
            </w:r>
          </w:p>
        </w:tc>
        <w:tc>
          <w:tcPr>
            <w:tcW w:w="289" w:type="dxa"/>
            <w:vAlign w:val="bottom"/>
          </w:tcPr>
          <w:p w14:paraId="1892397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4B070ED" w14:textId="77777777" w:rsidTr="00FD6D88">
        <w:trPr>
          <w:cantSplit/>
        </w:trPr>
        <w:tc>
          <w:tcPr>
            <w:tcW w:w="289" w:type="dxa"/>
          </w:tcPr>
          <w:p w14:paraId="596C1BE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377A9D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0BA672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A1528A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8C5597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6054EE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353AF56" w14:textId="77777777" w:rsidTr="00FD6D88">
        <w:trPr>
          <w:cantSplit/>
        </w:trPr>
        <w:tc>
          <w:tcPr>
            <w:tcW w:w="289" w:type="dxa"/>
          </w:tcPr>
          <w:p w14:paraId="7FE8DD6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381D5A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6EEA55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C48BDA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D9FEC4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10. La prestation 588770-588781 peut être portée en compte 2 fois maximum par année de follow-up."</w:t>
            </w:r>
          </w:p>
        </w:tc>
        <w:tc>
          <w:tcPr>
            <w:tcW w:w="289" w:type="dxa"/>
            <w:vAlign w:val="bottom"/>
          </w:tcPr>
          <w:p w14:paraId="1B39613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6CD3207" w14:textId="77777777" w:rsidTr="00FD6D88">
        <w:trPr>
          <w:cantSplit/>
        </w:trPr>
        <w:tc>
          <w:tcPr>
            <w:tcW w:w="289" w:type="dxa"/>
          </w:tcPr>
          <w:p w14:paraId="3C7A31B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6D2DB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2427FA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C27CA2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D8466D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5B69D99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3202776" w14:textId="77777777" w:rsidTr="00FD6D88">
        <w:trPr>
          <w:cantSplit/>
        </w:trPr>
        <w:tc>
          <w:tcPr>
            <w:tcW w:w="289" w:type="dxa"/>
          </w:tcPr>
          <w:p w14:paraId="0904E4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BC0BCE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C1CC9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775D6E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EC1F5D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 + "A.R. 11.9.2016" (en vigueur 1.11.2016)</w:t>
            </w:r>
          </w:p>
        </w:tc>
        <w:tc>
          <w:tcPr>
            <w:tcW w:w="289" w:type="dxa"/>
            <w:vAlign w:val="bottom"/>
          </w:tcPr>
          <w:p w14:paraId="0201337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4B8ABBAA" w14:textId="77777777" w:rsidTr="00FD6D88">
        <w:trPr>
          <w:cantSplit/>
        </w:trPr>
        <w:tc>
          <w:tcPr>
            <w:tcW w:w="289" w:type="dxa"/>
          </w:tcPr>
          <w:p w14:paraId="03969B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3D5B9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9338CB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AA3A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2886C5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r w:rsidRPr="003169F4">
              <w:rPr>
                <w:rFonts w:ascii="Arial" w:eastAsia="Times New Roman" w:hAnsi="Arial" w:cs="Arial"/>
                <w:color w:val="0000FF"/>
                <w:sz w:val="20"/>
                <w:szCs w:val="20"/>
                <w:lang w:eastAsia="nl-BE"/>
              </w:rPr>
              <w:t>11. Les prestations 588814-588825 et 587856-587860 peuvent ensemble être portées en compte à l'A.M.I. 6 fois au maximum durant la première année de follow-up après transplantation de cellules souches hématopoïétiques allogéniques et ensuite au maximum 4 fois par an jusqu'à cinq ans après la transplantation.</w:t>
            </w:r>
            <w:r w:rsidRPr="003169F4">
              <w:rPr>
                <w:rFonts w:ascii="Arial" w:eastAsia="Times New Roman" w:hAnsi="Arial" w:cs="Arial"/>
                <w:color w:val="0000FF"/>
                <w:sz w:val="20"/>
                <w:szCs w:val="20"/>
                <w:lang w:val="fr-FR"/>
              </w:rPr>
              <w:t>"</w:t>
            </w:r>
          </w:p>
        </w:tc>
        <w:tc>
          <w:tcPr>
            <w:tcW w:w="289" w:type="dxa"/>
            <w:vAlign w:val="bottom"/>
          </w:tcPr>
          <w:p w14:paraId="66B1BC1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7FB56C9" w14:textId="77777777" w:rsidTr="00FD6D88">
        <w:trPr>
          <w:cantSplit/>
        </w:trPr>
        <w:tc>
          <w:tcPr>
            <w:tcW w:w="289" w:type="dxa"/>
          </w:tcPr>
          <w:p w14:paraId="244E50C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B7D00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594F95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F2E471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D68FD1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5FC231B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FC3FE0B" w14:textId="77777777" w:rsidTr="00FD6D88">
        <w:trPr>
          <w:cantSplit/>
        </w:trPr>
        <w:tc>
          <w:tcPr>
            <w:tcW w:w="289" w:type="dxa"/>
          </w:tcPr>
          <w:p w14:paraId="403D342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706EC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FA2278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AD3E69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E42530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w:t>
            </w:r>
          </w:p>
        </w:tc>
        <w:tc>
          <w:tcPr>
            <w:tcW w:w="289" w:type="dxa"/>
            <w:vAlign w:val="bottom"/>
          </w:tcPr>
          <w:p w14:paraId="4177E61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CC460DE" w14:textId="77777777" w:rsidTr="00FD6D88">
        <w:trPr>
          <w:cantSplit/>
        </w:trPr>
        <w:tc>
          <w:tcPr>
            <w:tcW w:w="289" w:type="dxa"/>
          </w:tcPr>
          <w:p w14:paraId="0CF5AA1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78BE4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CC0D45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C9F5DC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8DCA5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"12. La prestation 588836-588840 peut être portée en compte à l'A.M.I. maximum 1 fois par procédure d'aphérèse de cellules souches autologues."</w:t>
            </w:r>
          </w:p>
        </w:tc>
        <w:tc>
          <w:tcPr>
            <w:tcW w:w="289" w:type="dxa"/>
            <w:vAlign w:val="bottom"/>
          </w:tcPr>
          <w:p w14:paraId="03D490D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E90A14C" w14:textId="77777777" w:rsidTr="00FD6D88">
        <w:trPr>
          <w:cantSplit/>
        </w:trPr>
        <w:tc>
          <w:tcPr>
            <w:tcW w:w="289" w:type="dxa"/>
          </w:tcPr>
          <w:p w14:paraId="64C4EE4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1F6EF0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93C4DA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97B30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5F985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609350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14175B55" w14:textId="77777777" w:rsidTr="00FD6D88">
        <w:trPr>
          <w:cantSplit/>
        </w:trPr>
        <w:tc>
          <w:tcPr>
            <w:tcW w:w="289" w:type="dxa"/>
          </w:tcPr>
          <w:p w14:paraId="40060AD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2DA0B6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1F55F7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D5B3BC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011374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4.5.2010" (en vigueur 1.8.2010) + "A.R. 2.6.2010" (en vigueur 1.8.2010) + "A.R. 11.9.2016" (en vigueur 1.11.2016) + "A.R. 18.6.2017" (en vigueur 1.8.2017) + Erratum M.B. 14.7.2017 + "A.R. 17.5.2019" (en vigueur 1.7.2019)</w:t>
            </w:r>
          </w:p>
        </w:tc>
        <w:tc>
          <w:tcPr>
            <w:tcW w:w="289" w:type="dxa"/>
            <w:vAlign w:val="bottom"/>
          </w:tcPr>
          <w:p w14:paraId="1F83887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27BC13D6" w14:textId="77777777" w:rsidTr="00FD6D88">
        <w:trPr>
          <w:cantSplit/>
        </w:trPr>
        <w:tc>
          <w:tcPr>
            <w:tcW w:w="289" w:type="dxa"/>
          </w:tcPr>
          <w:p w14:paraId="5F17896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4FEC66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D0E27A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314CB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FD1A0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w:t>
            </w:r>
            <w:r w:rsidRPr="003169F4">
              <w:rPr>
                <w:rFonts w:ascii="Arial" w:eastAsia="Times New Roman" w:hAnsi="Arial" w:cs="Arial"/>
                <w:color w:val="0000FF"/>
                <w:sz w:val="20"/>
                <w:szCs w:val="20"/>
                <w:lang w:eastAsia="nl-BE"/>
              </w:rPr>
              <w:t xml:space="preserve">13. </w:t>
            </w:r>
            <w:r w:rsidRPr="003169F4">
              <w:rPr>
                <w:rFonts w:ascii="Arial" w:eastAsia="Times New Roman" w:hAnsi="Arial" w:cs="Arial"/>
                <w:color w:val="0000FF"/>
                <w:sz w:val="20"/>
                <w:szCs w:val="20"/>
                <w:lang w:val="fr-FR"/>
              </w:rPr>
              <w:t>Les prestations 588534-588545 et 587915-587926 ne peuvent être portées en compte qu'une fois maximum par phase d'investigation diagnostique.</w:t>
            </w:r>
            <w:r w:rsidRPr="003169F4">
              <w:rPr>
                <w:rFonts w:ascii="Arial" w:eastAsia="Times New Roman" w:hAnsi="Arial" w:cs="Arial"/>
                <w:color w:val="0000FF"/>
                <w:sz w:val="20"/>
                <w:szCs w:val="20"/>
                <w:lang w:val="fr-FR"/>
              </w:rPr>
              <w:sym w:font="Symbol" w:char="F0B2"/>
            </w:r>
          </w:p>
        </w:tc>
        <w:tc>
          <w:tcPr>
            <w:tcW w:w="289" w:type="dxa"/>
            <w:vAlign w:val="bottom"/>
          </w:tcPr>
          <w:p w14:paraId="3804B5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4D8E34A" w14:textId="77777777" w:rsidTr="00FD6D88">
        <w:trPr>
          <w:cantSplit/>
        </w:trPr>
        <w:tc>
          <w:tcPr>
            <w:tcW w:w="289" w:type="dxa"/>
          </w:tcPr>
          <w:p w14:paraId="7551B0D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9FAE9F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9EFC21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DF4C54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240994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4345B90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011CB0A8" w14:textId="77777777" w:rsidTr="00FD6D88">
        <w:trPr>
          <w:cantSplit/>
        </w:trPr>
        <w:tc>
          <w:tcPr>
            <w:tcW w:w="289" w:type="dxa"/>
          </w:tcPr>
          <w:p w14:paraId="6F9477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DAEFB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CE4319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4E840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42CFB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val="fr-FR"/>
              </w:rPr>
              <w:t xml:space="preserve">"14. </w:t>
            </w:r>
            <w:r w:rsidRPr="003169F4">
              <w:rPr>
                <w:rFonts w:ascii="Arial" w:eastAsia="Times New Roman" w:hAnsi="Arial" w:cs="Times New Roman"/>
                <w:i/>
                <w:color w:val="0000FF"/>
                <w:sz w:val="18"/>
                <w:szCs w:val="20"/>
              </w:rPr>
              <w:t>Supprimée par A.R. 17.5.2019 (en vigueur 1.7.2019)</w:t>
            </w:r>
          </w:p>
        </w:tc>
        <w:tc>
          <w:tcPr>
            <w:tcW w:w="289" w:type="dxa"/>
            <w:vAlign w:val="bottom"/>
          </w:tcPr>
          <w:p w14:paraId="2CA6411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95721A8" w14:textId="77777777" w:rsidTr="00FD6D88">
        <w:trPr>
          <w:cantSplit/>
        </w:trPr>
        <w:tc>
          <w:tcPr>
            <w:tcW w:w="289" w:type="dxa"/>
          </w:tcPr>
          <w:p w14:paraId="44B1DC9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667A8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1A7E0C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0681B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4E3726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4A7EDB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835AAB1" w14:textId="77777777" w:rsidTr="00FD6D88">
        <w:trPr>
          <w:cantSplit/>
        </w:trPr>
        <w:tc>
          <w:tcPr>
            <w:tcW w:w="289" w:type="dxa"/>
          </w:tcPr>
          <w:p w14:paraId="0EB2E8E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09D823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59A515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C2EBD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83A5F6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 + "A.R. 16.12.2022" (en vigueur 1.3.2023)</w:t>
            </w:r>
          </w:p>
        </w:tc>
        <w:tc>
          <w:tcPr>
            <w:tcW w:w="289" w:type="dxa"/>
            <w:vAlign w:val="bottom"/>
          </w:tcPr>
          <w:p w14:paraId="626A0459"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856DD33" w14:textId="77777777" w:rsidTr="00FD6D88">
        <w:trPr>
          <w:cantSplit/>
        </w:trPr>
        <w:tc>
          <w:tcPr>
            <w:tcW w:w="289" w:type="dxa"/>
          </w:tcPr>
          <w:p w14:paraId="5DE2126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4E8EBE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6AF121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5563B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83DFE9A"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val="fr-FR"/>
              </w:rPr>
              <w:t>"</w:t>
            </w:r>
            <w:r w:rsidRPr="003169F4">
              <w:rPr>
                <w:rFonts w:ascii="Arial" w:eastAsia="Times New Roman" w:hAnsi="Arial" w:cs="Arial"/>
                <w:color w:val="0000FF"/>
                <w:sz w:val="20"/>
                <w:szCs w:val="20"/>
                <w:lang w:eastAsia="nl-BE"/>
              </w:rPr>
              <w:t>15. La prestation 587775-587786 peut uniquement être portée en compte en cas de besoin transfusionnel dans les circonstances suivantes :</w:t>
            </w:r>
          </w:p>
        </w:tc>
        <w:tc>
          <w:tcPr>
            <w:tcW w:w="289" w:type="dxa"/>
            <w:vAlign w:val="bottom"/>
          </w:tcPr>
          <w:p w14:paraId="4D5D1E0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7FE9C76" w14:textId="77777777" w:rsidTr="00FD6D88">
        <w:trPr>
          <w:cantSplit/>
        </w:trPr>
        <w:tc>
          <w:tcPr>
            <w:tcW w:w="289" w:type="dxa"/>
          </w:tcPr>
          <w:p w14:paraId="0770A66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7AC6BB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CAD7B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672B7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9EBBA1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034E903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6B6794E1" w14:textId="77777777" w:rsidTr="00FD6D88">
        <w:trPr>
          <w:cantSplit/>
        </w:trPr>
        <w:tc>
          <w:tcPr>
            <w:tcW w:w="289" w:type="dxa"/>
          </w:tcPr>
          <w:p w14:paraId="7DC553F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632969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DC764A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56C95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1BEE2AE"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rPr>
              <w:t>1° chez des patients avec auto-anticorps anti-érythrocytaires perturbant les tests pré-transfusionnels ;</w:t>
            </w:r>
          </w:p>
        </w:tc>
        <w:tc>
          <w:tcPr>
            <w:tcW w:w="289" w:type="dxa"/>
            <w:vAlign w:val="bottom"/>
          </w:tcPr>
          <w:p w14:paraId="530B1669"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16438D57" w14:textId="77777777" w:rsidTr="00FD6D88">
        <w:trPr>
          <w:cantSplit/>
        </w:trPr>
        <w:tc>
          <w:tcPr>
            <w:tcW w:w="289" w:type="dxa"/>
          </w:tcPr>
          <w:p w14:paraId="7FC77AAA"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2B9C09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B1D81C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6084F8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47DF327A"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58A03CA6"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29407210" w14:textId="77777777" w:rsidTr="00FD6D88">
        <w:trPr>
          <w:cantSplit/>
        </w:trPr>
        <w:tc>
          <w:tcPr>
            <w:tcW w:w="289" w:type="dxa"/>
          </w:tcPr>
          <w:p w14:paraId="3891FEB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53E4E66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0F68D5C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3DE795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48E16847"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2° chez des patients sous traitement par anticorps monoclonaux perturbant les tests pré-transfusionnels ;</w:t>
            </w:r>
          </w:p>
        </w:tc>
        <w:tc>
          <w:tcPr>
            <w:tcW w:w="289" w:type="dxa"/>
            <w:vAlign w:val="bottom"/>
          </w:tcPr>
          <w:p w14:paraId="0A6A40B1"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310000A7" w14:textId="77777777" w:rsidTr="00FD6D88">
        <w:trPr>
          <w:cantSplit/>
        </w:trPr>
        <w:tc>
          <w:tcPr>
            <w:tcW w:w="289" w:type="dxa"/>
          </w:tcPr>
          <w:p w14:paraId="2864864A"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33807A62"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62E3CF9A"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58A02428"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1297EAE0"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691A4CC5"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3FCE2D8E" w14:textId="77777777" w:rsidTr="00FD6D88">
        <w:trPr>
          <w:cantSplit/>
        </w:trPr>
        <w:tc>
          <w:tcPr>
            <w:tcW w:w="289" w:type="dxa"/>
          </w:tcPr>
          <w:p w14:paraId="6825CD6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0D45ADE1"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52C52D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50724A6F"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4B9E5FBD"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3° chez des patients avec une affection hémolytique congénitale ;</w:t>
            </w:r>
          </w:p>
        </w:tc>
        <w:tc>
          <w:tcPr>
            <w:tcW w:w="289" w:type="dxa"/>
            <w:vAlign w:val="bottom"/>
          </w:tcPr>
          <w:p w14:paraId="15CBA037"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18B1052C" w14:textId="77777777" w:rsidTr="00FD6D88">
        <w:trPr>
          <w:cantSplit/>
        </w:trPr>
        <w:tc>
          <w:tcPr>
            <w:tcW w:w="289" w:type="dxa"/>
          </w:tcPr>
          <w:p w14:paraId="63B676A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69F3BFBC"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70F76EC"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37521D97"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64460C3C"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6E504697"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399E80E3" w14:textId="77777777" w:rsidTr="00FD6D88">
        <w:trPr>
          <w:cantSplit/>
        </w:trPr>
        <w:tc>
          <w:tcPr>
            <w:tcW w:w="289" w:type="dxa"/>
          </w:tcPr>
          <w:p w14:paraId="5A20154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1BDCB8F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7DB04E0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6FADE67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7D6E419B"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4° chez des patients avec allo-anticorps anti-érythrocytaires de spécificité publique ou anticorps anti-érythrocytaires multiples ;</w:t>
            </w:r>
          </w:p>
        </w:tc>
        <w:tc>
          <w:tcPr>
            <w:tcW w:w="289" w:type="dxa"/>
            <w:vAlign w:val="bottom"/>
          </w:tcPr>
          <w:p w14:paraId="09D7DF4F"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36F7DDB6" w14:textId="77777777" w:rsidTr="00FD6D88">
        <w:trPr>
          <w:cantSplit/>
        </w:trPr>
        <w:tc>
          <w:tcPr>
            <w:tcW w:w="289" w:type="dxa"/>
          </w:tcPr>
          <w:p w14:paraId="10C35E3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3202C82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2FC4C43A"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2AA8B2EC"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24E4D703"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7A19484E"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759D72B2" w14:textId="77777777" w:rsidTr="00FD6D88">
        <w:trPr>
          <w:cantSplit/>
        </w:trPr>
        <w:tc>
          <w:tcPr>
            <w:tcW w:w="289" w:type="dxa"/>
          </w:tcPr>
          <w:p w14:paraId="5E014EE1"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733BFDAE"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5F7FE449"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865A9E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7F33AD2D"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5° chez des patients avec anémie aplasique et allo-anticorps anti-érythrocytaires.</w:t>
            </w:r>
          </w:p>
        </w:tc>
        <w:tc>
          <w:tcPr>
            <w:tcW w:w="289" w:type="dxa"/>
            <w:vAlign w:val="bottom"/>
          </w:tcPr>
          <w:p w14:paraId="7C878244"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78496DE7" w14:textId="77777777" w:rsidTr="00FD6D88">
        <w:trPr>
          <w:cantSplit/>
        </w:trPr>
        <w:tc>
          <w:tcPr>
            <w:tcW w:w="289" w:type="dxa"/>
          </w:tcPr>
          <w:p w14:paraId="34460A9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7E10A99A"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604770F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2FC626B9"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5FC8635E"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289" w:type="dxa"/>
            <w:vAlign w:val="bottom"/>
          </w:tcPr>
          <w:p w14:paraId="2598F706"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1B634713" w14:textId="77777777" w:rsidTr="00FD6D88">
        <w:trPr>
          <w:cantSplit/>
        </w:trPr>
        <w:tc>
          <w:tcPr>
            <w:tcW w:w="289" w:type="dxa"/>
          </w:tcPr>
          <w:p w14:paraId="340A371F"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06F1720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77AF971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2643F119"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17851849"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16. La prestation 587812-587823 peut uniquement être portée en compte dans les circonstances suivantes :</w:t>
            </w:r>
          </w:p>
        </w:tc>
        <w:tc>
          <w:tcPr>
            <w:tcW w:w="289" w:type="dxa"/>
            <w:vAlign w:val="bottom"/>
          </w:tcPr>
          <w:p w14:paraId="680177F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8869A62" w14:textId="77777777" w:rsidTr="00FD6D88">
        <w:trPr>
          <w:cantSplit/>
        </w:trPr>
        <w:tc>
          <w:tcPr>
            <w:tcW w:w="289" w:type="dxa"/>
          </w:tcPr>
          <w:p w14:paraId="4AAA544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3711B3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52DCF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97EE02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36B2DC3"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01C75EA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292C234" w14:textId="77777777" w:rsidTr="00FD6D88">
        <w:trPr>
          <w:cantSplit/>
        </w:trPr>
        <w:tc>
          <w:tcPr>
            <w:tcW w:w="289" w:type="dxa"/>
          </w:tcPr>
          <w:p w14:paraId="3EDD958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5BDD9B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F564F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D41EFC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5997FB0"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1° en présence d’un D faible sérologique : chez les femmes enceintes, chez les femmes de moins de 50 ans nécessitant une transfusion, chez les enfants ou adolescents de moins de 18 ans nécessitant une transfusion, ou chez les patients avec une affection nécessitant des transfusions de manière chronique ;</w:t>
            </w:r>
          </w:p>
        </w:tc>
        <w:tc>
          <w:tcPr>
            <w:tcW w:w="289" w:type="dxa"/>
            <w:vAlign w:val="bottom"/>
          </w:tcPr>
          <w:p w14:paraId="2CC4523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5B7BA5E" w14:textId="77777777" w:rsidTr="00FD6D88">
        <w:trPr>
          <w:cantSplit/>
        </w:trPr>
        <w:tc>
          <w:tcPr>
            <w:tcW w:w="289" w:type="dxa"/>
          </w:tcPr>
          <w:p w14:paraId="5330FD8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97B56E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BC196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CA99BB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1C7EE55"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7E0F22D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DA8A29A" w14:textId="77777777" w:rsidTr="00FD6D88">
        <w:trPr>
          <w:cantSplit/>
        </w:trPr>
        <w:tc>
          <w:tcPr>
            <w:tcW w:w="289" w:type="dxa"/>
          </w:tcPr>
          <w:p w14:paraId="1475672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70386E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D5A50A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CD5450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CC5EB05"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2° chez des patients RhD positifs avec ou sans affaiblissement sérologique chez les patients atteints d’une affection hémolytique congénitale ;</w:t>
            </w:r>
          </w:p>
        </w:tc>
        <w:tc>
          <w:tcPr>
            <w:tcW w:w="289" w:type="dxa"/>
            <w:vAlign w:val="bottom"/>
          </w:tcPr>
          <w:p w14:paraId="5FD5F1C3"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4E04D1E" w14:textId="77777777" w:rsidTr="00FD6D88">
        <w:trPr>
          <w:cantSplit/>
        </w:trPr>
        <w:tc>
          <w:tcPr>
            <w:tcW w:w="289" w:type="dxa"/>
          </w:tcPr>
          <w:p w14:paraId="3972C2D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2A984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C4281E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E7E7D2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593D972"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0409BE9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3CAD0AC" w14:textId="77777777" w:rsidTr="00FD6D88">
        <w:trPr>
          <w:cantSplit/>
        </w:trPr>
        <w:tc>
          <w:tcPr>
            <w:tcW w:w="289" w:type="dxa"/>
          </w:tcPr>
          <w:p w14:paraId="2BFB313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E9C097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323BEB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D58844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7D7F6DB"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3° en présence d’anti-D chez des patients RhD positifs ;</w:t>
            </w:r>
          </w:p>
        </w:tc>
        <w:tc>
          <w:tcPr>
            <w:tcW w:w="289" w:type="dxa"/>
            <w:vAlign w:val="bottom"/>
          </w:tcPr>
          <w:p w14:paraId="7325FF94"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12E5E637" w14:textId="77777777" w:rsidTr="00FD6D88">
        <w:trPr>
          <w:cantSplit/>
        </w:trPr>
        <w:tc>
          <w:tcPr>
            <w:tcW w:w="289" w:type="dxa"/>
          </w:tcPr>
          <w:p w14:paraId="66B40C5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44AEFE7"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69E2398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26C5A3E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072D5658"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715632C0"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46F81893" w14:textId="77777777" w:rsidTr="00FD6D88">
        <w:trPr>
          <w:cantSplit/>
        </w:trPr>
        <w:tc>
          <w:tcPr>
            <w:tcW w:w="289" w:type="dxa"/>
          </w:tcPr>
          <w:p w14:paraId="18BD863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39D2318A"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FC33AE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0FB7532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06FD276E"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4° en présence d’un variant du gène RHCE démontré par une méthode de biologie moléculaire chez les femmes enceintes ou chez les patients nécessitant une transfusion.</w:t>
            </w:r>
          </w:p>
        </w:tc>
        <w:tc>
          <w:tcPr>
            <w:tcW w:w="289" w:type="dxa"/>
            <w:vAlign w:val="bottom"/>
          </w:tcPr>
          <w:p w14:paraId="38DE65E7"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60CD6319" w14:textId="77777777" w:rsidTr="00FD6D88">
        <w:trPr>
          <w:cantSplit/>
        </w:trPr>
        <w:tc>
          <w:tcPr>
            <w:tcW w:w="289" w:type="dxa"/>
          </w:tcPr>
          <w:p w14:paraId="36D3881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6C186ECF"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005FEB99"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7ADDEB6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2E9BB4D1"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289" w:type="dxa"/>
            <w:vAlign w:val="bottom"/>
          </w:tcPr>
          <w:p w14:paraId="26749037" w14:textId="77777777" w:rsidR="003169F4" w:rsidRPr="003169F4" w:rsidRDefault="003169F4" w:rsidP="003169F4">
            <w:pPr>
              <w:spacing w:after="0" w:line="240" w:lineRule="atLeast"/>
              <w:jc w:val="right"/>
              <w:rPr>
                <w:rFonts w:ascii="Arial" w:eastAsia="Times New Roman" w:hAnsi="Arial" w:cs="Arial"/>
                <w:color w:val="0000FF"/>
                <w:sz w:val="20"/>
                <w:szCs w:val="20"/>
              </w:rPr>
            </w:pPr>
          </w:p>
        </w:tc>
      </w:tr>
      <w:tr w:rsidR="003169F4" w:rsidRPr="003169F4" w14:paraId="3FF7F17A" w14:textId="77777777" w:rsidTr="00FD6D88">
        <w:trPr>
          <w:cantSplit/>
        </w:trPr>
        <w:tc>
          <w:tcPr>
            <w:tcW w:w="289" w:type="dxa"/>
          </w:tcPr>
          <w:p w14:paraId="425F9D1C"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691B0BA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4D9A95E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3E768EE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6554D350"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 xml:space="preserve">17. </w:t>
            </w:r>
            <w:r w:rsidRPr="003169F4">
              <w:rPr>
                <w:rFonts w:ascii="Arial" w:eastAsia="Times New Roman" w:hAnsi="Arial" w:cs="Times New Roman"/>
                <w:i/>
                <w:color w:val="0000FF"/>
                <w:sz w:val="18"/>
                <w:szCs w:val="20"/>
              </w:rPr>
              <w:t>Supprimée par A.R. 16.12.2022 (en vigueur 1.3.2023)</w:t>
            </w:r>
          </w:p>
        </w:tc>
        <w:tc>
          <w:tcPr>
            <w:tcW w:w="289" w:type="dxa"/>
            <w:vAlign w:val="bottom"/>
          </w:tcPr>
          <w:p w14:paraId="023B820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49675DC" w14:textId="77777777" w:rsidTr="00FD6D88">
        <w:trPr>
          <w:cantSplit/>
        </w:trPr>
        <w:tc>
          <w:tcPr>
            <w:tcW w:w="289" w:type="dxa"/>
          </w:tcPr>
          <w:p w14:paraId="25F7B23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A7D7B4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AEEC6E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550842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CEA7A8D"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6A6C376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6DD4FE9" w14:textId="77777777" w:rsidTr="00FD6D88">
        <w:trPr>
          <w:cantSplit/>
        </w:trPr>
        <w:tc>
          <w:tcPr>
            <w:tcW w:w="289" w:type="dxa"/>
          </w:tcPr>
          <w:p w14:paraId="2B34540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bookmarkStart w:id="8" w:name="_Hlk126057323"/>
          </w:p>
        </w:tc>
        <w:tc>
          <w:tcPr>
            <w:tcW w:w="578" w:type="dxa"/>
          </w:tcPr>
          <w:p w14:paraId="1188B25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42D871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1A584D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65E6A22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 + "A.R. 16.12.2022" (en vigueur 1.3.2023)</w:t>
            </w:r>
          </w:p>
        </w:tc>
        <w:tc>
          <w:tcPr>
            <w:tcW w:w="289" w:type="dxa"/>
            <w:vAlign w:val="bottom"/>
          </w:tcPr>
          <w:p w14:paraId="5BE838F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16B89F9" w14:textId="77777777" w:rsidTr="00FD6D88">
        <w:trPr>
          <w:cantSplit/>
        </w:trPr>
        <w:tc>
          <w:tcPr>
            <w:tcW w:w="289" w:type="dxa"/>
          </w:tcPr>
          <w:p w14:paraId="234FA0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bookmarkStart w:id="9" w:name="_Hlk126057395"/>
          </w:p>
        </w:tc>
        <w:tc>
          <w:tcPr>
            <w:tcW w:w="578" w:type="dxa"/>
          </w:tcPr>
          <w:p w14:paraId="40BD9BB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0AF9D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11FA8D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69C0921"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18. La prestation 587834-587845 peut être portée en compte uniquement chez des patients atteints d’une maladie active ou avancée sans délétion 17p/mutation de TP53.</w:t>
            </w:r>
          </w:p>
        </w:tc>
        <w:tc>
          <w:tcPr>
            <w:tcW w:w="289" w:type="dxa"/>
            <w:vAlign w:val="bottom"/>
          </w:tcPr>
          <w:p w14:paraId="6B17217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bookmarkEnd w:id="8"/>
      <w:bookmarkEnd w:id="9"/>
      <w:tr w:rsidR="003169F4" w:rsidRPr="003169F4" w14:paraId="1AB20D8A" w14:textId="77777777" w:rsidTr="00FD6D88">
        <w:trPr>
          <w:cantSplit/>
        </w:trPr>
        <w:tc>
          <w:tcPr>
            <w:tcW w:w="289" w:type="dxa"/>
          </w:tcPr>
          <w:p w14:paraId="45991B0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DAFBCD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9EBFB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D1EA86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C2EDF8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3D41A70A"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9651071" w14:textId="77777777" w:rsidTr="00FD6D88">
        <w:trPr>
          <w:cantSplit/>
        </w:trPr>
        <w:tc>
          <w:tcPr>
            <w:tcW w:w="289" w:type="dxa"/>
          </w:tcPr>
          <w:p w14:paraId="281E933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80304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6CA698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E3E42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59A0F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11.9.2016" (en vigueur 1.11.2016)</w:t>
            </w:r>
          </w:p>
        </w:tc>
        <w:tc>
          <w:tcPr>
            <w:tcW w:w="289" w:type="dxa"/>
            <w:vAlign w:val="bottom"/>
          </w:tcPr>
          <w:p w14:paraId="723F81D7"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67CE633" w14:textId="77777777" w:rsidTr="00FD6D88">
        <w:trPr>
          <w:cantSplit/>
        </w:trPr>
        <w:tc>
          <w:tcPr>
            <w:tcW w:w="289" w:type="dxa"/>
          </w:tcPr>
          <w:p w14:paraId="053471E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480377C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815D4B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88F6E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19364F7"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19. La prestation 587871-587882 peut être portée en compte au maximum une fois par phase d'investigation diagnostique chez des patients de moins de 65 ans ayant une leucémie lymphoïde chronique ou un myélome multiple.</w:t>
            </w:r>
          </w:p>
        </w:tc>
        <w:tc>
          <w:tcPr>
            <w:tcW w:w="289" w:type="dxa"/>
            <w:vAlign w:val="bottom"/>
          </w:tcPr>
          <w:p w14:paraId="0E9508B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EE23844" w14:textId="77777777" w:rsidTr="00FD6D88">
        <w:trPr>
          <w:cantSplit/>
        </w:trPr>
        <w:tc>
          <w:tcPr>
            <w:tcW w:w="289" w:type="dxa"/>
          </w:tcPr>
          <w:p w14:paraId="0097DF9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D69C11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2183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ABC3C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5D82CA9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289" w:type="dxa"/>
            <w:vAlign w:val="bottom"/>
          </w:tcPr>
          <w:p w14:paraId="7DA3C5A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ED749F8" w14:textId="77777777" w:rsidTr="00FD6D88">
        <w:trPr>
          <w:cantSplit/>
        </w:trPr>
        <w:tc>
          <w:tcPr>
            <w:tcW w:w="289" w:type="dxa"/>
          </w:tcPr>
          <w:p w14:paraId="17953C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34981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F4121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F67DA1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E27AD35" w14:textId="77777777" w:rsidR="003169F4" w:rsidRPr="003169F4" w:rsidRDefault="003169F4" w:rsidP="003169F4">
            <w:pPr>
              <w:spacing w:after="0" w:line="240" w:lineRule="atLeast"/>
              <w:jc w:val="both"/>
              <w:rPr>
                <w:rFonts w:ascii="Arial" w:eastAsia="Times New Roman" w:hAnsi="Arial" w:cs="Arial"/>
                <w:color w:val="0000FF"/>
                <w:sz w:val="20"/>
                <w:szCs w:val="20"/>
              </w:rPr>
            </w:pPr>
            <w:r w:rsidRPr="003169F4">
              <w:rPr>
                <w:rFonts w:ascii="Arial" w:eastAsia="Times New Roman" w:hAnsi="Arial" w:cs="Arial"/>
                <w:color w:val="0000FF"/>
                <w:sz w:val="20"/>
                <w:szCs w:val="20"/>
                <w:lang w:eastAsia="nl-BE"/>
              </w:rPr>
              <w:t>20. La prestation 587893-587904 peut être portée en compte 8 fois maximum par phase d'investigation diagnostique.</w:t>
            </w:r>
            <w:r w:rsidRPr="003169F4">
              <w:rPr>
                <w:rFonts w:ascii="Arial" w:eastAsia="Times New Roman" w:hAnsi="Arial" w:cs="Arial"/>
                <w:color w:val="0000FF"/>
                <w:sz w:val="20"/>
                <w:szCs w:val="20"/>
                <w:lang w:val="fr-FR"/>
              </w:rPr>
              <w:t>"</w:t>
            </w:r>
          </w:p>
        </w:tc>
        <w:tc>
          <w:tcPr>
            <w:tcW w:w="289" w:type="dxa"/>
            <w:vAlign w:val="bottom"/>
          </w:tcPr>
          <w:p w14:paraId="232C8AD8"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038560F" w14:textId="77777777" w:rsidTr="00FD6D88">
        <w:trPr>
          <w:cantSplit/>
        </w:trPr>
        <w:tc>
          <w:tcPr>
            <w:tcW w:w="289" w:type="dxa"/>
          </w:tcPr>
          <w:p w14:paraId="243DB6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E919BB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3106AF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7E36BE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AAF5A47"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74273C1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46F6BC0" w14:textId="77777777" w:rsidTr="00FD6D88">
        <w:trPr>
          <w:cantSplit/>
        </w:trPr>
        <w:tc>
          <w:tcPr>
            <w:tcW w:w="289" w:type="dxa"/>
          </w:tcPr>
          <w:p w14:paraId="2C4A36E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629BB6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A08073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109687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0F8E8B6" w14:textId="77777777" w:rsidR="003169F4" w:rsidRPr="003169F4" w:rsidRDefault="003169F4" w:rsidP="003169F4">
            <w:pPr>
              <w:spacing w:after="0" w:line="240" w:lineRule="atLeast"/>
              <w:jc w:val="both"/>
              <w:rPr>
                <w:rFonts w:ascii="Arial" w:eastAsia="Times New Roman" w:hAnsi="Arial" w:cs="Arial"/>
                <w:i/>
                <w:color w:val="0000FF"/>
                <w:sz w:val="18"/>
                <w:szCs w:val="18"/>
                <w:lang w:eastAsia="nl-BE"/>
              </w:rPr>
            </w:pPr>
            <w:r w:rsidRPr="003169F4">
              <w:rPr>
                <w:rFonts w:ascii="Arial" w:eastAsia="Times New Roman" w:hAnsi="Arial" w:cs="Arial"/>
                <w:i/>
                <w:color w:val="0000FF"/>
                <w:sz w:val="18"/>
                <w:szCs w:val="18"/>
                <w:lang w:eastAsia="nl-BE"/>
              </w:rPr>
              <w:t xml:space="preserve">"21. </w:t>
            </w:r>
            <w:r w:rsidRPr="003169F4">
              <w:rPr>
                <w:rFonts w:ascii="Arial" w:eastAsia="Times New Roman" w:hAnsi="Arial" w:cs="Times New Roman"/>
                <w:i/>
                <w:color w:val="0000FF"/>
                <w:sz w:val="18"/>
                <w:szCs w:val="18"/>
              </w:rPr>
              <w:t>Supprimée par A.R.</w:t>
            </w:r>
            <w:r w:rsidRPr="003169F4">
              <w:rPr>
                <w:rFonts w:ascii="Arial" w:eastAsia="Times New Roman" w:hAnsi="Arial" w:cs="Arial"/>
                <w:i/>
                <w:color w:val="0000FF"/>
                <w:sz w:val="18"/>
                <w:szCs w:val="18"/>
                <w:lang w:val="fr-FR"/>
              </w:rPr>
              <w:t xml:space="preserve"> </w:t>
            </w:r>
            <w:r w:rsidRPr="003169F4">
              <w:rPr>
                <w:rFonts w:ascii="Arial" w:eastAsia="Times New Roman" w:hAnsi="Arial" w:cs="Times New Roman"/>
                <w:i/>
                <w:color w:val="0000FF"/>
                <w:sz w:val="18"/>
                <w:szCs w:val="18"/>
              </w:rPr>
              <w:t>17.5.2019 (en vigueur 1.7.2019)</w:t>
            </w:r>
            <w:r w:rsidRPr="003169F4">
              <w:rPr>
                <w:rFonts w:ascii="Arial" w:eastAsia="Times New Roman" w:hAnsi="Arial" w:cs="Arial"/>
                <w:i/>
                <w:color w:val="0000FF"/>
                <w:sz w:val="18"/>
                <w:szCs w:val="18"/>
                <w:lang w:eastAsia="nl-BE"/>
              </w:rPr>
              <w:t>.</w:t>
            </w:r>
          </w:p>
        </w:tc>
        <w:tc>
          <w:tcPr>
            <w:tcW w:w="289" w:type="dxa"/>
            <w:vAlign w:val="bottom"/>
          </w:tcPr>
          <w:p w14:paraId="680434E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FFB68D2" w14:textId="77777777" w:rsidTr="00FD6D88">
        <w:trPr>
          <w:cantSplit/>
        </w:trPr>
        <w:tc>
          <w:tcPr>
            <w:tcW w:w="289" w:type="dxa"/>
          </w:tcPr>
          <w:p w14:paraId="4185692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6201D8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9191FB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3E2128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2EECD72"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0E4C4B8F"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0EAC60D0" w14:textId="77777777" w:rsidTr="00FD6D88">
        <w:trPr>
          <w:cantSplit/>
        </w:trPr>
        <w:tc>
          <w:tcPr>
            <w:tcW w:w="289" w:type="dxa"/>
          </w:tcPr>
          <w:p w14:paraId="0AF0F8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9850F3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0A55C7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2D81C0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7B78B6F" w14:textId="77777777" w:rsidR="003169F4" w:rsidRPr="003169F4" w:rsidRDefault="003169F4" w:rsidP="003169F4">
            <w:pPr>
              <w:spacing w:after="0" w:line="240" w:lineRule="atLeast"/>
              <w:jc w:val="both"/>
              <w:rPr>
                <w:rFonts w:ascii="Arial" w:eastAsia="Times New Roman" w:hAnsi="Arial" w:cs="Arial"/>
                <w:color w:val="0000FF"/>
                <w:sz w:val="18"/>
                <w:szCs w:val="18"/>
                <w:lang w:eastAsia="nl-BE"/>
              </w:rPr>
            </w:pPr>
            <w:r w:rsidRPr="003169F4">
              <w:rPr>
                <w:rFonts w:ascii="Arial" w:eastAsia="Times New Roman" w:hAnsi="Arial" w:cs="Arial"/>
                <w:color w:val="0000FF"/>
                <w:sz w:val="18"/>
                <w:szCs w:val="18"/>
                <w:lang w:eastAsia="nl-BE"/>
              </w:rPr>
              <w:t xml:space="preserve">22. </w:t>
            </w:r>
            <w:r w:rsidRPr="003169F4">
              <w:rPr>
                <w:rFonts w:ascii="Arial" w:eastAsia="Times New Roman" w:hAnsi="Arial" w:cs="Times New Roman"/>
                <w:i/>
                <w:color w:val="0000FF"/>
                <w:sz w:val="18"/>
                <w:szCs w:val="18"/>
              </w:rPr>
              <w:t>Supprimée par A.R.</w:t>
            </w:r>
            <w:r w:rsidRPr="003169F4">
              <w:rPr>
                <w:rFonts w:ascii="Arial" w:eastAsia="Times New Roman" w:hAnsi="Arial" w:cs="Arial"/>
                <w:color w:val="0000FF"/>
                <w:sz w:val="18"/>
                <w:szCs w:val="18"/>
                <w:lang w:val="fr-FR"/>
              </w:rPr>
              <w:t xml:space="preserve"> </w:t>
            </w:r>
            <w:r w:rsidRPr="003169F4">
              <w:rPr>
                <w:rFonts w:ascii="Arial" w:eastAsia="Times New Roman" w:hAnsi="Arial" w:cs="Times New Roman"/>
                <w:i/>
                <w:color w:val="0000FF"/>
                <w:sz w:val="18"/>
                <w:szCs w:val="18"/>
              </w:rPr>
              <w:t>17.5.2019 (en vigueur 1.7.2019)</w:t>
            </w:r>
            <w:r w:rsidRPr="003169F4">
              <w:rPr>
                <w:rFonts w:ascii="Arial" w:eastAsia="Times New Roman" w:hAnsi="Arial" w:cs="Arial"/>
                <w:color w:val="0000FF"/>
                <w:sz w:val="18"/>
                <w:szCs w:val="18"/>
                <w:lang w:eastAsia="nl-BE"/>
              </w:rPr>
              <w:t>."</w:t>
            </w:r>
          </w:p>
        </w:tc>
        <w:tc>
          <w:tcPr>
            <w:tcW w:w="289" w:type="dxa"/>
            <w:vAlign w:val="bottom"/>
          </w:tcPr>
          <w:p w14:paraId="576D1430"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47A41120" w14:textId="77777777" w:rsidTr="00FD6D88">
        <w:trPr>
          <w:cantSplit/>
        </w:trPr>
        <w:tc>
          <w:tcPr>
            <w:tcW w:w="289" w:type="dxa"/>
          </w:tcPr>
          <w:p w14:paraId="060ACA3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6FC010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CC08F6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24B75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3D4A5EC"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5FEDFA31"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AC7B4E" w:rsidRPr="003169F4" w14:paraId="64202C1F" w14:textId="77777777" w:rsidTr="00FD6D88">
        <w:trPr>
          <w:cantSplit/>
        </w:trPr>
        <w:tc>
          <w:tcPr>
            <w:tcW w:w="289" w:type="dxa"/>
          </w:tcPr>
          <w:p w14:paraId="3F03B814" w14:textId="77777777" w:rsidR="00AC7B4E" w:rsidRDefault="00AC7B4E" w:rsidP="003169F4">
            <w:pPr>
              <w:spacing w:after="0" w:line="240" w:lineRule="atLeast"/>
              <w:jc w:val="both"/>
              <w:rPr>
                <w:rFonts w:ascii="Arial" w:eastAsia="Times New Roman" w:hAnsi="Arial" w:cs="Arial"/>
                <w:color w:val="0000FF"/>
                <w:sz w:val="20"/>
                <w:szCs w:val="20"/>
                <w:lang w:val="fr-FR"/>
              </w:rPr>
            </w:pPr>
          </w:p>
          <w:p w14:paraId="02E4F4FA" w14:textId="414995C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578" w:type="dxa"/>
          </w:tcPr>
          <w:p w14:paraId="2496DEB5"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4AEA8EF6"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862" w:type="dxa"/>
          </w:tcPr>
          <w:p w14:paraId="237B4F9B" w14:textId="77777777" w:rsidR="00AC7B4E" w:rsidRPr="003169F4" w:rsidRDefault="00AC7B4E"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CA9B7C9" w14:textId="77777777" w:rsidR="00AC7B4E" w:rsidRPr="003169F4" w:rsidRDefault="00AC7B4E"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25FC88FE" w14:textId="77777777" w:rsidR="00AC7B4E" w:rsidRPr="003169F4" w:rsidRDefault="00AC7B4E" w:rsidP="003169F4">
            <w:pPr>
              <w:spacing w:after="0" w:line="240" w:lineRule="atLeast"/>
              <w:jc w:val="right"/>
              <w:rPr>
                <w:rFonts w:ascii="Arial" w:eastAsia="Times New Roman" w:hAnsi="Arial" w:cs="Arial"/>
                <w:color w:val="0000FF"/>
                <w:sz w:val="20"/>
                <w:szCs w:val="20"/>
                <w:lang w:val="fr-FR"/>
              </w:rPr>
            </w:pPr>
          </w:p>
        </w:tc>
      </w:tr>
      <w:tr w:rsidR="003169F4" w:rsidRPr="003169F4" w14:paraId="3B2A8363" w14:textId="77777777" w:rsidTr="00FD6D88">
        <w:trPr>
          <w:cantSplit/>
        </w:trPr>
        <w:tc>
          <w:tcPr>
            <w:tcW w:w="289" w:type="dxa"/>
          </w:tcPr>
          <w:p w14:paraId="7C31E4F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129F0F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10DD2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A4C91E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68538E3"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Times New Roman"/>
                <w:i/>
                <w:color w:val="0000FF"/>
                <w:sz w:val="18"/>
                <w:szCs w:val="20"/>
              </w:rPr>
              <w:t>"A.R. 15.10.2017" (en vigueur 1.7.2017)</w:t>
            </w:r>
          </w:p>
        </w:tc>
        <w:tc>
          <w:tcPr>
            <w:tcW w:w="289" w:type="dxa"/>
            <w:vAlign w:val="bottom"/>
          </w:tcPr>
          <w:p w14:paraId="0FE40F45"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38710ED0" w14:textId="77777777" w:rsidTr="00FD6D88">
        <w:trPr>
          <w:cantSplit/>
        </w:trPr>
        <w:tc>
          <w:tcPr>
            <w:tcW w:w="289" w:type="dxa"/>
          </w:tcPr>
          <w:p w14:paraId="68FF451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40A017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EE7B72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A6958F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0686A565" w14:textId="77777777" w:rsidR="003169F4" w:rsidRPr="003169F4" w:rsidRDefault="003169F4" w:rsidP="003169F4">
            <w:pPr>
              <w:spacing w:after="0" w:line="240" w:lineRule="auto"/>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w:t>
            </w:r>
            <w:r w:rsidRPr="003169F4">
              <w:rPr>
                <w:rFonts w:ascii="Arial" w:eastAsia="Calibri" w:hAnsi="Arial" w:cs="Arial"/>
                <w:color w:val="0000FF"/>
                <w:sz w:val="20"/>
                <w:szCs w:val="20"/>
              </w:rPr>
              <w:t>23. La prestation 565611 - 565622 est prescrite par le médecin qui assure le suivi de la grossesse.</w:t>
            </w:r>
          </w:p>
        </w:tc>
        <w:tc>
          <w:tcPr>
            <w:tcW w:w="289" w:type="dxa"/>
            <w:vAlign w:val="bottom"/>
          </w:tcPr>
          <w:p w14:paraId="7683C6DD"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EA03796" w14:textId="77777777" w:rsidTr="00FD6D88">
        <w:trPr>
          <w:cantSplit/>
        </w:trPr>
        <w:tc>
          <w:tcPr>
            <w:tcW w:w="289" w:type="dxa"/>
          </w:tcPr>
          <w:p w14:paraId="6452053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399F365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BF5AC1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AD8809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ECA1991" w14:textId="77777777" w:rsidR="003169F4" w:rsidRPr="003169F4" w:rsidRDefault="003169F4" w:rsidP="003169F4">
            <w:pPr>
              <w:spacing w:after="0" w:line="240" w:lineRule="auto"/>
              <w:jc w:val="both"/>
              <w:rPr>
                <w:rFonts w:ascii="Arial" w:eastAsia="Times New Roman" w:hAnsi="Arial" w:cs="Arial"/>
                <w:color w:val="0000FF"/>
                <w:sz w:val="20"/>
                <w:szCs w:val="20"/>
                <w:lang w:eastAsia="nl-BE"/>
              </w:rPr>
            </w:pPr>
          </w:p>
        </w:tc>
        <w:tc>
          <w:tcPr>
            <w:tcW w:w="289" w:type="dxa"/>
            <w:vAlign w:val="bottom"/>
          </w:tcPr>
          <w:p w14:paraId="1A439B0E"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167A8176" w14:textId="77777777" w:rsidTr="00FD6D88">
        <w:trPr>
          <w:cantSplit/>
        </w:trPr>
        <w:tc>
          <w:tcPr>
            <w:tcW w:w="289" w:type="dxa"/>
          </w:tcPr>
          <w:p w14:paraId="5381449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132340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E03714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51C634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2D18F854" w14:textId="77777777" w:rsidR="003169F4" w:rsidRPr="003169F4" w:rsidRDefault="003169F4" w:rsidP="003169F4">
            <w:pPr>
              <w:spacing w:after="0" w:line="240" w:lineRule="auto"/>
              <w:jc w:val="both"/>
              <w:rPr>
                <w:rFonts w:ascii="Arial" w:eastAsia="Times New Roman" w:hAnsi="Arial" w:cs="Arial"/>
                <w:color w:val="0000FF"/>
                <w:sz w:val="20"/>
                <w:szCs w:val="20"/>
                <w:lang w:eastAsia="nl-BE"/>
              </w:rPr>
            </w:pPr>
            <w:r w:rsidRPr="003169F4">
              <w:rPr>
                <w:rFonts w:ascii="Arial" w:eastAsia="Calibri" w:hAnsi="Arial" w:cs="Arial"/>
                <w:color w:val="0000FF"/>
                <w:sz w:val="20"/>
                <w:szCs w:val="20"/>
              </w:rPr>
              <w:t>24. Pour la prestation 565611 - 565622, le délai qui s'écoule entre la réception de l'échantillon et la délivrance du résultat au prescripteur, ne peut pas excéder 4 jours ouvrables.</w:t>
            </w:r>
          </w:p>
        </w:tc>
        <w:tc>
          <w:tcPr>
            <w:tcW w:w="289" w:type="dxa"/>
            <w:vAlign w:val="bottom"/>
          </w:tcPr>
          <w:p w14:paraId="31FB7314"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7DDC5F11" w14:textId="77777777" w:rsidTr="00FD6D88">
        <w:trPr>
          <w:cantSplit/>
        </w:trPr>
        <w:tc>
          <w:tcPr>
            <w:tcW w:w="289" w:type="dxa"/>
          </w:tcPr>
          <w:p w14:paraId="74C5525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50F603C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8FC513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52C3CBD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3C6F1D44" w14:textId="77777777" w:rsidR="003169F4" w:rsidRPr="003169F4" w:rsidRDefault="003169F4" w:rsidP="003169F4">
            <w:pPr>
              <w:spacing w:after="0" w:line="240" w:lineRule="auto"/>
              <w:jc w:val="both"/>
              <w:rPr>
                <w:rFonts w:ascii="Arial" w:eastAsia="Calibri" w:hAnsi="Arial" w:cs="Arial"/>
                <w:color w:val="0000FF"/>
                <w:sz w:val="20"/>
                <w:szCs w:val="20"/>
              </w:rPr>
            </w:pPr>
          </w:p>
        </w:tc>
        <w:tc>
          <w:tcPr>
            <w:tcW w:w="289" w:type="dxa"/>
            <w:vAlign w:val="bottom"/>
          </w:tcPr>
          <w:p w14:paraId="0DC29BB6"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529434B1" w14:textId="77777777" w:rsidTr="00FD6D88">
        <w:trPr>
          <w:cantSplit/>
        </w:trPr>
        <w:tc>
          <w:tcPr>
            <w:tcW w:w="289" w:type="dxa"/>
          </w:tcPr>
          <w:p w14:paraId="0A381A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54DDB9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6ED2324"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269F14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559D20F"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Calibri" w:hAnsi="Arial" w:cs="Arial"/>
                <w:color w:val="0000FF"/>
                <w:sz w:val="20"/>
                <w:szCs w:val="20"/>
              </w:rPr>
              <w:t>Le jour ouvrable est celui qui n'est ni un samedi, ni un dimanche, ni un jour férié. Le délai commencent à courir le jour ouvrable qui suit la réception de l'échantillon. Le jour de l'échéance est compris dans le délai. Si ce jour n'est pas un jour ouvrable, le jour de l'échéance est reporté au jour ouvrable qui suit.</w:t>
            </w:r>
            <w:r w:rsidRPr="003169F4">
              <w:rPr>
                <w:rFonts w:ascii="Arial" w:eastAsia="Times New Roman" w:hAnsi="Arial" w:cs="Arial"/>
                <w:color w:val="0000FF"/>
                <w:sz w:val="20"/>
                <w:szCs w:val="20"/>
                <w:lang w:eastAsia="nl-BE"/>
              </w:rPr>
              <w:t>"</w:t>
            </w:r>
          </w:p>
        </w:tc>
        <w:tc>
          <w:tcPr>
            <w:tcW w:w="289" w:type="dxa"/>
            <w:vAlign w:val="bottom"/>
          </w:tcPr>
          <w:p w14:paraId="11DC7C2B" w14:textId="77777777" w:rsidR="003169F4" w:rsidRPr="003169F4" w:rsidRDefault="003169F4" w:rsidP="003169F4">
            <w:pPr>
              <w:spacing w:after="0" w:line="240" w:lineRule="atLeast"/>
              <w:jc w:val="right"/>
              <w:rPr>
                <w:rFonts w:ascii="Arial" w:eastAsia="Times New Roman" w:hAnsi="Arial" w:cs="Arial"/>
                <w:color w:val="0000FF"/>
                <w:sz w:val="20"/>
                <w:szCs w:val="20"/>
                <w:lang w:val="fr-FR"/>
              </w:rPr>
            </w:pPr>
          </w:p>
        </w:tc>
      </w:tr>
      <w:tr w:rsidR="003169F4" w:rsidRPr="003169F4" w14:paraId="2EDE0E2B" w14:textId="77777777" w:rsidTr="00FD6D88">
        <w:trPr>
          <w:cantSplit/>
        </w:trPr>
        <w:tc>
          <w:tcPr>
            <w:tcW w:w="289" w:type="dxa"/>
          </w:tcPr>
          <w:p w14:paraId="1AB6578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049694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B57C2D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0D9D4D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FC650B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9" w:type="dxa"/>
            <w:vAlign w:val="bottom"/>
          </w:tcPr>
          <w:p w14:paraId="26140B0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69F8A19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025C6D6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ABE19AF" w14:textId="77777777" w:rsidTr="00FD6D88">
        <w:trPr>
          <w:cantSplit/>
        </w:trPr>
        <w:tc>
          <w:tcPr>
            <w:tcW w:w="289" w:type="dxa"/>
          </w:tcPr>
          <w:p w14:paraId="17D243D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882679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DCE460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D608F5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6C67196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19.9.2018" (en vigueur 1.12.2018)</w:t>
            </w:r>
          </w:p>
        </w:tc>
        <w:tc>
          <w:tcPr>
            <w:tcW w:w="579" w:type="dxa"/>
            <w:vAlign w:val="bottom"/>
          </w:tcPr>
          <w:p w14:paraId="4A464B6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05C67C5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2A9BEC1F"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178C8D5" w14:textId="77777777" w:rsidTr="00FD6D88">
        <w:trPr>
          <w:cantSplit/>
        </w:trPr>
        <w:tc>
          <w:tcPr>
            <w:tcW w:w="289" w:type="dxa"/>
          </w:tcPr>
          <w:p w14:paraId="29EC1FC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628CAB0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98AF8A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372CE5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66333C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w:t>
            </w:r>
            <w:r w:rsidRPr="003169F4">
              <w:rPr>
                <w:rFonts w:ascii="Arial" w:eastAsia="Calibri" w:hAnsi="Arial" w:cs="Arial"/>
                <w:color w:val="0000FF"/>
                <w:sz w:val="20"/>
                <w:szCs w:val="20"/>
              </w:rPr>
              <w:t>25. Les prestations 555354-555365, 555413-555424, 555435-555446 peuvent être portées en compte seulement par un laboratoire HLA qui est en possession d’un certificat EFI valable pour la catégorie transplantation d’organes et dispose d’un Eurotransplant Tissue Typing Program qui est formellement associé à un centre de transplantation agréé. Ce laboratoire HLA s’engage à disposer d’un certificat ISO15189 dans les deux ans suivant l’entrée en vigueur de l’arrêté royal du 27 septembre 2016 modifiant l’article 33</w:t>
            </w:r>
            <w:r w:rsidRPr="003169F4">
              <w:rPr>
                <w:rFonts w:ascii="Arial" w:eastAsia="Calibri" w:hAnsi="Arial" w:cs="Arial"/>
                <w:i/>
                <w:color w:val="0000FF"/>
                <w:sz w:val="20"/>
                <w:szCs w:val="20"/>
              </w:rPr>
              <w:t>bis</w:t>
            </w:r>
            <w:r w:rsidRPr="003169F4">
              <w:rPr>
                <w:rFonts w:ascii="Arial" w:eastAsia="Calibri" w:hAnsi="Arial" w:cs="Arial"/>
                <w:color w:val="0000FF"/>
                <w:sz w:val="20"/>
                <w:szCs w:val="20"/>
              </w:rPr>
              <w:t xml:space="preserve"> de l’annexe à l’arrêté royal du 14 septembre 1984 établissant la nomenclature des prestations de santé en matière d'assurance obligatoire soins de santé et indemnités."</w:t>
            </w:r>
          </w:p>
        </w:tc>
        <w:tc>
          <w:tcPr>
            <w:tcW w:w="289" w:type="dxa"/>
            <w:vAlign w:val="bottom"/>
          </w:tcPr>
          <w:p w14:paraId="76C728E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05DB645" w14:textId="77777777" w:rsidTr="00FD6D88">
        <w:trPr>
          <w:cantSplit/>
        </w:trPr>
        <w:tc>
          <w:tcPr>
            <w:tcW w:w="289" w:type="dxa"/>
          </w:tcPr>
          <w:p w14:paraId="21BD8619"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7ECE2413"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54AF98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68542116"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7E862FCA"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7CE460A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F54414B" w14:textId="77777777" w:rsidTr="00FD6D88">
        <w:trPr>
          <w:cantSplit/>
        </w:trPr>
        <w:tc>
          <w:tcPr>
            <w:tcW w:w="289" w:type="dxa"/>
          </w:tcPr>
          <w:p w14:paraId="062664C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9F5463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192911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0ED5815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497" w:type="dxa"/>
            <w:gridSpan w:val="2"/>
          </w:tcPr>
          <w:p w14:paraId="2FCFB9D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Times New Roman"/>
                <w:i/>
                <w:color w:val="0000FF"/>
                <w:sz w:val="18"/>
                <w:szCs w:val="20"/>
              </w:rPr>
              <w:t>"A.R. 16.12.2022" (en vigueur 1.3.2023)</w:t>
            </w:r>
          </w:p>
        </w:tc>
        <w:tc>
          <w:tcPr>
            <w:tcW w:w="579" w:type="dxa"/>
            <w:vAlign w:val="bottom"/>
          </w:tcPr>
          <w:p w14:paraId="4F19B277"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6" w:type="dxa"/>
            <w:vAlign w:val="bottom"/>
          </w:tcPr>
          <w:p w14:paraId="27E06A01"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289" w:type="dxa"/>
            <w:vAlign w:val="bottom"/>
          </w:tcPr>
          <w:p w14:paraId="674F7BF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37A98BB9" w14:textId="77777777" w:rsidTr="00FD6D88">
        <w:trPr>
          <w:cantSplit/>
        </w:trPr>
        <w:tc>
          <w:tcPr>
            <w:tcW w:w="289" w:type="dxa"/>
          </w:tcPr>
          <w:p w14:paraId="0E59D6C8"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279165F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1000734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C52D1B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04352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r w:rsidRPr="003169F4">
              <w:rPr>
                <w:rFonts w:ascii="Arial" w:eastAsia="Times New Roman" w:hAnsi="Arial" w:cs="Arial"/>
                <w:color w:val="0000FF"/>
                <w:sz w:val="20"/>
                <w:szCs w:val="20"/>
                <w:lang w:eastAsia="nl-BE"/>
              </w:rPr>
              <w:t>"</w:t>
            </w:r>
            <w:r w:rsidRPr="003169F4">
              <w:rPr>
                <w:rFonts w:ascii="Arial" w:eastAsia="Calibri" w:hAnsi="Arial" w:cs="Arial"/>
                <w:color w:val="0000FF"/>
                <w:sz w:val="20"/>
                <w:szCs w:val="20"/>
              </w:rPr>
              <w:t>26. La prestation 587974-587985 peut uniquement être portée en compte dans les circonstances suivantes :</w:t>
            </w:r>
          </w:p>
        </w:tc>
        <w:tc>
          <w:tcPr>
            <w:tcW w:w="289" w:type="dxa"/>
            <w:vAlign w:val="bottom"/>
          </w:tcPr>
          <w:p w14:paraId="01D085CC"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66B6D360" w14:textId="77777777" w:rsidTr="00FD6D88">
        <w:trPr>
          <w:cantSplit/>
        </w:trPr>
        <w:tc>
          <w:tcPr>
            <w:tcW w:w="289" w:type="dxa"/>
          </w:tcPr>
          <w:p w14:paraId="7E61FCEA"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1030A38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34FD6780"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787878F5"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40C53894"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69185D0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r>
      <w:tr w:rsidR="003169F4" w:rsidRPr="003169F4" w14:paraId="5C9627C7" w14:textId="77777777" w:rsidTr="00FD6D88">
        <w:trPr>
          <w:cantSplit/>
        </w:trPr>
        <w:tc>
          <w:tcPr>
            <w:tcW w:w="289" w:type="dxa"/>
          </w:tcPr>
          <w:p w14:paraId="0ED7FC4B"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578" w:type="dxa"/>
          </w:tcPr>
          <w:p w14:paraId="0EF68ABD"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23351EB2"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862" w:type="dxa"/>
          </w:tcPr>
          <w:p w14:paraId="47E768AE" w14:textId="77777777" w:rsidR="003169F4" w:rsidRPr="003169F4" w:rsidRDefault="003169F4" w:rsidP="003169F4">
            <w:pPr>
              <w:spacing w:after="0" w:line="240" w:lineRule="atLeast"/>
              <w:jc w:val="both"/>
              <w:rPr>
                <w:rFonts w:ascii="Arial" w:eastAsia="Times New Roman" w:hAnsi="Arial" w:cs="Arial"/>
                <w:color w:val="0000FF"/>
                <w:sz w:val="20"/>
                <w:szCs w:val="20"/>
                <w:lang w:val="fr-FR"/>
              </w:rPr>
            </w:pPr>
          </w:p>
        </w:tc>
        <w:tc>
          <w:tcPr>
            <w:tcW w:w="6752" w:type="dxa"/>
            <w:gridSpan w:val="4"/>
          </w:tcPr>
          <w:p w14:paraId="13A7C922"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1° en présence d’un affaiblissement sérologique des antigènes RH2, RH3, RH4 ou RH5 : chez les femmes enceintes, chez les femmes de moins de 50 ans nécessitant une transfusion, chez les enfants ou adolescents de moins de 18 ans nécessitant une transfusion, chez les patients avec une affection hémolytique congénitale, ou chez les patients avec besoin transfusionnel chronique ;</w:t>
            </w:r>
          </w:p>
        </w:tc>
        <w:tc>
          <w:tcPr>
            <w:tcW w:w="289" w:type="dxa"/>
            <w:vAlign w:val="bottom"/>
          </w:tcPr>
          <w:p w14:paraId="26DBE2B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r w:rsidR="003169F4" w:rsidRPr="003169F4" w14:paraId="618323D6" w14:textId="77777777" w:rsidTr="00FD6D88">
        <w:trPr>
          <w:cantSplit/>
        </w:trPr>
        <w:tc>
          <w:tcPr>
            <w:tcW w:w="289" w:type="dxa"/>
          </w:tcPr>
          <w:p w14:paraId="0780E33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7698D03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5F7828F7"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1FC8701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677FD19A"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2D98FF3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r w:rsidR="003169F4" w:rsidRPr="003169F4" w14:paraId="4844E551" w14:textId="77777777" w:rsidTr="00FD6D88">
        <w:trPr>
          <w:cantSplit/>
        </w:trPr>
        <w:tc>
          <w:tcPr>
            <w:tcW w:w="289" w:type="dxa"/>
          </w:tcPr>
          <w:p w14:paraId="7F02C08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7A1CC12"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051EA948"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0450E15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2DE254B9"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2° en présence de discordances dans les déterminations sérologiques des antigènes RH2, RH3, RH4 ou RH5 effectuées avec différents réactifs monoclonaux contre différentes épitopes : chez les femmes enceintes, chez les femmes de moins de 50 ans nécessitant une transfusion, chez les enfants ou adolescents de moins de 18 ans nécessitant une transfusion, chez les patients avec une affection hémolytique congénitale, ou chez les patients avec besoin transfusionnel chronique ;</w:t>
            </w:r>
          </w:p>
        </w:tc>
        <w:tc>
          <w:tcPr>
            <w:tcW w:w="289" w:type="dxa"/>
            <w:vAlign w:val="bottom"/>
          </w:tcPr>
          <w:p w14:paraId="5ED90FE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r w:rsidR="003169F4" w:rsidRPr="003169F4" w14:paraId="1B0065F1" w14:textId="77777777" w:rsidTr="00FD6D88">
        <w:trPr>
          <w:cantSplit/>
        </w:trPr>
        <w:tc>
          <w:tcPr>
            <w:tcW w:w="289" w:type="dxa"/>
          </w:tcPr>
          <w:p w14:paraId="161E35B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1FFE4B93"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79A6077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7178470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2E48B9D2"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370D79A4"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r w:rsidR="003169F4" w:rsidRPr="003169F4" w14:paraId="4FB80492" w14:textId="77777777" w:rsidTr="00FD6D88">
        <w:trPr>
          <w:cantSplit/>
        </w:trPr>
        <w:tc>
          <w:tcPr>
            <w:tcW w:w="289" w:type="dxa"/>
          </w:tcPr>
          <w:p w14:paraId="79538E7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158D42C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67467938"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15A53F6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7F7DEEAA"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3° en présence d’auto-anticorps anti-RhCE ;</w:t>
            </w:r>
          </w:p>
        </w:tc>
        <w:tc>
          <w:tcPr>
            <w:tcW w:w="289" w:type="dxa"/>
            <w:vAlign w:val="bottom"/>
          </w:tcPr>
          <w:p w14:paraId="1D39DBF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r w:rsidR="003169F4" w:rsidRPr="003169F4" w14:paraId="6DDAFC27" w14:textId="77777777" w:rsidTr="00FD6D88">
        <w:trPr>
          <w:cantSplit/>
        </w:trPr>
        <w:tc>
          <w:tcPr>
            <w:tcW w:w="289" w:type="dxa"/>
          </w:tcPr>
          <w:p w14:paraId="61942237"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0AF1754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6C2C9102"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04C3FBBB"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6D9CEE1A"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p>
        </w:tc>
        <w:tc>
          <w:tcPr>
            <w:tcW w:w="289" w:type="dxa"/>
            <w:vAlign w:val="bottom"/>
          </w:tcPr>
          <w:p w14:paraId="38674BFD"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r w:rsidR="003169F4" w:rsidRPr="003169F4" w14:paraId="5629BBBC" w14:textId="77777777" w:rsidTr="00FD6D88">
        <w:trPr>
          <w:cantSplit/>
        </w:trPr>
        <w:tc>
          <w:tcPr>
            <w:tcW w:w="289" w:type="dxa"/>
          </w:tcPr>
          <w:p w14:paraId="05085CCE"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578" w:type="dxa"/>
          </w:tcPr>
          <w:p w14:paraId="2CDD0F66"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37A47740"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862" w:type="dxa"/>
          </w:tcPr>
          <w:p w14:paraId="3B7F98C2"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c>
          <w:tcPr>
            <w:tcW w:w="6752" w:type="dxa"/>
            <w:gridSpan w:val="4"/>
          </w:tcPr>
          <w:p w14:paraId="29142165" w14:textId="77777777" w:rsidR="003169F4" w:rsidRPr="003169F4" w:rsidRDefault="003169F4" w:rsidP="003169F4">
            <w:pPr>
              <w:spacing w:after="0" w:line="240" w:lineRule="atLeast"/>
              <w:jc w:val="both"/>
              <w:rPr>
                <w:rFonts w:ascii="Arial" w:eastAsia="Times New Roman" w:hAnsi="Arial" w:cs="Arial"/>
                <w:color w:val="0000FF"/>
                <w:sz w:val="20"/>
                <w:szCs w:val="20"/>
                <w:lang w:eastAsia="nl-BE"/>
              </w:rPr>
            </w:pPr>
            <w:r w:rsidRPr="003169F4">
              <w:rPr>
                <w:rFonts w:ascii="Arial" w:eastAsia="Times New Roman" w:hAnsi="Arial" w:cs="Arial"/>
                <w:color w:val="0000FF"/>
                <w:sz w:val="20"/>
                <w:szCs w:val="20"/>
                <w:lang w:eastAsia="nl-BE"/>
              </w:rPr>
              <w:t>4° en présence d’un variant du gène RHD détecté par une méthode de biologie moléculaire chez les femmes enceintes ou chez les patients nécessitant une transfusion.</w:t>
            </w:r>
          </w:p>
        </w:tc>
        <w:tc>
          <w:tcPr>
            <w:tcW w:w="289" w:type="dxa"/>
            <w:vAlign w:val="bottom"/>
          </w:tcPr>
          <w:p w14:paraId="0451EE25" w14:textId="77777777" w:rsidR="003169F4" w:rsidRPr="003169F4" w:rsidRDefault="003169F4" w:rsidP="003169F4">
            <w:pPr>
              <w:spacing w:after="0" w:line="240" w:lineRule="atLeast"/>
              <w:jc w:val="both"/>
              <w:rPr>
                <w:rFonts w:ascii="Arial" w:eastAsia="Times New Roman" w:hAnsi="Arial" w:cs="Arial"/>
                <w:color w:val="0000FF"/>
                <w:sz w:val="20"/>
                <w:szCs w:val="20"/>
              </w:rPr>
            </w:pPr>
          </w:p>
        </w:tc>
      </w:tr>
    </w:tbl>
    <w:p w14:paraId="6D1D94D1" w14:textId="77777777" w:rsidR="002A37DD" w:rsidRDefault="002A37DD"/>
    <w:sectPr w:rsidR="002A37DD" w:rsidSect="003169F4">
      <w:headerReference w:type="default" r:id="rId7"/>
      <w:footerReference w:type="default" r:id="rId8"/>
      <w:pgSz w:w="11906" w:h="16838" w:code="9"/>
      <w:pgMar w:top="1134"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58AE8" w14:textId="77777777" w:rsidR="003169F4" w:rsidRDefault="003169F4" w:rsidP="003169F4">
      <w:pPr>
        <w:spacing w:after="0" w:line="240" w:lineRule="auto"/>
      </w:pPr>
      <w:r>
        <w:separator/>
      </w:r>
    </w:p>
  </w:endnote>
  <w:endnote w:type="continuationSeparator" w:id="0">
    <w:p w14:paraId="2D069FE0" w14:textId="77777777" w:rsidR="003169F4" w:rsidRDefault="003169F4" w:rsidP="0031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7EA3" w14:textId="77777777" w:rsidR="003169F4" w:rsidRPr="003169F4" w:rsidRDefault="003169F4" w:rsidP="003169F4">
    <w:pPr>
      <w:tabs>
        <w:tab w:val="center" w:pos="4153"/>
        <w:tab w:val="right" w:pos="8306"/>
      </w:tabs>
      <w:spacing w:after="0" w:line="240" w:lineRule="auto"/>
      <w:rPr>
        <w:rFonts w:ascii="Times New Roman" w:eastAsia="Times New Roman" w:hAnsi="Times New Roman" w:cs="Times New Roman"/>
        <w:b/>
        <w:sz w:val="20"/>
        <w:szCs w:val="20"/>
        <w:lang w:val="fr-FR"/>
      </w:rPr>
    </w:pPr>
    <w:r w:rsidRPr="003169F4">
      <w:rPr>
        <w:rFonts w:ascii="Times New Roman" w:eastAsia="Times New Roman" w:hAnsi="Times New Roman" w:cs="Times New Roman"/>
        <w:spacing w:val="-2"/>
        <w:sz w:val="20"/>
        <w:szCs w:val="20"/>
        <w:lang w:val="fr-FR"/>
      </w:rPr>
      <w:t>__________________________________________________________________________________________________</w:t>
    </w:r>
    <w:r w:rsidRPr="003169F4">
      <w:rPr>
        <w:rFonts w:ascii="Times New Roman" w:eastAsia="Times New Roman" w:hAnsi="Times New Roman" w:cs="Times New Roman"/>
        <w:spacing w:val="-2"/>
        <w:sz w:val="20"/>
        <w:szCs w:val="20"/>
        <w:lang w:val="en-GB"/>
      </w:rPr>
      <w:fldChar w:fldCharType="begin"/>
    </w:r>
    <w:r w:rsidRPr="003169F4">
      <w:rPr>
        <w:rFonts w:ascii="Times New Roman" w:eastAsia="Times New Roman" w:hAnsi="Times New Roman" w:cs="Times New Roman"/>
        <w:spacing w:val="-2"/>
        <w:sz w:val="20"/>
        <w:szCs w:val="20"/>
        <w:lang w:val="fr-FR"/>
      </w:rPr>
      <w:instrText>ADVANCE \D 5.60</w:instrText>
    </w:r>
    <w:r w:rsidRPr="003169F4">
      <w:rPr>
        <w:rFonts w:ascii="Times New Roman" w:eastAsia="Times New Roman" w:hAnsi="Times New Roman" w:cs="Times New Roman"/>
        <w:spacing w:val="-2"/>
        <w:sz w:val="20"/>
        <w:szCs w:val="20"/>
        <w:lang w:val="en-GB"/>
      </w:rPr>
      <w:fldChar w:fldCharType="end"/>
    </w:r>
  </w:p>
  <w:p w14:paraId="7C8AAB8E" w14:textId="4063B18F" w:rsidR="003169F4" w:rsidRDefault="003169F4" w:rsidP="003169F4">
    <w:pP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3169F4">
      <w:rPr>
        <w:rFonts w:ascii="Times New Roman" w:eastAsia="Times New Roman" w:hAnsi="Times New Roman" w:cs="Times New Roman"/>
        <w:b/>
        <w:sz w:val="20"/>
        <w:szCs w:val="20"/>
        <w:lang w:val="fr-FR"/>
      </w:rPr>
      <w:t xml:space="preserve">Texte en vigueur depuis le 01/03/2023 </w:t>
    </w:r>
  </w:p>
  <w:p w14:paraId="4B9F9EFA" w14:textId="77777777" w:rsidR="003169F4" w:rsidRPr="003169F4" w:rsidRDefault="003169F4" w:rsidP="003169F4">
    <w:pPr>
      <w:tabs>
        <w:tab w:val="center" w:pos="4153"/>
        <w:tab w:val="right" w:pos="8306"/>
      </w:tabs>
      <w:spacing w:after="0" w:line="240" w:lineRule="auto"/>
      <w:jc w:val="center"/>
      <w:rPr>
        <w:rFonts w:ascii="Times New Roman" w:eastAsia="Times New Roman" w:hAnsi="Times New Roman" w:cs="Times New Roman"/>
        <w:b/>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372DB" w14:textId="77777777" w:rsidR="003169F4" w:rsidRDefault="003169F4" w:rsidP="003169F4">
      <w:pPr>
        <w:spacing w:after="0" w:line="240" w:lineRule="auto"/>
      </w:pPr>
      <w:r>
        <w:separator/>
      </w:r>
    </w:p>
  </w:footnote>
  <w:footnote w:type="continuationSeparator" w:id="0">
    <w:p w14:paraId="668B4F0A" w14:textId="77777777" w:rsidR="003169F4" w:rsidRDefault="003169F4" w:rsidP="00316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9C1B" w14:textId="77777777" w:rsidR="003169F4" w:rsidRPr="003169F4" w:rsidRDefault="003169F4" w:rsidP="003169F4">
    <w:pPr>
      <w:pStyle w:val="En-tte"/>
      <w:tabs>
        <w:tab w:val="center" w:pos="4820"/>
        <w:tab w:val="right" w:pos="9639"/>
      </w:tabs>
      <w:rPr>
        <w:rStyle w:val="Numrodepage"/>
        <w:rFonts w:ascii="Arial" w:hAnsi="Arial"/>
        <w:b/>
        <w:sz w:val="20"/>
        <w:szCs w:val="20"/>
      </w:rPr>
    </w:pPr>
    <w:r w:rsidRPr="003169F4">
      <w:rPr>
        <w:rFonts w:ascii="Arial" w:hAnsi="Arial"/>
        <w:b/>
        <w:sz w:val="20"/>
        <w:szCs w:val="20"/>
      </w:rPr>
      <w:tab/>
      <w:t>EXAMENS GENETIQUES</w:t>
    </w:r>
    <w:r w:rsidRPr="003169F4">
      <w:rPr>
        <w:rFonts w:ascii="Arial" w:hAnsi="Arial"/>
        <w:b/>
        <w:sz w:val="20"/>
        <w:szCs w:val="20"/>
      </w:rPr>
      <w:tab/>
      <w:t xml:space="preserve">Art. 33bis pag. </w:t>
    </w:r>
    <w:r w:rsidRPr="003169F4">
      <w:rPr>
        <w:rStyle w:val="Numrodepage"/>
        <w:rFonts w:ascii="Arial" w:hAnsi="Arial"/>
        <w:b/>
        <w:sz w:val="20"/>
        <w:szCs w:val="20"/>
      </w:rPr>
      <w:fldChar w:fldCharType="begin"/>
    </w:r>
    <w:r w:rsidRPr="003169F4">
      <w:rPr>
        <w:rStyle w:val="Numrodepage"/>
        <w:rFonts w:ascii="Arial" w:hAnsi="Arial"/>
        <w:b/>
        <w:sz w:val="20"/>
        <w:szCs w:val="20"/>
      </w:rPr>
      <w:instrText xml:space="preserve"> PAGE </w:instrText>
    </w:r>
    <w:r w:rsidRPr="003169F4">
      <w:rPr>
        <w:rStyle w:val="Numrodepage"/>
        <w:rFonts w:ascii="Arial" w:hAnsi="Arial"/>
        <w:b/>
        <w:sz w:val="20"/>
        <w:szCs w:val="20"/>
      </w:rPr>
      <w:fldChar w:fldCharType="separate"/>
    </w:r>
    <w:r w:rsidRPr="003169F4">
      <w:rPr>
        <w:rStyle w:val="Numrodepage"/>
        <w:rFonts w:ascii="Arial" w:hAnsi="Arial"/>
        <w:b/>
        <w:sz w:val="20"/>
        <w:szCs w:val="20"/>
      </w:rPr>
      <w:t>1</w:t>
    </w:r>
    <w:r w:rsidRPr="003169F4">
      <w:rPr>
        <w:rStyle w:val="Numrodepage"/>
        <w:rFonts w:ascii="Arial" w:hAnsi="Arial"/>
        <w:b/>
        <w:sz w:val="20"/>
        <w:szCs w:val="20"/>
      </w:rPr>
      <w:fldChar w:fldCharType="end"/>
    </w:r>
  </w:p>
  <w:p w14:paraId="6F2AA979" w14:textId="77777777" w:rsidR="003169F4" w:rsidRPr="003169F4" w:rsidRDefault="003169F4" w:rsidP="003169F4">
    <w:pPr>
      <w:pStyle w:val="En-tte"/>
      <w:rPr>
        <w:spacing w:val="-2"/>
        <w:sz w:val="20"/>
        <w:szCs w:val="20"/>
      </w:rPr>
    </w:pPr>
    <w:r w:rsidRPr="003169F4">
      <w:rPr>
        <w:rFonts w:ascii="Arial" w:hAnsi="Arial"/>
        <w:i/>
        <w:sz w:val="20"/>
        <w:szCs w:val="20"/>
      </w:rPr>
      <w:t>coordination officieuse</w:t>
    </w:r>
    <w:r w:rsidRPr="003169F4">
      <w:rPr>
        <w:spacing w:val="-2"/>
        <w:sz w:val="20"/>
        <w:szCs w:val="20"/>
      </w:rPr>
      <w:t xml:space="preserve"> </w:t>
    </w:r>
  </w:p>
  <w:p w14:paraId="52B475DA" w14:textId="77777777" w:rsidR="003169F4" w:rsidRPr="003169F4" w:rsidRDefault="003169F4" w:rsidP="003169F4">
    <w:pPr>
      <w:pStyle w:val="En-tte"/>
      <w:rPr>
        <w:spacing w:val="-2"/>
        <w:sz w:val="20"/>
        <w:szCs w:val="20"/>
      </w:rPr>
    </w:pPr>
    <w:r w:rsidRPr="003169F4">
      <w:rPr>
        <w:spacing w:val="-2"/>
        <w:sz w:val="20"/>
        <w:szCs w:val="20"/>
      </w:rPr>
      <w:t>__________________________________________________________________________________________________</w:t>
    </w:r>
  </w:p>
  <w:p w14:paraId="07AFBDBD" w14:textId="77777777" w:rsidR="003169F4" w:rsidRPr="003169F4" w:rsidRDefault="003169F4" w:rsidP="003169F4">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9181374">
    <w:abstractNumId w:val="0"/>
  </w:num>
  <w:num w:numId="2" w16cid:durableId="372271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F4"/>
    <w:rsid w:val="002A37DD"/>
    <w:rsid w:val="003169F4"/>
    <w:rsid w:val="006372B0"/>
    <w:rsid w:val="00AC7B4E"/>
    <w:rsid w:val="00BA0D88"/>
    <w:rsid w:val="00C61658"/>
    <w:rsid w:val="00C624CE"/>
    <w:rsid w:val="00EB0F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22841"/>
  <w15:chartTrackingRefBased/>
  <w15:docId w15:val="{CEDB82E9-EE8D-42F5-ACC7-67E50544A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3169F4"/>
    <w:pPr>
      <w:tabs>
        <w:tab w:val="center" w:pos="4513"/>
        <w:tab w:val="right" w:pos="9026"/>
      </w:tabs>
      <w:spacing w:after="0" w:line="240" w:lineRule="auto"/>
    </w:pPr>
  </w:style>
  <w:style w:type="character" w:customStyle="1" w:styleId="En-tteCar">
    <w:name w:val="En-tête Car"/>
    <w:basedOn w:val="Policepardfaut"/>
    <w:link w:val="En-tte"/>
    <w:uiPriority w:val="99"/>
    <w:rsid w:val="003169F4"/>
  </w:style>
  <w:style w:type="paragraph" w:styleId="Pieddepage">
    <w:name w:val="footer"/>
    <w:basedOn w:val="Normal"/>
    <w:link w:val="PieddepageCar"/>
    <w:rsid w:val="003169F4"/>
    <w:pPr>
      <w:tabs>
        <w:tab w:val="center" w:pos="4513"/>
        <w:tab w:val="right" w:pos="9026"/>
      </w:tabs>
      <w:spacing w:after="0" w:line="240" w:lineRule="auto"/>
    </w:pPr>
  </w:style>
  <w:style w:type="character" w:customStyle="1" w:styleId="PieddepageCar">
    <w:name w:val="Pied de page Car"/>
    <w:basedOn w:val="Policepardfaut"/>
    <w:link w:val="Pieddepage"/>
    <w:rsid w:val="003169F4"/>
  </w:style>
  <w:style w:type="character" w:styleId="Numrodepage">
    <w:name w:val="page number"/>
    <w:basedOn w:val="Policepardfaut"/>
    <w:rsid w:val="003169F4"/>
  </w:style>
  <w:style w:type="numbering" w:customStyle="1" w:styleId="Aucuneliste1">
    <w:name w:val="Aucune liste1"/>
    <w:next w:val="Aucuneliste"/>
    <w:uiPriority w:val="99"/>
    <w:semiHidden/>
    <w:unhideWhenUsed/>
    <w:rsid w:val="003169F4"/>
  </w:style>
  <w:style w:type="paragraph" w:styleId="Textedebulles">
    <w:name w:val="Balloon Text"/>
    <w:basedOn w:val="Normal"/>
    <w:link w:val="TextedebullesCar"/>
    <w:rsid w:val="003169F4"/>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rsid w:val="003169F4"/>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3189</Words>
  <Characters>20392</Characters>
  <Application>Microsoft Office Word</Application>
  <DocSecurity>0</DocSecurity>
  <Lines>169</Lines>
  <Paragraphs>47</Paragraphs>
  <ScaleCrop>false</ScaleCrop>
  <Company>RIZIV-INAMI</Company>
  <LinksUpToDate>false</LinksUpToDate>
  <CharactersWithSpaces>23534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2</cp:revision>
  <dcterms:created xsi:type="dcterms:W3CDTF">2023-02-27T13:15:00Z</dcterms:created>
  <dcterms:modified xsi:type="dcterms:W3CDTF">2023-02-27T13:22:00Z</dcterms:modified>
</cp:coreProperties>
</file>