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288"/>
        <w:gridCol w:w="672"/>
        <w:gridCol w:w="288"/>
        <w:gridCol w:w="288"/>
      </w:tblGrid>
      <w:tr w:rsidR="00BB725F" w:rsidRPr="00BB725F" w14:paraId="1B0B30F7" w14:textId="77777777" w:rsidTr="00FD6D88">
        <w:trPr>
          <w:cantSplit/>
        </w:trPr>
        <w:tc>
          <w:tcPr>
            <w:tcW w:w="288" w:type="dxa"/>
          </w:tcPr>
          <w:p w14:paraId="5FB6F1E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u w:val="single"/>
                <w:lang w:val="en-US"/>
              </w:rPr>
            </w:pPr>
          </w:p>
        </w:tc>
        <w:tc>
          <w:tcPr>
            <w:tcW w:w="576" w:type="dxa"/>
          </w:tcPr>
          <w:p w14:paraId="086B6BC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1C12C65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174F42D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6720" w:type="dxa"/>
            <w:gridSpan w:val="4"/>
          </w:tcPr>
          <w:p w14:paraId="56C4AA3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51C2037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en-US"/>
              </w:rPr>
            </w:pPr>
          </w:p>
        </w:tc>
      </w:tr>
      <w:tr w:rsidR="00BB725F" w:rsidRPr="00BB725F" w14:paraId="232CC5FC" w14:textId="77777777" w:rsidTr="00FD6D88">
        <w:trPr>
          <w:cantSplit/>
        </w:trPr>
        <w:tc>
          <w:tcPr>
            <w:tcW w:w="288" w:type="dxa"/>
          </w:tcPr>
          <w:p w14:paraId="1762339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576" w:type="dxa"/>
          </w:tcPr>
          <w:p w14:paraId="2D61389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05C4B67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6698191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6720" w:type="dxa"/>
            <w:gridSpan w:val="4"/>
          </w:tcPr>
          <w:p w14:paraId="740773D9" w14:textId="77777777" w:rsidR="00BB725F" w:rsidRPr="00BB725F" w:rsidRDefault="00BB725F" w:rsidP="00BB725F">
            <w:pPr>
              <w:spacing w:after="0" w:line="240" w:lineRule="atLeast"/>
              <w:jc w:val="both"/>
              <w:rPr>
                <w:rFonts w:ascii="Times New Roman" w:eastAsia="Times New Roman" w:hAnsi="Times New Roman" w:cs="Times New Roman"/>
                <w:i/>
                <w:color w:val="0000FF"/>
                <w:sz w:val="18"/>
                <w:szCs w:val="20"/>
                <w:lang w:val="en-US"/>
              </w:rPr>
            </w:pPr>
            <w:r w:rsidRPr="00BB725F">
              <w:rPr>
                <w:rFonts w:ascii="Arial" w:eastAsia="Times New Roman" w:hAnsi="Arial" w:cs="Times New Roman"/>
                <w:b/>
                <w:color w:val="0000FF"/>
                <w:sz w:val="20"/>
                <w:szCs w:val="20"/>
                <w:lang w:val="fr-FR"/>
              </w:rPr>
              <w:t xml:space="preserve">"Article 24bis. </w:t>
            </w:r>
          </w:p>
        </w:tc>
        <w:tc>
          <w:tcPr>
            <w:tcW w:w="288" w:type="dxa"/>
            <w:vAlign w:val="bottom"/>
          </w:tcPr>
          <w:p w14:paraId="5CF44CA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en-US"/>
              </w:rPr>
            </w:pPr>
          </w:p>
        </w:tc>
      </w:tr>
      <w:tr w:rsidR="00BB725F" w:rsidRPr="00BB725F" w14:paraId="17EE0965" w14:textId="77777777" w:rsidTr="00FD6D88">
        <w:trPr>
          <w:cantSplit/>
        </w:trPr>
        <w:tc>
          <w:tcPr>
            <w:tcW w:w="288" w:type="dxa"/>
          </w:tcPr>
          <w:p w14:paraId="07B413F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576" w:type="dxa"/>
          </w:tcPr>
          <w:p w14:paraId="226DAB4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64510C3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144DE3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6720" w:type="dxa"/>
            <w:gridSpan w:val="4"/>
          </w:tcPr>
          <w:p w14:paraId="0B2F0945" w14:textId="77777777" w:rsidR="00BB725F" w:rsidRPr="00BB725F" w:rsidRDefault="00BB725F" w:rsidP="00BB725F">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268358A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en-US"/>
              </w:rPr>
            </w:pPr>
          </w:p>
        </w:tc>
      </w:tr>
      <w:tr w:rsidR="00BB725F" w:rsidRPr="00BB725F" w14:paraId="0A55962E" w14:textId="77777777" w:rsidTr="00FD6D88">
        <w:trPr>
          <w:cantSplit/>
        </w:trPr>
        <w:tc>
          <w:tcPr>
            <w:tcW w:w="288" w:type="dxa"/>
          </w:tcPr>
          <w:p w14:paraId="21EB16A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576" w:type="dxa"/>
          </w:tcPr>
          <w:p w14:paraId="52D19A0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4E0FCF3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864" w:type="dxa"/>
          </w:tcPr>
          <w:p w14:paraId="4F8C8F4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en-US"/>
              </w:rPr>
            </w:pPr>
          </w:p>
        </w:tc>
        <w:tc>
          <w:tcPr>
            <w:tcW w:w="6720" w:type="dxa"/>
            <w:gridSpan w:val="4"/>
          </w:tcPr>
          <w:p w14:paraId="5E614FA9" w14:textId="77777777" w:rsidR="00BB725F" w:rsidRPr="00BB725F" w:rsidRDefault="00BB725F" w:rsidP="00BB725F">
            <w:pPr>
              <w:spacing w:after="0" w:line="240" w:lineRule="atLeast"/>
              <w:jc w:val="both"/>
              <w:rPr>
                <w:rFonts w:ascii="Arial" w:eastAsia="Times New Roman" w:hAnsi="Arial" w:cs="Times New Roman"/>
                <w:b/>
                <w:color w:val="0000FF"/>
                <w:sz w:val="20"/>
                <w:szCs w:val="20"/>
                <w:lang w:val="fr-FR"/>
              </w:rPr>
            </w:pPr>
            <w:r w:rsidRPr="00BB725F">
              <w:rPr>
                <w:rFonts w:ascii="Arial" w:eastAsia="Times New Roman" w:hAnsi="Arial" w:cs="Arial"/>
                <w:color w:val="0000FF"/>
                <w:sz w:val="20"/>
                <w:szCs w:val="20"/>
                <w:lang w:val="fr-FR"/>
              </w:rPr>
              <w:t>Sont considérées comme prestations qui requièrent la qualification de spécialiste en biologie clinique (P) :</w:t>
            </w:r>
          </w:p>
        </w:tc>
        <w:tc>
          <w:tcPr>
            <w:tcW w:w="288" w:type="dxa"/>
            <w:vAlign w:val="bottom"/>
          </w:tcPr>
          <w:p w14:paraId="563A016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F411298" w14:textId="77777777" w:rsidTr="00FD6D88">
        <w:trPr>
          <w:cantSplit/>
        </w:trPr>
        <w:tc>
          <w:tcPr>
            <w:tcW w:w="288" w:type="dxa"/>
          </w:tcPr>
          <w:p w14:paraId="106F258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1300469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0CA1342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1F5A641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69BF328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702534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8CC0970" w14:textId="77777777" w:rsidTr="00FD6D88">
        <w:trPr>
          <w:cantSplit/>
        </w:trPr>
        <w:tc>
          <w:tcPr>
            <w:tcW w:w="288" w:type="dxa"/>
          </w:tcPr>
          <w:p w14:paraId="5E73489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07B43D2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289B679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6CE13AC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1798F655"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lang w:val="fr-FR"/>
              </w:rPr>
            </w:pPr>
            <w:r w:rsidRPr="00BB725F">
              <w:rPr>
                <w:rFonts w:ascii="Arial" w:eastAsia="Times New Roman" w:hAnsi="Arial" w:cs="Arial"/>
                <w:b/>
                <w:color w:val="0000FF"/>
                <w:sz w:val="20"/>
                <w:szCs w:val="20"/>
                <w:lang w:val="fr-FR"/>
              </w:rPr>
              <w:t>§ 1</w:t>
            </w:r>
            <w:r w:rsidRPr="00BB725F">
              <w:rPr>
                <w:rFonts w:ascii="Arial" w:eastAsia="Times New Roman" w:hAnsi="Arial" w:cs="Arial"/>
                <w:b/>
                <w:color w:val="0000FF"/>
                <w:sz w:val="20"/>
                <w:szCs w:val="20"/>
                <w:vertAlign w:val="superscript"/>
                <w:lang w:val="fr-FR"/>
              </w:rPr>
              <w:t>er</w:t>
            </w:r>
            <w:r w:rsidRPr="00BB725F">
              <w:rPr>
                <w:rFonts w:ascii="Arial" w:eastAsia="Times New Roman" w:hAnsi="Arial" w:cs="Arial"/>
                <w:b/>
                <w:color w:val="0000FF"/>
                <w:sz w:val="20"/>
                <w:szCs w:val="20"/>
                <w:lang w:val="fr-FR"/>
              </w:rPr>
              <w:t xml:space="preserve">. </w:t>
            </w:r>
            <w:r w:rsidRPr="00BB725F">
              <w:rPr>
                <w:rFonts w:ascii="Arial" w:eastAsia="Times New Roman" w:hAnsi="Arial" w:cs="Arial"/>
                <w:color w:val="0000FF"/>
                <w:sz w:val="20"/>
                <w:szCs w:val="20"/>
                <w:lang w:val="fr-FR"/>
              </w:rPr>
              <w:t>Tests de biologie moléculaire sur du matériel génétique de micro-organismes :</w:t>
            </w:r>
          </w:p>
        </w:tc>
        <w:tc>
          <w:tcPr>
            <w:tcW w:w="288" w:type="dxa"/>
            <w:vAlign w:val="bottom"/>
          </w:tcPr>
          <w:p w14:paraId="622ECF1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1DB4DA2" w14:textId="77777777" w:rsidTr="00FD6D88">
        <w:trPr>
          <w:cantSplit/>
        </w:trPr>
        <w:tc>
          <w:tcPr>
            <w:tcW w:w="288" w:type="dxa"/>
          </w:tcPr>
          <w:p w14:paraId="0692E4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C4A7D6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0B9CDA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314705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225A0A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891F11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83F7217" w14:textId="77777777" w:rsidTr="00FD6D88">
        <w:trPr>
          <w:cantSplit/>
        </w:trPr>
        <w:tc>
          <w:tcPr>
            <w:tcW w:w="288" w:type="dxa"/>
          </w:tcPr>
          <w:p w14:paraId="353E1BD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2ABFC93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1A9764A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nl-BE"/>
              </w:rPr>
            </w:pPr>
            <w:r w:rsidRPr="00BB725F">
              <w:rPr>
                <w:rFonts w:ascii="Arial" w:eastAsia="Times New Roman" w:hAnsi="Arial" w:cs="Arial"/>
                <w:color w:val="0000FF"/>
                <w:sz w:val="20"/>
                <w:szCs w:val="20"/>
                <w:lang w:val="nl-BE"/>
              </w:rPr>
              <w:t>556710</w:t>
            </w:r>
          </w:p>
        </w:tc>
        <w:tc>
          <w:tcPr>
            <w:tcW w:w="864" w:type="dxa"/>
          </w:tcPr>
          <w:p w14:paraId="3CFE19F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nl-BE"/>
              </w:rPr>
            </w:pPr>
            <w:r w:rsidRPr="00BB725F">
              <w:rPr>
                <w:rFonts w:ascii="Arial" w:eastAsia="Times New Roman" w:hAnsi="Arial" w:cs="Arial"/>
                <w:color w:val="0000FF"/>
                <w:sz w:val="20"/>
                <w:szCs w:val="20"/>
                <w:lang w:val="nl-BE"/>
              </w:rPr>
              <w:t>556721</w:t>
            </w:r>
          </w:p>
        </w:tc>
        <w:tc>
          <w:tcPr>
            <w:tcW w:w="5472" w:type="dxa"/>
          </w:tcPr>
          <w:p w14:paraId="7B35E4E6" w14:textId="77777777" w:rsidR="00BB725F" w:rsidRPr="00BB725F" w:rsidRDefault="00BB725F" w:rsidP="00BB725F">
            <w:pPr>
              <w:spacing w:after="0" w:line="240" w:lineRule="atLeast"/>
              <w:jc w:val="both"/>
              <w:rPr>
                <w:rFonts w:ascii="Arial" w:eastAsia="Times New Roman" w:hAnsi="Arial" w:cs="Arial"/>
                <w:i/>
                <w:color w:val="0000FF"/>
                <w:sz w:val="18"/>
                <w:szCs w:val="18"/>
              </w:rPr>
            </w:pPr>
            <w:r w:rsidRPr="00BB725F">
              <w:rPr>
                <w:rFonts w:ascii="Arial" w:eastAsia="Times New Roman" w:hAnsi="Arial" w:cs="Times New Roman"/>
                <w:i/>
                <w:color w:val="0000FF"/>
                <w:sz w:val="18"/>
                <w:szCs w:val="18"/>
                <w:lang w:val="fr-FR"/>
              </w:rPr>
              <w:t>Supprimée par A.R. 16.12.2022 (en vigueur 1.3.2023)</w:t>
            </w:r>
          </w:p>
        </w:tc>
        <w:tc>
          <w:tcPr>
            <w:tcW w:w="288" w:type="dxa"/>
            <w:vAlign w:val="bottom"/>
          </w:tcPr>
          <w:p w14:paraId="5D9B4E2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c>
          <w:tcPr>
            <w:tcW w:w="672" w:type="dxa"/>
            <w:vAlign w:val="bottom"/>
          </w:tcPr>
          <w:p w14:paraId="2A121F1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c>
          <w:tcPr>
            <w:tcW w:w="288" w:type="dxa"/>
            <w:vAlign w:val="bottom"/>
          </w:tcPr>
          <w:p w14:paraId="143F5E9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c>
          <w:tcPr>
            <w:tcW w:w="288" w:type="dxa"/>
            <w:vAlign w:val="bottom"/>
          </w:tcPr>
          <w:p w14:paraId="5E1BB6C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149C6F7F" w14:textId="77777777" w:rsidTr="00FD6D88">
        <w:trPr>
          <w:cantSplit/>
        </w:trPr>
        <w:tc>
          <w:tcPr>
            <w:tcW w:w="288" w:type="dxa"/>
          </w:tcPr>
          <w:p w14:paraId="6508C3F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1C53560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4418A0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FBF7FE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7099F769" w14:textId="77777777" w:rsidR="00BB725F" w:rsidRPr="00BB725F" w:rsidRDefault="00BB725F" w:rsidP="00BB725F">
            <w:pPr>
              <w:spacing w:after="0" w:line="240" w:lineRule="atLeast"/>
              <w:rPr>
                <w:rFonts w:ascii="Arial" w:eastAsia="Times New Roman" w:hAnsi="Arial" w:cs="Arial"/>
                <w:color w:val="0000FF"/>
                <w:sz w:val="20"/>
                <w:szCs w:val="20"/>
              </w:rPr>
            </w:pPr>
          </w:p>
        </w:tc>
        <w:tc>
          <w:tcPr>
            <w:tcW w:w="288" w:type="dxa"/>
            <w:vAlign w:val="bottom"/>
          </w:tcPr>
          <w:p w14:paraId="5DB5702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670E2B78" w14:textId="77777777" w:rsidTr="00FD6D88">
        <w:trPr>
          <w:cantSplit/>
        </w:trPr>
        <w:tc>
          <w:tcPr>
            <w:tcW w:w="288" w:type="dxa"/>
          </w:tcPr>
          <w:p w14:paraId="506E211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u w:val="single"/>
              </w:rPr>
            </w:pPr>
          </w:p>
        </w:tc>
        <w:tc>
          <w:tcPr>
            <w:tcW w:w="576" w:type="dxa"/>
          </w:tcPr>
          <w:p w14:paraId="2BF96EC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1B1B1A2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9C68EB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515F34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4C5B566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17F28586" w14:textId="77777777" w:rsidTr="00FD6D88">
        <w:trPr>
          <w:cantSplit/>
        </w:trPr>
        <w:tc>
          <w:tcPr>
            <w:tcW w:w="288" w:type="dxa"/>
          </w:tcPr>
          <w:p w14:paraId="25A67F1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r w:rsidRPr="00BB725F">
              <w:rPr>
                <w:rFonts w:ascii="Times New Roman" w:eastAsia="Times New Roman" w:hAnsi="Times New Roman" w:cs="Times New Roman"/>
                <w:color w:val="0000FF"/>
                <w:sz w:val="20"/>
                <w:szCs w:val="20"/>
              </w:rPr>
              <w:t>"</w:t>
            </w:r>
          </w:p>
        </w:tc>
        <w:tc>
          <w:tcPr>
            <w:tcW w:w="576" w:type="dxa"/>
          </w:tcPr>
          <w:p w14:paraId="7F65C5A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E5BA77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556732</w:t>
            </w:r>
          </w:p>
        </w:tc>
        <w:tc>
          <w:tcPr>
            <w:tcW w:w="864" w:type="dxa"/>
          </w:tcPr>
          <w:p w14:paraId="1D35B6A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556743</w:t>
            </w:r>
          </w:p>
        </w:tc>
        <w:tc>
          <w:tcPr>
            <w:tcW w:w="5472" w:type="dxa"/>
          </w:tcPr>
          <w:p w14:paraId="30AC5CAA" w14:textId="77777777" w:rsidR="00BB725F" w:rsidRPr="00BB725F" w:rsidRDefault="00BB725F" w:rsidP="00BB725F">
            <w:pPr>
              <w:spacing w:after="0" w:line="240" w:lineRule="atLeast"/>
              <w:jc w:val="both"/>
              <w:rPr>
                <w:rFonts w:ascii="Times New Roman" w:eastAsia="Times New Roman" w:hAnsi="Times New Roman" w:cs="Times New Roman"/>
                <w:sz w:val="20"/>
                <w:szCs w:val="20"/>
                <w:lang w:val="fr-FR"/>
              </w:rPr>
            </w:pPr>
            <w:r w:rsidRPr="00BB725F">
              <w:rPr>
                <w:rFonts w:ascii="Arial" w:eastAsia="Times New Roman" w:hAnsi="Arial" w:cs="Arial"/>
                <w:color w:val="0000FF"/>
                <w:sz w:val="20"/>
                <w:szCs w:val="20"/>
                <w:lang w:val="fr-FR"/>
              </w:rPr>
              <w:t>Détection de manière quantitative du virus de l'hépatite C (HCV)</w:t>
            </w:r>
          </w:p>
        </w:tc>
        <w:tc>
          <w:tcPr>
            <w:tcW w:w="288" w:type="dxa"/>
            <w:vAlign w:val="bottom"/>
          </w:tcPr>
          <w:p w14:paraId="5F6BAA3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06EE71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79A50E2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C1D37C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Times New Roman"/>
                <w:color w:val="0000FF"/>
                <w:sz w:val="20"/>
                <w:szCs w:val="20"/>
                <w:lang w:val="nl-NL"/>
              </w:rPr>
              <w:t>"</w:t>
            </w:r>
          </w:p>
        </w:tc>
      </w:tr>
      <w:tr w:rsidR="00BB725F" w:rsidRPr="00BB725F" w14:paraId="15E60803" w14:textId="77777777" w:rsidTr="00FD6D88">
        <w:trPr>
          <w:cantSplit/>
        </w:trPr>
        <w:tc>
          <w:tcPr>
            <w:tcW w:w="288" w:type="dxa"/>
          </w:tcPr>
          <w:p w14:paraId="4DF9152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7AE8C0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E3FE91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4DD5E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472" w:type="dxa"/>
          </w:tcPr>
          <w:p w14:paraId="1B8459CD" w14:textId="77777777" w:rsidR="00BB725F" w:rsidRPr="00BB725F" w:rsidRDefault="00BB725F" w:rsidP="00BB725F">
            <w:pPr>
              <w:spacing w:after="0" w:line="240" w:lineRule="atLeast"/>
              <w:jc w:val="both"/>
              <w:rPr>
                <w:rFonts w:ascii="Arial" w:eastAsia="Times New Roman" w:hAnsi="Arial" w:cs="Times New Roman"/>
                <w:b/>
                <w:color w:val="0000FF"/>
                <w:sz w:val="20"/>
                <w:szCs w:val="20"/>
                <w:lang w:val="fr-FR"/>
              </w:rPr>
            </w:pPr>
          </w:p>
        </w:tc>
        <w:tc>
          <w:tcPr>
            <w:tcW w:w="288" w:type="dxa"/>
            <w:vAlign w:val="bottom"/>
          </w:tcPr>
          <w:p w14:paraId="3F75C4F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241334F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FE3C8C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099C34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E75369B" w14:textId="77777777" w:rsidTr="00FD6D88">
        <w:trPr>
          <w:cantSplit/>
        </w:trPr>
        <w:tc>
          <w:tcPr>
            <w:tcW w:w="288" w:type="dxa"/>
          </w:tcPr>
          <w:p w14:paraId="34CE26E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3B7D85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EF2783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6F99E5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13BF500"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lang w:val="fr-FR"/>
              </w:rPr>
            </w:pPr>
            <w:r w:rsidRPr="00BB725F">
              <w:rPr>
                <w:rFonts w:ascii="Arial" w:eastAsia="Times New Roman" w:hAnsi="Arial" w:cs="Times New Roman"/>
                <w:i/>
                <w:color w:val="0000FF"/>
                <w:sz w:val="18"/>
                <w:szCs w:val="20"/>
                <w:lang w:val="fr-FR"/>
              </w:rPr>
              <w:t>"A.R. 2.10.2009"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1.12.2009)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3432DDD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6EEB58E" w14:textId="77777777" w:rsidTr="00FD6D88">
        <w:trPr>
          <w:cantSplit/>
        </w:trPr>
        <w:tc>
          <w:tcPr>
            <w:tcW w:w="288" w:type="dxa"/>
          </w:tcPr>
          <w:p w14:paraId="11BCA65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bookmarkStart w:id="0" w:name="_Hlk126836486"/>
          </w:p>
        </w:tc>
        <w:tc>
          <w:tcPr>
            <w:tcW w:w="576" w:type="dxa"/>
          </w:tcPr>
          <w:p w14:paraId="0D4501E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2B671FF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2E42E6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578A1D6B"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rPr>
            </w:pPr>
            <w:r w:rsidRPr="00BB725F">
              <w:rPr>
                <w:rFonts w:ascii="Arial" w:eastAsia="Times New Roman" w:hAnsi="Arial" w:cs="Times New Roman"/>
                <w:color w:val="0000FF"/>
                <w:sz w:val="20"/>
                <w:szCs w:val="20"/>
              </w:rPr>
              <w:t>"Cette prestation peut uniquement être attestée si elle est effectuée dans les circonstances suivantes :</w:t>
            </w:r>
          </w:p>
        </w:tc>
        <w:tc>
          <w:tcPr>
            <w:tcW w:w="288" w:type="dxa"/>
            <w:vAlign w:val="bottom"/>
          </w:tcPr>
          <w:p w14:paraId="68977EF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57F90DC3" w14:textId="77777777" w:rsidTr="00FD6D88">
        <w:trPr>
          <w:cantSplit/>
        </w:trPr>
        <w:tc>
          <w:tcPr>
            <w:tcW w:w="288" w:type="dxa"/>
          </w:tcPr>
          <w:p w14:paraId="5EB7CAA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4BE70A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981AE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F017F7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778354C9"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p>
        </w:tc>
        <w:tc>
          <w:tcPr>
            <w:tcW w:w="288" w:type="dxa"/>
            <w:vAlign w:val="bottom"/>
          </w:tcPr>
          <w:p w14:paraId="0458A68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1459AF4D" w14:textId="77777777" w:rsidTr="00FD6D88">
        <w:trPr>
          <w:cantSplit/>
        </w:trPr>
        <w:tc>
          <w:tcPr>
            <w:tcW w:w="288" w:type="dxa"/>
          </w:tcPr>
          <w:p w14:paraId="0891DCB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5ECC268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58EED3A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5D3B440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45AD9284"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r w:rsidRPr="00BB725F">
              <w:rPr>
                <w:rFonts w:ascii="Arial" w:eastAsia="Times New Roman" w:hAnsi="Arial" w:cs="Times New Roman"/>
                <w:color w:val="0000FF"/>
                <w:sz w:val="20"/>
                <w:szCs w:val="20"/>
              </w:rPr>
              <w:t>1° suspicion d’infection HCV chez un enfant d’une mère démontrée HCV-positive. Dans cette indication la prestation ne peut être portée en compte qu’une seule fois.</w:t>
            </w:r>
          </w:p>
        </w:tc>
        <w:tc>
          <w:tcPr>
            <w:tcW w:w="288" w:type="dxa"/>
            <w:vAlign w:val="bottom"/>
          </w:tcPr>
          <w:p w14:paraId="2EDAA0D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501C089C" w14:textId="77777777" w:rsidTr="00FD6D88">
        <w:trPr>
          <w:cantSplit/>
        </w:trPr>
        <w:tc>
          <w:tcPr>
            <w:tcW w:w="288" w:type="dxa"/>
          </w:tcPr>
          <w:p w14:paraId="4FA6EA3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517470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7B1E688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589DEB9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3D642885"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p>
        </w:tc>
        <w:tc>
          <w:tcPr>
            <w:tcW w:w="288" w:type="dxa"/>
            <w:vAlign w:val="bottom"/>
          </w:tcPr>
          <w:p w14:paraId="46734B4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0E8394BA" w14:textId="77777777" w:rsidTr="00FD6D88">
        <w:trPr>
          <w:cantSplit/>
        </w:trPr>
        <w:tc>
          <w:tcPr>
            <w:tcW w:w="288" w:type="dxa"/>
          </w:tcPr>
          <w:p w14:paraId="5E83216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67A4AF3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33E2285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06338D1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02B9921E"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r w:rsidRPr="00BB725F">
              <w:rPr>
                <w:rFonts w:ascii="Arial" w:eastAsia="Times New Roman" w:hAnsi="Arial" w:cs="Times New Roman"/>
                <w:color w:val="0000FF"/>
                <w:sz w:val="20"/>
                <w:szCs w:val="20"/>
              </w:rPr>
              <w:t>2° confirmation de la présence de HCV chez un patient démontré positif pour des anticorps anti-HCV. Dans cette indication la prestation ne peut être portée en compte qu’une seule fois.</w:t>
            </w:r>
          </w:p>
        </w:tc>
        <w:tc>
          <w:tcPr>
            <w:tcW w:w="288" w:type="dxa"/>
            <w:vAlign w:val="bottom"/>
          </w:tcPr>
          <w:p w14:paraId="242730B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2AE7C42A" w14:textId="77777777" w:rsidTr="00FD6D88">
        <w:trPr>
          <w:cantSplit/>
        </w:trPr>
        <w:tc>
          <w:tcPr>
            <w:tcW w:w="288" w:type="dxa"/>
          </w:tcPr>
          <w:p w14:paraId="68ED64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762E022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5E14F7F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6578C2D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64D8DB8C"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p>
        </w:tc>
        <w:tc>
          <w:tcPr>
            <w:tcW w:w="288" w:type="dxa"/>
            <w:vAlign w:val="bottom"/>
          </w:tcPr>
          <w:p w14:paraId="6E6B715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23F9DF35" w14:textId="77777777" w:rsidTr="00FD6D88">
        <w:trPr>
          <w:cantSplit/>
        </w:trPr>
        <w:tc>
          <w:tcPr>
            <w:tcW w:w="288" w:type="dxa"/>
          </w:tcPr>
          <w:p w14:paraId="185D438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4CF40B0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4956D5F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235C46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2610D0D7"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r w:rsidRPr="00BB725F">
              <w:rPr>
                <w:rFonts w:ascii="Arial" w:eastAsia="Times New Roman" w:hAnsi="Arial" w:cs="Times New Roman"/>
                <w:color w:val="0000FF"/>
                <w:sz w:val="20"/>
                <w:szCs w:val="20"/>
              </w:rPr>
              <w:t>3° confirmation d’une infection HCV chez des patients immunocompromis, présentant des symptômes d’hépatite (y compris les patients dialysés), même en cas de résultat négatif de détection des anticorps anti-HCV. Dans cette indication la prestation ne peut être portée en compte qu’une seule fois et ce endéans les trois mois de l’apparition des symptômes.</w:t>
            </w:r>
          </w:p>
        </w:tc>
        <w:tc>
          <w:tcPr>
            <w:tcW w:w="288" w:type="dxa"/>
            <w:vAlign w:val="bottom"/>
          </w:tcPr>
          <w:p w14:paraId="6E28881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3F41DD86" w14:textId="77777777" w:rsidTr="00FD6D88">
        <w:trPr>
          <w:cantSplit/>
        </w:trPr>
        <w:tc>
          <w:tcPr>
            <w:tcW w:w="288" w:type="dxa"/>
          </w:tcPr>
          <w:p w14:paraId="43F4A9A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1C1E3F3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4F6D0ED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25DFBF8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13C35AF6"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p>
        </w:tc>
        <w:tc>
          <w:tcPr>
            <w:tcW w:w="288" w:type="dxa"/>
            <w:vAlign w:val="bottom"/>
          </w:tcPr>
          <w:p w14:paraId="48855CB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3489BE85" w14:textId="77777777" w:rsidTr="00FD6D88">
        <w:trPr>
          <w:cantSplit/>
        </w:trPr>
        <w:tc>
          <w:tcPr>
            <w:tcW w:w="288" w:type="dxa"/>
          </w:tcPr>
          <w:p w14:paraId="5CDC34B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06E05FC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68C7075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3671A1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405504A1"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r w:rsidRPr="00BB725F">
              <w:rPr>
                <w:rFonts w:ascii="Arial" w:eastAsia="Times New Roman" w:hAnsi="Arial" w:cs="Times New Roman"/>
                <w:color w:val="0000FF"/>
                <w:sz w:val="20"/>
                <w:szCs w:val="20"/>
              </w:rPr>
              <w:t>4° lors d’un accident par piqûre par une personne HCV positive à condition que la victime développe des signes fonctionnels indicatifs d’une hépatite. Dans cette indication la prestation ne peut être portée en compte qu’une seule fois et ce endéans les trois mois qui suivent l’accident par piqûre.</w:t>
            </w:r>
          </w:p>
        </w:tc>
        <w:tc>
          <w:tcPr>
            <w:tcW w:w="288" w:type="dxa"/>
            <w:vAlign w:val="bottom"/>
          </w:tcPr>
          <w:p w14:paraId="189F5B9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2BE19DCC" w14:textId="77777777" w:rsidTr="00FD6D88">
        <w:trPr>
          <w:cantSplit/>
        </w:trPr>
        <w:tc>
          <w:tcPr>
            <w:tcW w:w="288" w:type="dxa"/>
          </w:tcPr>
          <w:p w14:paraId="235EC82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0631B08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3B4EDB0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5B35722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2C6967D6"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p>
        </w:tc>
        <w:tc>
          <w:tcPr>
            <w:tcW w:w="288" w:type="dxa"/>
            <w:vAlign w:val="bottom"/>
          </w:tcPr>
          <w:p w14:paraId="62C1478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1CD2ECA9" w14:textId="77777777" w:rsidTr="00FD6D88">
        <w:trPr>
          <w:cantSplit/>
        </w:trPr>
        <w:tc>
          <w:tcPr>
            <w:tcW w:w="288" w:type="dxa"/>
          </w:tcPr>
          <w:p w14:paraId="096F64D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117C5B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6AD8D82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1BEA00C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7B2BADD2" w14:textId="77777777" w:rsidR="00BB725F" w:rsidRPr="00BB725F" w:rsidRDefault="00BB725F" w:rsidP="00BB725F">
            <w:pPr>
              <w:spacing w:after="0" w:line="240" w:lineRule="atLeast"/>
              <w:jc w:val="both"/>
              <w:rPr>
                <w:rFonts w:ascii="Arial" w:eastAsia="Times New Roman" w:hAnsi="Arial" w:cs="Times New Roman"/>
                <w:color w:val="0000FF"/>
                <w:sz w:val="20"/>
                <w:szCs w:val="20"/>
              </w:rPr>
            </w:pPr>
            <w:r w:rsidRPr="00BB725F">
              <w:rPr>
                <w:rFonts w:ascii="Arial" w:eastAsia="Times New Roman" w:hAnsi="Arial" w:cs="Times New Roman"/>
                <w:color w:val="0000FF"/>
                <w:sz w:val="20"/>
                <w:szCs w:val="20"/>
              </w:rPr>
              <w:t>5° dans le cadre du suivi d’un traitement médicamenteux contre l’hépatite C. Dans cette indication la prestation peut seulement être portée en compte quatre fois, pour autant que cela soit justifié dans le contexte du suivi du traitement.</w:t>
            </w:r>
            <w:r w:rsidRPr="00BB725F">
              <w:rPr>
                <w:rFonts w:ascii="Times New Roman" w:eastAsia="Times New Roman" w:hAnsi="Times New Roman" w:cs="Times New Roman"/>
                <w:sz w:val="20"/>
                <w:szCs w:val="20"/>
              </w:rPr>
              <w:t xml:space="preserve"> </w:t>
            </w:r>
            <w:r w:rsidRPr="00BB725F">
              <w:rPr>
                <w:rFonts w:ascii="Arial" w:eastAsia="Times New Roman" w:hAnsi="Arial" w:cs="Times New Roman"/>
                <w:color w:val="0000FF"/>
                <w:sz w:val="20"/>
                <w:szCs w:val="20"/>
              </w:rPr>
              <w:t>"</w:t>
            </w:r>
          </w:p>
        </w:tc>
        <w:tc>
          <w:tcPr>
            <w:tcW w:w="288" w:type="dxa"/>
            <w:vAlign w:val="bottom"/>
          </w:tcPr>
          <w:p w14:paraId="55B85CF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bookmarkEnd w:id="0"/>
      <w:tr w:rsidR="00BB725F" w:rsidRPr="00BB725F" w14:paraId="7052159F" w14:textId="77777777" w:rsidTr="00FD6D88">
        <w:trPr>
          <w:cantSplit/>
        </w:trPr>
        <w:tc>
          <w:tcPr>
            <w:tcW w:w="288" w:type="dxa"/>
          </w:tcPr>
          <w:p w14:paraId="62CDD81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0DE7321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979400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B99EB57" w14:textId="77777777" w:rsidR="00BB725F" w:rsidRPr="00BB725F" w:rsidRDefault="00BB725F" w:rsidP="00BB725F">
            <w:pPr>
              <w:spacing w:after="0" w:line="240" w:lineRule="atLeast"/>
              <w:jc w:val="both"/>
              <w:rPr>
                <w:rFonts w:ascii="Arial" w:eastAsia="Times New Roman" w:hAnsi="Arial" w:cs="Times New Roman"/>
                <w:i/>
                <w:color w:val="0000FF"/>
                <w:sz w:val="18"/>
                <w:szCs w:val="20"/>
                <w:lang w:val="fr-FR"/>
              </w:rPr>
            </w:pPr>
          </w:p>
        </w:tc>
        <w:tc>
          <w:tcPr>
            <w:tcW w:w="6720" w:type="dxa"/>
            <w:gridSpan w:val="4"/>
          </w:tcPr>
          <w:p w14:paraId="1AE63542" w14:textId="77777777" w:rsidR="00BB725F" w:rsidRPr="00BB725F" w:rsidRDefault="00BB725F" w:rsidP="00BB725F">
            <w:pPr>
              <w:spacing w:after="0" w:line="240" w:lineRule="atLeast"/>
              <w:jc w:val="both"/>
              <w:rPr>
                <w:rFonts w:ascii="Arial" w:eastAsia="Times New Roman" w:hAnsi="Arial" w:cs="Times New Roman"/>
                <w:i/>
                <w:color w:val="0000FF"/>
                <w:sz w:val="18"/>
                <w:szCs w:val="20"/>
                <w:lang w:val="fr-FR"/>
              </w:rPr>
            </w:pPr>
          </w:p>
        </w:tc>
        <w:tc>
          <w:tcPr>
            <w:tcW w:w="288" w:type="dxa"/>
            <w:vAlign w:val="bottom"/>
          </w:tcPr>
          <w:p w14:paraId="0C95F7D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349E2BD" w14:textId="77777777" w:rsidTr="00FD6D88">
        <w:trPr>
          <w:cantSplit/>
        </w:trPr>
        <w:tc>
          <w:tcPr>
            <w:tcW w:w="288" w:type="dxa"/>
          </w:tcPr>
          <w:p w14:paraId="1814742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bookmarkStart w:id="1" w:name="_Hlk126836910"/>
          </w:p>
        </w:tc>
        <w:tc>
          <w:tcPr>
            <w:tcW w:w="576" w:type="dxa"/>
          </w:tcPr>
          <w:p w14:paraId="63B85AD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281310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1420A3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D8DEC4A"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48AEC1B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bookmarkEnd w:id="1"/>
      <w:tr w:rsidR="00BB725F" w:rsidRPr="00BB725F" w14:paraId="10B5C2F4" w14:textId="77777777" w:rsidTr="00FD6D88">
        <w:trPr>
          <w:cantSplit/>
        </w:trPr>
        <w:tc>
          <w:tcPr>
            <w:tcW w:w="288" w:type="dxa"/>
          </w:tcPr>
          <w:p w14:paraId="748C706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Times New Roman"/>
                <w:color w:val="0000FF"/>
                <w:sz w:val="20"/>
                <w:szCs w:val="20"/>
                <w:lang w:val="nl-NL"/>
              </w:rPr>
              <w:t>"</w:t>
            </w:r>
          </w:p>
        </w:tc>
        <w:tc>
          <w:tcPr>
            <w:tcW w:w="576" w:type="dxa"/>
          </w:tcPr>
          <w:p w14:paraId="4AC0460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D4B601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556754</w:t>
            </w:r>
          </w:p>
        </w:tc>
        <w:tc>
          <w:tcPr>
            <w:tcW w:w="864" w:type="dxa"/>
          </w:tcPr>
          <w:p w14:paraId="5FB1711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556765</w:t>
            </w:r>
          </w:p>
        </w:tc>
        <w:tc>
          <w:tcPr>
            <w:tcW w:w="5472" w:type="dxa"/>
          </w:tcPr>
          <w:p w14:paraId="354CAEC3"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Typage du génotype du virus de l'hépatite C</w:t>
            </w:r>
          </w:p>
        </w:tc>
        <w:tc>
          <w:tcPr>
            <w:tcW w:w="288" w:type="dxa"/>
            <w:vAlign w:val="bottom"/>
          </w:tcPr>
          <w:p w14:paraId="59D9512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010ADE4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4000</w:t>
            </w:r>
          </w:p>
        </w:tc>
        <w:tc>
          <w:tcPr>
            <w:tcW w:w="288" w:type="dxa"/>
            <w:vAlign w:val="bottom"/>
          </w:tcPr>
          <w:p w14:paraId="18FDD12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C4CFDE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6E152F8" w14:textId="77777777" w:rsidTr="00FD6D88">
        <w:trPr>
          <w:cantSplit/>
        </w:trPr>
        <w:tc>
          <w:tcPr>
            <w:tcW w:w="288" w:type="dxa"/>
          </w:tcPr>
          <w:p w14:paraId="2804CA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ADE60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03B0C2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44EB40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A5E15D0"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7677A42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8DF1401" w14:textId="77777777" w:rsidTr="00FD6D88">
        <w:trPr>
          <w:cantSplit/>
        </w:trPr>
        <w:tc>
          <w:tcPr>
            <w:tcW w:w="288" w:type="dxa"/>
          </w:tcPr>
          <w:p w14:paraId="6D38D60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8778D8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D7D5CD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D608EE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C574773"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ne peut être effectuée qu'une seule fois par patient, lors de l'initialisation du traitement.</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6B5CF99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5D5E27F" w14:textId="77777777" w:rsidTr="00FD6D88">
        <w:trPr>
          <w:cantSplit/>
        </w:trPr>
        <w:tc>
          <w:tcPr>
            <w:tcW w:w="288" w:type="dxa"/>
          </w:tcPr>
          <w:p w14:paraId="510F4C9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2FA421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5C5D17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101475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91A227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5AA98EB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D603248" w14:textId="77777777" w:rsidTr="00FD6D88">
        <w:trPr>
          <w:cantSplit/>
        </w:trPr>
        <w:tc>
          <w:tcPr>
            <w:tcW w:w="288" w:type="dxa"/>
          </w:tcPr>
          <w:p w14:paraId="695EE2F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783562A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3317CEA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3360D3D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24AB7E6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621DF29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31F0604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6DAA39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67E9F1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2A9C7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64E3EF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2D34E18"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2F67D4E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E1FAB01" w14:textId="77777777" w:rsidTr="00FD6D88">
        <w:trPr>
          <w:cantSplit/>
        </w:trPr>
        <w:tc>
          <w:tcPr>
            <w:tcW w:w="288" w:type="dxa"/>
          </w:tcPr>
          <w:p w14:paraId="2E75D8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9F08FD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CB645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1D4C4F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A94A7B3"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53F2367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5857D08" w14:textId="77777777" w:rsidTr="00FD6D88">
        <w:trPr>
          <w:cantSplit/>
        </w:trPr>
        <w:tc>
          <w:tcPr>
            <w:tcW w:w="288" w:type="dxa"/>
          </w:tcPr>
          <w:p w14:paraId="6FEFF4F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Times New Roman" w:eastAsia="Times New Roman" w:hAnsi="Times New Roman" w:cs="Times New Roman"/>
                <w:color w:val="0000FF"/>
                <w:sz w:val="20"/>
                <w:szCs w:val="20"/>
                <w:lang w:val="fr-FR"/>
              </w:rPr>
              <w:t>"</w:t>
            </w:r>
          </w:p>
        </w:tc>
        <w:tc>
          <w:tcPr>
            <w:tcW w:w="576" w:type="dxa"/>
          </w:tcPr>
          <w:p w14:paraId="6394A88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911268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556776</w:t>
            </w:r>
          </w:p>
        </w:tc>
        <w:tc>
          <w:tcPr>
            <w:tcW w:w="864" w:type="dxa"/>
          </w:tcPr>
          <w:p w14:paraId="01FF850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556780</w:t>
            </w:r>
          </w:p>
        </w:tc>
        <w:tc>
          <w:tcPr>
            <w:tcW w:w="5472" w:type="dxa"/>
          </w:tcPr>
          <w:p w14:paraId="429E0BD2" w14:textId="77777777" w:rsidR="00BB725F" w:rsidRPr="00BB725F" w:rsidRDefault="00BB725F" w:rsidP="00BB725F">
            <w:pPr>
              <w:spacing w:after="0" w:line="240" w:lineRule="atLeast"/>
              <w:jc w:val="both"/>
              <w:rPr>
                <w:rFonts w:ascii="Times New Roman" w:eastAsia="Times New Roman" w:hAnsi="Times New Roman" w:cs="Times New Roman"/>
                <w:sz w:val="20"/>
                <w:szCs w:val="20"/>
                <w:lang w:val="fr-FR"/>
              </w:rPr>
            </w:pPr>
            <w:r w:rsidRPr="00BB725F">
              <w:rPr>
                <w:rFonts w:ascii="Arial" w:eastAsia="Times New Roman" w:hAnsi="Arial" w:cs="Arial"/>
                <w:color w:val="0000FF"/>
                <w:sz w:val="20"/>
                <w:szCs w:val="20"/>
                <w:lang w:val="fr-FR"/>
              </w:rPr>
              <w:t>Détection de manière quantitative du virus de l'hépatite B (HBV)</w:t>
            </w:r>
          </w:p>
        </w:tc>
        <w:tc>
          <w:tcPr>
            <w:tcW w:w="288" w:type="dxa"/>
            <w:vAlign w:val="bottom"/>
          </w:tcPr>
          <w:p w14:paraId="4438415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3D2EC2F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45F9CE2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B667AE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B7EA6CF" w14:textId="77777777" w:rsidTr="00FD6D88">
        <w:trPr>
          <w:cantSplit/>
        </w:trPr>
        <w:tc>
          <w:tcPr>
            <w:tcW w:w="288" w:type="dxa"/>
          </w:tcPr>
          <w:p w14:paraId="2D1A6D9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9EAA02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90EECC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C9D9A3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532956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409ABE2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E2EA580" w14:textId="77777777" w:rsidTr="00FD6D88">
        <w:trPr>
          <w:cantSplit/>
        </w:trPr>
        <w:tc>
          <w:tcPr>
            <w:tcW w:w="288" w:type="dxa"/>
          </w:tcPr>
          <w:p w14:paraId="14D1FA3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679C1F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813D9D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C99835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84FB5A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ne peut être effectuée que dans les conditions suivantes :</w:t>
            </w:r>
          </w:p>
        </w:tc>
        <w:tc>
          <w:tcPr>
            <w:tcW w:w="288" w:type="dxa"/>
            <w:vAlign w:val="bottom"/>
          </w:tcPr>
          <w:p w14:paraId="64F9CCB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BE215A8" w14:textId="77777777" w:rsidTr="00FD6D88">
        <w:trPr>
          <w:cantSplit/>
        </w:trPr>
        <w:tc>
          <w:tcPr>
            <w:tcW w:w="288" w:type="dxa"/>
          </w:tcPr>
          <w:p w14:paraId="3E8FFB5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4AAECC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4AB8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98A87C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28796B0"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36ACBD2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309E205" w14:textId="77777777" w:rsidTr="00FD6D88">
        <w:trPr>
          <w:cantSplit/>
        </w:trPr>
        <w:tc>
          <w:tcPr>
            <w:tcW w:w="288" w:type="dxa"/>
          </w:tcPr>
          <w:p w14:paraId="4B658B3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19BD91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2E3FBB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F3D0D8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43BB5C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Lors de l'initialisation d'un traitement chez les patients chroniques positifs pour l'HbBsAg de l'hépatite B. Dans cette indication la prestation ne peut être portée en compte qu'une seule fois, sauf au cours de la première année au maximum 3 fois.</w:t>
            </w:r>
          </w:p>
        </w:tc>
        <w:tc>
          <w:tcPr>
            <w:tcW w:w="288" w:type="dxa"/>
            <w:vAlign w:val="bottom"/>
          </w:tcPr>
          <w:p w14:paraId="01BA4C3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97D9F39" w14:textId="77777777" w:rsidTr="00FD6D88">
        <w:trPr>
          <w:cantSplit/>
        </w:trPr>
        <w:tc>
          <w:tcPr>
            <w:tcW w:w="288" w:type="dxa"/>
          </w:tcPr>
          <w:p w14:paraId="0D30BB1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185AFE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0BA0F4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E7FE6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B170AA3"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0DFFCD8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19A002F" w14:textId="77777777" w:rsidTr="00FD6D88">
        <w:trPr>
          <w:cantSplit/>
        </w:trPr>
        <w:tc>
          <w:tcPr>
            <w:tcW w:w="288" w:type="dxa"/>
          </w:tcPr>
          <w:p w14:paraId="535210F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E62BE7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D3174B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D57144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0B2B20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Pour le suivi du traitement de patients chroniques positifs pour l'HbsAg de l'hépatite B.</w:t>
            </w:r>
          </w:p>
        </w:tc>
        <w:tc>
          <w:tcPr>
            <w:tcW w:w="288" w:type="dxa"/>
            <w:vAlign w:val="bottom"/>
          </w:tcPr>
          <w:p w14:paraId="226396B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00F4BB1" w14:textId="77777777" w:rsidTr="00FD6D88">
        <w:trPr>
          <w:cantSplit/>
        </w:trPr>
        <w:tc>
          <w:tcPr>
            <w:tcW w:w="288" w:type="dxa"/>
          </w:tcPr>
          <w:p w14:paraId="6C06082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E72B9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52733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01AC37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DC9BF2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1FB78FA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FA9DD78" w14:textId="77777777" w:rsidTr="00FD6D88">
        <w:trPr>
          <w:cantSplit/>
        </w:trPr>
        <w:tc>
          <w:tcPr>
            <w:tcW w:w="288" w:type="dxa"/>
          </w:tcPr>
          <w:p w14:paraId="45D7A47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CCD109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201726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C8DB5B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380724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fois par an.</w:t>
            </w:r>
          </w:p>
        </w:tc>
        <w:tc>
          <w:tcPr>
            <w:tcW w:w="288" w:type="dxa"/>
            <w:vAlign w:val="bottom"/>
          </w:tcPr>
          <w:p w14:paraId="41AD47D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67BB5B7" w14:textId="77777777" w:rsidTr="00FD6D88">
        <w:trPr>
          <w:cantSplit/>
        </w:trPr>
        <w:tc>
          <w:tcPr>
            <w:tcW w:w="288" w:type="dxa"/>
          </w:tcPr>
          <w:p w14:paraId="22A220A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0CC961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3A7CDC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78CF1D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5270D63"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56397CF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91FA9A9" w14:textId="77777777" w:rsidTr="00FD6D88">
        <w:trPr>
          <w:cantSplit/>
        </w:trPr>
        <w:tc>
          <w:tcPr>
            <w:tcW w:w="288" w:type="dxa"/>
          </w:tcPr>
          <w:p w14:paraId="02F7313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0277E5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625CEE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37E7C5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674A69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Dans le cas de remontée subite des signes d'hépatite B chez les patients chroniques HbsAg positifs, sur base de tests hépatiques anormaux.</w:t>
            </w:r>
          </w:p>
        </w:tc>
        <w:tc>
          <w:tcPr>
            <w:tcW w:w="288" w:type="dxa"/>
            <w:vAlign w:val="bottom"/>
          </w:tcPr>
          <w:p w14:paraId="3428B7C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16D1C43" w14:textId="77777777" w:rsidTr="00FD6D88">
        <w:trPr>
          <w:cantSplit/>
        </w:trPr>
        <w:tc>
          <w:tcPr>
            <w:tcW w:w="288" w:type="dxa"/>
          </w:tcPr>
          <w:p w14:paraId="6EBC73B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EB0EE1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4AB508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3E54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12DD88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66D917A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BBA9723" w14:textId="77777777" w:rsidTr="00FD6D88">
        <w:trPr>
          <w:cantSplit/>
        </w:trPr>
        <w:tc>
          <w:tcPr>
            <w:tcW w:w="288" w:type="dxa"/>
          </w:tcPr>
          <w:p w14:paraId="41E211D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8D2C38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A4509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2B460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CF8885E"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fois par an.</w:t>
            </w:r>
          </w:p>
        </w:tc>
        <w:tc>
          <w:tcPr>
            <w:tcW w:w="288" w:type="dxa"/>
            <w:vAlign w:val="bottom"/>
          </w:tcPr>
          <w:p w14:paraId="4594778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821F53D" w14:textId="77777777" w:rsidTr="00FD6D88">
        <w:trPr>
          <w:cantSplit/>
        </w:trPr>
        <w:tc>
          <w:tcPr>
            <w:tcW w:w="288" w:type="dxa"/>
          </w:tcPr>
          <w:p w14:paraId="704507C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3487D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F002BC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9CCDE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E93275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6E596FC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7B1033F" w14:textId="77777777" w:rsidTr="00FD6D88">
        <w:trPr>
          <w:cantSplit/>
        </w:trPr>
        <w:tc>
          <w:tcPr>
            <w:tcW w:w="288" w:type="dxa"/>
          </w:tcPr>
          <w:p w14:paraId="49CA1E2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9F43EF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A1FB64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556791</w:t>
            </w:r>
          </w:p>
        </w:tc>
        <w:tc>
          <w:tcPr>
            <w:tcW w:w="864" w:type="dxa"/>
          </w:tcPr>
          <w:p w14:paraId="0D9FF4D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556802</w:t>
            </w:r>
          </w:p>
        </w:tc>
        <w:tc>
          <w:tcPr>
            <w:tcW w:w="5472" w:type="dxa"/>
          </w:tcPr>
          <w:p w14:paraId="4C80C767" w14:textId="77777777" w:rsidR="00BB725F" w:rsidRPr="00BB725F" w:rsidRDefault="00BB725F" w:rsidP="00BB725F">
            <w:pPr>
              <w:spacing w:after="0" w:line="240" w:lineRule="atLeast"/>
              <w:jc w:val="both"/>
              <w:rPr>
                <w:rFonts w:ascii="Times New Roman" w:eastAsia="Times New Roman" w:hAnsi="Times New Roman" w:cs="Times New Roman"/>
                <w:sz w:val="20"/>
                <w:szCs w:val="20"/>
                <w:lang w:val="fr-FR"/>
              </w:rPr>
            </w:pPr>
            <w:r w:rsidRPr="00BB725F">
              <w:rPr>
                <w:rFonts w:ascii="Arial" w:eastAsia="Times New Roman" w:hAnsi="Arial" w:cs="Arial"/>
                <w:color w:val="0000FF"/>
                <w:sz w:val="20"/>
                <w:szCs w:val="20"/>
                <w:lang w:val="fr-FR"/>
              </w:rPr>
              <w:t>Détection des entérovirus</w:t>
            </w:r>
          </w:p>
        </w:tc>
        <w:tc>
          <w:tcPr>
            <w:tcW w:w="288" w:type="dxa"/>
            <w:vAlign w:val="bottom"/>
          </w:tcPr>
          <w:p w14:paraId="036E987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4DB726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31C0D89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E413C3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124A566" w14:textId="77777777" w:rsidTr="00FD6D88">
        <w:trPr>
          <w:cantSplit/>
        </w:trPr>
        <w:tc>
          <w:tcPr>
            <w:tcW w:w="288" w:type="dxa"/>
          </w:tcPr>
          <w:p w14:paraId="1CD650D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4E92B5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030888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0F1F69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472" w:type="dxa"/>
          </w:tcPr>
          <w:p w14:paraId="1D8EA387" w14:textId="77777777" w:rsidR="00BB725F" w:rsidRPr="00BB725F" w:rsidRDefault="00BB725F" w:rsidP="00BB725F">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0424384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7C8ED0A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DE79BF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95731F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AC1E099" w14:textId="77777777" w:rsidTr="00FD6D88">
        <w:trPr>
          <w:cantSplit/>
        </w:trPr>
        <w:tc>
          <w:tcPr>
            <w:tcW w:w="288" w:type="dxa"/>
          </w:tcPr>
          <w:p w14:paraId="25EA1DA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17FB92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BEDE25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010AB5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A895DD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ne peut être portée en compte que dans les conditions suivantes :</w:t>
            </w:r>
          </w:p>
        </w:tc>
        <w:tc>
          <w:tcPr>
            <w:tcW w:w="288" w:type="dxa"/>
            <w:vAlign w:val="bottom"/>
          </w:tcPr>
          <w:p w14:paraId="52E15D3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74B1499" w14:textId="77777777" w:rsidTr="00FD6D88">
        <w:trPr>
          <w:cantSplit/>
        </w:trPr>
        <w:tc>
          <w:tcPr>
            <w:tcW w:w="288" w:type="dxa"/>
          </w:tcPr>
          <w:p w14:paraId="6AD20A5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6E3DE1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ECBBF3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97491C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8095A7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19E0FCB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D056AD6" w14:textId="77777777" w:rsidTr="00FD6D88">
        <w:trPr>
          <w:cantSplit/>
        </w:trPr>
        <w:tc>
          <w:tcPr>
            <w:tcW w:w="288" w:type="dxa"/>
          </w:tcPr>
          <w:p w14:paraId="46622CE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F61E61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9C525C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B47DF5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F5023C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 Symptômes de méningite virale, ou de méningo-encéphalite.</w:t>
            </w:r>
          </w:p>
        </w:tc>
        <w:tc>
          <w:tcPr>
            <w:tcW w:w="288" w:type="dxa"/>
            <w:vAlign w:val="bottom"/>
          </w:tcPr>
          <w:p w14:paraId="207AAB2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983C8C4" w14:textId="77777777" w:rsidTr="00FD6D88">
        <w:trPr>
          <w:cantSplit/>
        </w:trPr>
        <w:tc>
          <w:tcPr>
            <w:tcW w:w="288" w:type="dxa"/>
          </w:tcPr>
          <w:p w14:paraId="73E061E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21852F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A34111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A7FA7A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E4E65A3"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309E071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8C46CA2" w14:textId="77777777" w:rsidTr="00FD6D88">
        <w:trPr>
          <w:cantSplit/>
        </w:trPr>
        <w:tc>
          <w:tcPr>
            <w:tcW w:w="288" w:type="dxa"/>
          </w:tcPr>
          <w:p w14:paraId="0FB9C9E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582FCA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D228D4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1936A2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F5C80B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p>
        </w:tc>
        <w:tc>
          <w:tcPr>
            <w:tcW w:w="288" w:type="dxa"/>
            <w:vAlign w:val="bottom"/>
          </w:tcPr>
          <w:p w14:paraId="4AC37DF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1F1EA10" w14:textId="77777777" w:rsidTr="00FD6D88">
        <w:trPr>
          <w:cantSplit/>
        </w:trPr>
        <w:tc>
          <w:tcPr>
            <w:tcW w:w="288" w:type="dxa"/>
          </w:tcPr>
          <w:p w14:paraId="32885F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4B1DF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6E9D3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362095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30D46A5"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7F5BDB1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B0683E1" w14:textId="77777777" w:rsidTr="00FD6D88">
        <w:trPr>
          <w:cantSplit/>
        </w:trPr>
        <w:tc>
          <w:tcPr>
            <w:tcW w:w="288" w:type="dxa"/>
          </w:tcPr>
          <w:p w14:paraId="38AD2B7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6699B9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C840B5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0B4B82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0091052"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Péricardite aiguë et/ou myocardite.</w:t>
            </w:r>
          </w:p>
        </w:tc>
        <w:tc>
          <w:tcPr>
            <w:tcW w:w="288" w:type="dxa"/>
            <w:vAlign w:val="bottom"/>
          </w:tcPr>
          <w:p w14:paraId="56C4127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C51A962" w14:textId="77777777" w:rsidTr="00FD6D88">
        <w:trPr>
          <w:cantSplit/>
        </w:trPr>
        <w:tc>
          <w:tcPr>
            <w:tcW w:w="288" w:type="dxa"/>
          </w:tcPr>
          <w:p w14:paraId="03FE1E3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6DAD94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4CE982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4B06A8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EF2E29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288" w:type="dxa"/>
            <w:vAlign w:val="bottom"/>
          </w:tcPr>
          <w:p w14:paraId="56EC24E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0178831" w14:textId="77777777" w:rsidTr="00FD6D88">
        <w:trPr>
          <w:cantSplit/>
        </w:trPr>
        <w:tc>
          <w:tcPr>
            <w:tcW w:w="288" w:type="dxa"/>
          </w:tcPr>
          <w:p w14:paraId="23DBF62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87F496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62FCB5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29870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D2816F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prélèvements par épisode.</w:t>
            </w:r>
          </w:p>
        </w:tc>
        <w:tc>
          <w:tcPr>
            <w:tcW w:w="288" w:type="dxa"/>
            <w:vAlign w:val="bottom"/>
          </w:tcPr>
          <w:p w14:paraId="76059AF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2D544F0" w14:textId="77777777" w:rsidTr="00FD6D88">
        <w:trPr>
          <w:cantSplit/>
        </w:trPr>
        <w:tc>
          <w:tcPr>
            <w:tcW w:w="288" w:type="dxa"/>
          </w:tcPr>
          <w:p w14:paraId="31D0A72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CA862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E9B6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1CC04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90A280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5ADAD1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043C570" w14:textId="77777777" w:rsidTr="00FD6D88">
        <w:trPr>
          <w:cantSplit/>
        </w:trPr>
        <w:tc>
          <w:tcPr>
            <w:tcW w:w="288" w:type="dxa"/>
          </w:tcPr>
          <w:p w14:paraId="1AC263E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E7FA86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26B56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AE9D31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754E17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Diagnostic prénatal sur le liquide amniotique d'infection congénitale, seulement en cas de diagnostic échographique clair de retard de croissance foetale, de polyhydramnios, d'oligohydramnios, d'épanchement pleural ou péricardique, de zones hyper-échogènes abdominales, de calcifications abdominales, ou de mort in utero.</w:t>
            </w:r>
          </w:p>
        </w:tc>
        <w:tc>
          <w:tcPr>
            <w:tcW w:w="288" w:type="dxa"/>
            <w:vAlign w:val="bottom"/>
          </w:tcPr>
          <w:p w14:paraId="2E5A7B9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856C631" w14:textId="77777777" w:rsidTr="00FD6D88">
        <w:trPr>
          <w:cantSplit/>
        </w:trPr>
        <w:tc>
          <w:tcPr>
            <w:tcW w:w="288" w:type="dxa"/>
          </w:tcPr>
          <w:p w14:paraId="22FA506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7EA41E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0EFECC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F5B537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D9D55C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7F11F9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FA91D91" w14:textId="77777777" w:rsidTr="00FD6D88">
        <w:trPr>
          <w:cantSplit/>
        </w:trPr>
        <w:tc>
          <w:tcPr>
            <w:tcW w:w="288" w:type="dxa"/>
          </w:tcPr>
          <w:p w14:paraId="43FE1ED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6F109A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0CEBD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C0879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F1DDE8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w:t>
            </w:r>
          </w:p>
        </w:tc>
        <w:tc>
          <w:tcPr>
            <w:tcW w:w="288" w:type="dxa"/>
            <w:vAlign w:val="bottom"/>
          </w:tcPr>
          <w:p w14:paraId="77EECFD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E802476" w14:textId="77777777" w:rsidTr="00FD6D88">
        <w:trPr>
          <w:cantSplit/>
        </w:trPr>
        <w:tc>
          <w:tcPr>
            <w:tcW w:w="288" w:type="dxa"/>
          </w:tcPr>
          <w:p w14:paraId="35DFF3D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B9AEA8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124324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4AABE8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55BA22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769521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86516B6" w14:textId="77777777" w:rsidTr="00FD6D88">
        <w:trPr>
          <w:cantSplit/>
        </w:trPr>
        <w:tc>
          <w:tcPr>
            <w:tcW w:w="288" w:type="dxa"/>
          </w:tcPr>
          <w:p w14:paraId="55039B5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66BDF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373C5F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556813</w:t>
            </w:r>
          </w:p>
        </w:tc>
        <w:tc>
          <w:tcPr>
            <w:tcW w:w="864" w:type="dxa"/>
          </w:tcPr>
          <w:p w14:paraId="3B7E0F7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556824</w:t>
            </w:r>
          </w:p>
        </w:tc>
        <w:tc>
          <w:tcPr>
            <w:tcW w:w="5472" w:type="dxa"/>
          </w:tcPr>
          <w:p w14:paraId="6E24ECF9" w14:textId="77777777" w:rsidR="00BB725F" w:rsidRPr="00BB725F" w:rsidRDefault="00BB725F" w:rsidP="00BB725F">
            <w:pPr>
              <w:spacing w:after="0" w:line="240" w:lineRule="atLeast"/>
              <w:jc w:val="both"/>
              <w:rPr>
                <w:rFonts w:ascii="Times New Roman" w:eastAsia="Times New Roman" w:hAnsi="Times New Roman" w:cs="Times New Roman"/>
                <w:sz w:val="20"/>
                <w:szCs w:val="20"/>
                <w:lang w:val="fr-FR"/>
              </w:rPr>
            </w:pPr>
            <w:r w:rsidRPr="00BB725F">
              <w:rPr>
                <w:rFonts w:ascii="Arial" w:eastAsia="Times New Roman" w:hAnsi="Arial" w:cs="Arial"/>
                <w:color w:val="0000FF"/>
                <w:sz w:val="20"/>
                <w:szCs w:val="20"/>
                <w:lang w:val="fr-FR"/>
              </w:rPr>
              <w:t>Détection du virus de l'Herpes Simplex (HSV1 et HSV2)</w:t>
            </w:r>
          </w:p>
        </w:tc>
        <w:tc>
          <w:tcPr>
            <w:tcW w:w="288" w:type="dxa"/>
            <w:vAlign w:val="bottom"/>
          </w:tcPr>
          <w:p w14:paraId="19A4000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3A0B71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079C1AC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ABC646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C60A915" w14:textId="77777777" w:rsidTr="00FD6D88">
        <w:trPr>
          <w:cantSplit/>
        </w:trPr>
        <w:tc>
          <w:tcPr>
            <w:tcW w:w="288" w:type="dxa"/>
          </w:tcPr>
          <w:p w14:paraId="59254D0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708408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2A0967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5B8629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DABFAA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9BB956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F65BED4" w14:textId="77777777" w:rsidTr="00FD6D88">
        <w:trPr>
          <w:cantSplit/>
        </w:trPr>
        <w:tc>
          <w:tcPr>
            <w:tcW w:w="288" w:type="dxa"/>
          </w:tcPr>
          <w:p w14:paraId="7343315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3C9B97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DCEDA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29647B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A4ABAE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comporte en même temps la détection des virus HSV1 et HSV2, et ne peut être effectuée que dans les conditions suivantes :</w:t>
            </w:r>
          </w:p>
        </w:tc>
        <w:tc>
          <w:tcPr>
            <w:tcW w:w="288" w:type="dxa"/>
            <w:vAlign w:val="bottom"/>
          </w:tcPr>
          <w:p w14:paraId="5FF043C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8940192" w14:textId="77777777" w:rsidTr="00FD6D88">
        <w:trPr>
          <w:cantSplit/>
        </w:trPr>
        <w:tc>
          <w:tcPr>
            <w:tcW w:w="288" w:type="dxa"/>
          </w:tcPr>
          <w:p w14:paraId="1D569D1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ED444A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05BA73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729F6C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FED841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5F2397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3870C8D" w14:textId="77777777" w:rsidTr="00FD6D88">
        <w:trPr>
          <w:cantSplit/>
        </w:trPr>
        <w:tc>
          <w:tcPr>
            <w:tcW w:w="288" w:type="dxa"/>
          </w:tcPr>
          <w:p w14:paraId="010D085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C06DF2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EACCA2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5D4AC9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AECDB1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Patients avec des signes neurologiques d'encéphalite, de méningo-encéphalite, de méningite, ou de myélite.</w:t>
            </w:r>
          </w:p>
        </w:tc>
        <w:tc>
          <w:tcPr>
            <w:tcW w:w="288" w:type="dxa"/>
            <w:vAlign w:val="bottom"/>
          </w:tcPr>
          <w:p w14:paraId="1B9DE5D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4D5937E" w14:textId="77777777" w:rsidTr="00FD6D88">
        <w:trPr>
          <w:cantSplit/>
        </w:trPr>
        <w:tc>
          <w:tcPr>
            <w:tcW w:w="288" w:type="dxa"/>
          </w:tcPr>
          <w:p w14:paraId="3EF92D7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8527A4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F29271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8CE8E8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73EA8B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9DB158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07DCB3E" w14:textId="77777777" w:rsidTr="00FD6D88">
        <w:trPr>
          <w:cantSplit/>
        </w:trPr>
        <w:tc>
          <w:tcPr>
            <w:tcW w:w="288" w:type="dxa"/>
          </w:tcPr>
          <w:p w14:paraId="60880C2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E46598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BE48BF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9D993D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B09592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prestations par épisode.</w:t>
            </w:r>
          </w:p>
        </w:tc>
        <w:tc>
          <w:tcPr>
            <w:tcW w:w="288" w:type="dxa"/>
            <w:vAlign w:val="bottom"/>
          </w:tcPr>
          <w:p w14:paraId="40AEE46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E0209AB" w14:textId="77777777" w:rsidTr="00FD6D88">
        <w:trPr>
          <w:cantSplit/>
        </w:trPr>
        <w:tc>
          <w:tcPr>
            <w:tcW w:w="288" w:type="dxa"/>
          </w:tcPr>
          <w:p w14:paraId="44EAD25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F94B5C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70FD4B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560368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7191F9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9DE3E1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969D2D9" w14:textId="77777777" w:rsidTr="00FD6D88">
        <w:trPr>
          <w:cantSplit/>
        </w:trPr>
        <w:tc>
          <w:tcPr>
            <w:tcW w:w="288" w:type="dxa"/>
          </w:tcPr>
          <w:p w14:paraId="0F39E03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A5BFB9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5D0C17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49B406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303B75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Patients avec affections oculaires : kératite, uvéite, ou rétinite aiguë.</w:t>
            </w:r>
          </w:p>
        </w:tc>
        <w:tc>
          <w:tcPr>
            <w:tcW w:w="288" w:type="dxa"/>
            <w:vAlign w:val="bottom"/>
          </w:tcPr>
          <w:p w14:paraId="309E713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DA5DE20" w14:textId="77777777" w:rsidTr="00FD6D88">
        <w:trPr>
          <w:cantSplit/>
        </w:trPr>
        <w:tc>
          <w:tcPr>
            <w:tcW w:w="288" w:type="dxa"/>
          </w:tcPr>
          <w:p w14:paraId="7BCAAB7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91FFB5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AFB45F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4B75E5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9AAC1A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6D467F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22F619A" w14:textId="77777777" w:rsidTr="00FD6D88">
        <w:trPr>
          <w:cantSplit/>
        </w:trPr>
        <w:tc>
          <w:tcPr>
            <w:tcW w:w="288" w:type="dxa"/>
          </w:tcPr>
          <w:p w14:paraId="0F47589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F1DEF6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A76CAE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A53543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9D1A5E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prestations par épisode.</w:t>
            </w:r>
          </w:p>
        </w:tc>
        <w:tc>
          <w:tcPr>
            <w:tcW w:w="288" w:type="dxa"/>
            <w:vAlign w:val="bottom"/>
          </w:tcPr>
          <w:p w14:paraId="6AD6816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B306A13" w14:textId="77777777" w:rsidTr="00FD6D88">
        <w:trPr>
          <w:cantSplit/>
        </w:trPr>
        <w:tc>
          <w:tcPr>
            <w:tcW w:w="288" w:type="dxa"/>
          </w:tcPr>
          <w:p w14:paraId="2EC01D4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B30C9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9C1155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F5DB50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8F6AD6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A6621E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02871AB" w14:textId="77777777" w:rsidTr="00FD6D88">
        <w:trPr>
          <w:cantSplit/>
        </w:trPr>
        <w:tc>
          <w:tcPr>
            <w:tcW w:w="288" w:type="dxa"/>
          </w:tcPr>
          <w:p w14:paraId="4B6220C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E91911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178352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B9B5D5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25A07A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2E4D76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326AE0E" w14:textId="77777777" w:rsidTr="00FD6D88">
        <w:trPr>
          <w:cantSplit/>
        </w:trPr>
        <w:tc>
          <w:tcPr>
            <w:tcW w:w="288" w:type="dxa"/>
          </w:tcPr>
          <w:p w14:paraId="6A9D927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A0A092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E0CD53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D5B4D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2BE06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Herpes néonatal.</w:t>
            </w:r>
          </w:p>
        </w:tc>
        <w:tc>
          <w:tcPr>
            <w:tcW w:w="288" w:type="dxa"/>
            <w:vAlign w:val="bottom"/>
          </w:tcPr>
          <w:p w14:paraId="7F06CE5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41DA5C0" w14:textId="77777777" w:rsidTr="00FD6D88">
        <w:trPr>
          <w:cantSplit/>
        </w:trPr>
        <w:tc>
          <w:tcPr>
            <w:tcW w:w="288" w:type="dxa"/>
          </w:tcPr>
          <w:p w14:paraId="3DF02FD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26751D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0BCB5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29B02E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FCA792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595EFC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9E6EE34" w14:textId="77777777" w:rsidTr="00FD6D88">
        <w:trPr>
          <w:cantSplit/>
        </w:trPr>
        <w:tc>
          <w:tcPr>
            <w:tcW w:w="288" w:type="dxa"/>
          </w:tcPr>
          <w:p w14:paraId="706C908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FF0E2A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734249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66D963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528AD8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p>
        </w:tc>
        <w:tc>
          <w:tcPr>
            <w:tcW w:w="288" w:type="dxa"/>
            <w:vAlign w:val="bottom"/>
          </w:tcPr>
          <w:p w14:paraId="0494C21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D00FC57" w14:textId="77777777" w:rsidTr="00FD6D88">
        <w:trPr>
          <w:cantSplit/>
        </w:trPr>
        <w:tc>
          <w:tcPr>
            <w:tcW w:w="288" w:type="dxa"/>
          </w:tcPr>
          <w:p w14:paraId="0B4D38C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C87F5B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6EB76D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23B7A9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ED9B96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1AAB57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F8A3ED1" w14:textId="77777777" w:rsidTr="00FD6D88">
        <w:trPr>
          <w:cantSplit/>
        </w:trPr>
        <w:tc>
          <w:tcPr>
            <w:tcW w:w="288" w:type="dxa"/>
          </w:tcPr>
          <w:p w14:paraId="79DD42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83E3F5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71013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EDAC92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A633ED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4° Patients immuno-compromis avec des lésions du tractus oesophagien, intestinal ou respiratoire.</w:t>
            </w:r>
          </w:p>
        </w:tc>
        <w:tc>
          <w:tcPr>
            <w:tcW w:w="288" w:type="dxa"/>
            <w:vAlign w:val="bottom"/>
          </w:tcPr>
          <w:p w14:paraId="0C6DE8D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F795693" w14:textId="77777777" w:rsidTr="00FD6D88">
        <w:trPr>
          <w:cantSplit/>
        </w:trPr>
        <w:tc>
          <w:tcPr>
            <w:tcW w:w="288" w:type="dxa"/>
          </w:tcPr>
          <w:p w14:paraId="2598D96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3D919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AB2A3E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2478FD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E6615A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D598CB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4EEF106" w14:textId="77777777" w:rsidTr="00FD6D88">
        <w:trPr>
          <w:cantSplit/>
        </w:trPr>
        <w:tc>
          <w:tcPr>
            <w:tcW w:w="288" w:type="dxa"/>
          </w:tcPr>
          <w:p w14:paraId="7CFB21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93DBB7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04CD9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F3F3D8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82991E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prestations par épisode.</w:t>
            </w:r>
          </w:p>
        </w:tc>
        <w:tc>
          <w:tcPr>
            <w:tcW w:w="288" w:type="dxa"/>
            <w:vAlign w:val="bottom"/>
          </w:tcPr>
          <w:p w14:paraId="2DCF4DF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15C473D" w14:textId="77777777" w:rsidTr="00FD6D88">
        <w:trPr>
          <w:cantSplit/>
        </w:trPr>
        <w:tc>
          <w:tcPr>
            <w:tcW w:w="288" w:type="dxa"/>
          </w:tcPr>
          <w:p w14:paraId="5DA1230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9CAD2E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50A140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EAF332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24A142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3EF3930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E198749" w14:textId="77777777" w:rsidTr="00FD6D88">
        <w:trPr>
          <w:cantSplit/>
        </w:trPr>
        <w:tc>
          <w:tcPr>
            <w:tcW w:w="288" w:type="dxa"/>
          </w:tcPr>
          <w:p w14:paraId="6C25C4E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FFEBDC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AC39D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556835</w:t>
            </w:r>
          </w:p>
        </w:tc>
        <w:tc>
          <w:tcPr>
            <w:tcW w:w="864" w:type="dxa"/>
          </w:tcPr>
          <w:p w14:paraId="6D8FCD6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556846</w:t>
            </w:r>
          </w:p>
        </w:tc>
        <w:tc>
          <w:tcPr>
            <w:tcW w:w="5472" w:type="dxa"/>
          </w:tcPr>
          <w:p w14:paraId="40C76C2A" w14:textId="77777777" w:rsidR="00BB725F" w:rsidRPr="00BB725F" w:rsidRDefault="00BB725F" w:rsidP="00BB725F">
            <w:pPr>
              <w:spacing w:after="0" w:line="240" w:lineRule="atLeast"/>
              <w:jc w:val="both"/>
              <w:rPr>
                <w:rFonts w:ascii="Times New Roman" w:eastAsia="Times New Roman" w:hAnsi="Times New Roman" w:cs="Times New Roman"/>
                <w:sz w:val="20"/>
                <w:szCs w:val="20"/>
                <w:lang w:val="fr-FR"/>
              </w:rPr>
            </w:pPr>
            <w:r w:rsidRPr="00BB725F">
              <w:rPr>
                <w:rFonts w:ascii="Arial" w:eastAsia="Times New Roman" w:hAnsi="Arial" w:cs="Arial"/>
                <w:color w:val="0000FF"/>
                <w:sz w:val="20"/>
                <w:szCs w:val="20"/>
                <w:lang w:val="fr-FR"/>
              </w:rPr>
              <w:t>Détection du virus de la varicelle - Herpes Zoster (VZV)</w:t>
            </w:r>
          </w:p>
        </w:tc>
        <w:tc>
          <w:tcPr>
            <w:tcW w:w="288" w:type="dxa"/>
            <w:vAlign w:val="bottom"/>
          </w:tcPr>
          <w:p w14:paraId="3D8D646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7451481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6D4671B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284721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FF0B3A5" w14:textId="77777777" w:rsidTr="00FD6D88">
        <w:trPr>
          <w:cantSplit/>
        </w:trPr>
        <w:tc>
          <w:tcPr>
            <w:tcW w:w="288" w:type="dxa"/>
          </w:tcPr>
          <w:p w14:paraId="6467FEC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A6949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59EBBA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591868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AE2BDD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79A927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7C9FCF5" w14:textId="77777777" w:rsidTr="00FD6D88">
        <w:trPr>
          <w:cantSplit/>
        </w:trPr>
        <w:tc>
          <w:tcPr>
            <w:tcW w:w="288" w:type="dxa"/>
          </w:tcPr>
          <w:p w14:paraId="30289C6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105F97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D40D57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B4B65F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693A63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ne peut être effectuée que dans les conditions suivantes :</w:t>
            </w:r>
          </w:p>
        </w:tc>
        <w:tc>
          <w:tcPr>
            <w:tcW w:w="288" w:type="dxa"/>
            <w:vAlign w:val="bottom"/>
          </w:tcPr>
          <w:p w14:paraId="795D9FD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EFCC859" w14:textId="77777777" w:rsidTr="00FD6D88">
        <w:trPr>
          <w:cantSplit/>
        </w:trPr>
        <w:tc>
          <w:tcPr>
            <w:tcW w:w="288" w:type="dxa"/>
          </w:tcPr>
          <w:p w14:paraId="3AFA149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6F52A5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6672A7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ED6158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604387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AF6894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66D0059" w14:textId="77777777" w:rsidTr="00FD6D88">
        <w:trPr>
          <w:cantSplit/>
        </w:trPr>
        <w:tc>
          <w:tcPr>
            <w:tcW w:w="288" w:type="dxa"/>
          </w:tcPr>
          <w:p w14:paraId="229EE5A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4DD4A6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87B37B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A1638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193ED0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Patients avec des signes neurologiques d'encéphalite, de méningo-encéphalite, de méningite, ou de myélite.</w:t>
            </w:r>
          </w:p>
        </w:tc>
        <w:tc>
          <w:tcPr>
            <w:tcW w:w="288" w:type="dxa"/>
            <w:vAlign w:val="bottom"/>
          </w:tcPr>
          <w:p w14:paraId="12F970E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8F400D8" w14:textId="77777777" w:rsidTr="00FD6D88">
        <w:trPr>
          <w:cantSplit/>
        </w:trPr>
        <w:tc>
          <w:tcPr>
            <w:tcW w:w="288" w:type="dxa"/>
          </w:tcPr>
          <w:p w14:paraId="1EB3132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6F36BB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377C7B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5364DF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F5AC2D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7F0B8F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D59DDEE" w14:textId="77777777" w:rsidTr="00FD6D88">
        <w:trPr>
          <w:cantSplit/>
        </w:trPr>
        <w:tc>
          <w:tcPr>
            <w:tcW w:w="288" w:type="dxa"/>
          </w:tcPr>
          <w:p w14:paraId="53D12BA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A84363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D212E6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CFD1AE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4FCE2D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prestations par épisode.</w:t>
            </w:r>
          </w:p>
        </w:tc>
        <w:tc>
          <w:tcPr>
            <w:tcW w:w="288" w:type="dxa"/>
            <w:vAlign w:val="bottom"/>
          </w:tcPr>
          <w:p w14:paraId="2496EEF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700951C" w14:textId="77777777" w:rsidTr="00FD6D88">
        <w:trPr>
          <w:cantSplit/>
        </w:trPr>
        <w:tc>
          <w:tcPr>
            <w:tcW w:w="288" w:type="dxa"/>
          </w:tcPr>
          <w:p w14:paraId="0BA3E4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98B8C2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98D0F1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389759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B70380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B235F0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A6C7D3C" w14:textId="77777777" w:rsidTr="00FD6D88">
        <w:trPr>
          <w:cantSplit/>
        </w:trPr>
        <w:tc>
          <w:tcPr>
            <w:tcW w:w="288" w:type="dxa"/>
          </w:tcPr>
          <w:p w14:paraId="1C6534A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1A1D09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7CB4C1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D32696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202F2A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Patients avec affections oculaires : kératite, uvéite, ou rétinite aiguë.</w:t>
            </w:r>
          </w:p>
        </w:tc>
        <w:tc>
          <w:tcPr>
            <w:tcW w:w="288" w:type="dxa"/>
            <w:vAlign w:val="bottom"/>
          </w:tcPr>
          <w:p w14:paraId="1623E74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65BC575" w14:textId="77777777" w:rsidTr="00FD6D88">
        <w:trPr>
          <w:cantSplit/>
        </w:trPr>
        <w:tc>
          <w:tcPr>
            <w:tcW w:w="288" w:type="dxa"/>
          </w:tcPr>
          <w:p w14:paraId="2F0D5C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EB40E1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C8CDE6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33CAD5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9D1FA7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78221E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46B1D80" w14:textId="77777777" w:rsidTr="00FD6D88">
        <w:trPr>
          <w:cantSplit/>
        </w:trPr>
        <w:tc>
          <w:tcPr>
            <w:tcW w:w="288" w:type="dxa"/>
          </w:tcPr>
          <w:p w14:paraId="09B2DCD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DCFEF7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D217DC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8E2BF7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DD8FED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2 prestations par épisode.</w:t>
            </w:r>
          </w:p>
        </w:tc>
        <w:tc>
          <w:tcPr>
            <w:tcW w:w="288" w:type="dxa"/>
            <w:vAlign w:val="bottom"/>
          </w:tcPr>
          <w:p w14:paraId="28B5758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2C3D5D7" w14:textId="77777777" w:rsidTr="00FD6D88">
        <w:trPr>
          <w:cantSplit/>
        </w:trPr>
        <w:tc>
          <w:tcPr>
            <w:tcW w:w="288" w:type="dxa"/>
          </w:tcPr>
          <w:p w14:paraId="2C57A6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9A2C36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2FC80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819541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EBBBBE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3323E2E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78E9D65" w14:textId="77777777" w:rsidTr="00FD6D88">
        <w:trPr>
          <w:cantSplit/>
        </w:trPr>
        <w:tc>
          <w:tcPr>
            <w:tcW w:w="288" w:type="dxa"/>
          </w:tcPr>
          <w:p w14:paraId="2DEF558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1AFD26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127FED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556850</w:t>
            </w:r>
          </w:p>
        </w:tc>
        <w:tc>
          <w:tcPr>
            <w:tcW w:w="864" w:type="dxa"/>
          </w:tcPr>
          <w:p w14:paraId="5668E2E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556861</w:t>
            </w:r>
          </w:p>
        </w:tc>
        <w:tc>
          <w:tcPr>
            <w:tcW w:w="5472" w:type="dxa"/>
          </w:tcPr>
          <w:p w14:paraId="10D6E0B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du Toxoplasme gondii</w:t>
            </w:r>
          </w:p>
        </w:tc>
        <w:tc>
          <w:tcPr>
            <w:tcW w:w="288" w:type="dxa"/>
            <w:vAlign w:val="bottom"/>
          </w:tcPr>
          <w:p w14:paraId="1E768F1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55B2B7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559F0EC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205E77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0D8E479" w14:textId="77777777" w:rsidTr="00FD6D88">
        <w:trPr>
          <w:cantSplit/>
        </w:trPr>
        <w:tc>
          <w:tcPr>
            <w:tcW w:w="288" w:type="dxa"/>
          </w:tcPr>
          <w:p w14:paraId="4539169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A25669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7DD9BB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BAC057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472" w:type="dxa"/>
          </w:tcPr>
          <w:p w14:paraId="315B5ADC" w14:textId="77777777" w:rsidR="00BB725F" w:rsidRPr="00BB725F" w:rsidRDefault="00BB725F" w:rsidP="00BB725F">
            <w:pPr>
              <w:spacing w:after="0" w:line="240" w:lineRule="atLeast"/>
              <w:jc w:val="both"/>
              <w:rPr>
                <w:rFonts w:ascii="Arial" w:eastAsia="Times New Roman" w:hAnsi="Arial" w:cs="Times New Roman"/>
                <w:color w:val="0000FF"/>
                <w:sz w:val="20"/>
                <w:szCs w:val="20"/>
                <w:lang w:val="fr-FR"/>
              </w:rPr>
            </w:pPr>
          </w:p>
        </w:tc>
        <w:tc>
          <w:tcPr>
            <w:tcW w:w="288" w:type="dxa"/>
            <w:vAlign w:val="bottom"/>
          </w:tcPr>
          <w:p w14:paraId="18B98A9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672" w:type="dxa"/>
            <w:vAlign w:val="bottom"/>
          </w:tcPr>
          <w:p w14:paraId="210635B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6489C0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2A96A8D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7DB7C34" w14:textId="77777777" w:rsidTr="00FD6D88">
        <w:trPr>
          <w:cantSplit/>
        </w:trPr>
        <w:tc>
          <w:tcPr>
            <w:tcW w:w="288" w:type="dxa"/>
          </w:tcPr>
          <w:p w14:paraId="4BC1ED0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9AEA4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E6814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4FA438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FFE726F"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Cette prestation ne peut être effectuée que dans les conditions suivantes :</w:t>
            </w:r>
          </w:p>
        </w:tc>
        <w:tc>
          <w:tcPr>
            <w:tcW w:w="288" w:type="dxa"/>
            <w:vAlign w:val="bottom"/>
          </w:tcPr>
          <w:p w14:paraId="2F78C99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880DE09" w14:textId="77777777" w:rsidTr="00FD6D88">
        <w:trPr>
          <w:cantSplit/>
        </w:trPr>
        <w:tc>
          <w:tcPr>
            <w:tcW w:w="288" w:type="dxa"/>
          </w:tcPr>
          <w:p w14:paraId="4A38AD8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B652D2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382956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3AA4EA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799675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031D5CE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AA08233" w14:textId="77777777" w:rsidTr="00FD6D88">
        <w:trPr>
          <w:cantSplit/>
        </w:trPr>
        <w:tc>
          <w:tcPr>
            <w:tcW w:w="288" w:type="dxa"/>
          </w:tcPr>
          <w:p w14:paraId="22D2BEE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9F1DD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EBC626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C18AE9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9EF8DA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Diagnostic de la toxoplasmose cérébrale chez des patients immuno-compromis avec une sérologie positive pour les IgG et avec des signes cliniques et radiologiques démontrant une toxoplasmose cérébrale.</w:t>
            </w:r>
          </w:p>
        </w:tc>
        <w:tc>
          <w:tcPr>
            <w:tcW w:w="288" w:type="dxa"/>
            <w:vAlign w:val="bottom"/>
          </w:tcPr>
          <w:p w14:paraId="161A50F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F41955B" w14:textId="77777777" w:rsidTr="00FD6D88">
        <w:trPr>
          <w:cantSplit/>
        </w:trPr>
        <w:tc>
          <w:tcPr>
            <w:tcW w:w="288" w:type="dxa"/>
          </w:tcPr>
          <w:p w14:paraId="4AAFA50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F5B213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614FCE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E36712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99E9864"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4448FDE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F252B69" w14:textId="77777777" w:rsidTr="00FD6D88">
        <w:trPr>
          <w:cantSplit/>
        </w:trPr>
        <w:tc>
          <w:tcPr>
            <w:tcW w:w="288" w:type="dxa"/>
          </w:tcPr>
          <w:p w14:paraId="520BA95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46D1E7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9359DB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F0F0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E3878E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p>
        </w:tc>
        <w:tc>
          <w:tcPr>
            <w:tcW w:w="288" w:type="dxa"/>
            <w:vAlign w:val="bottom"/>
          </w:tcPr>
          <w:p w14:paraId="5784079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3340991" w14:textId="77777777" w:rsidTr="00FD6D88">
        <w:trPr>
          <w:cantSplit/>
        </w:trPr>
        <w:tc>
          <w:tcPr>
            <w:tcW w:w="288" w:type="dxa"/>
          </w:tcPr>
          <w:p w14:paraId="4FFF546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154E32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09C42A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5B63D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B59147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3724E5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A662E93" w14:textId="77777777" w:rsidTr="00FD6D88">
        <w:trPr>
          <w:cantSplit/>
        </w:trPr>
        <w:tc>
          <w:tcPr>
            <w:tcW w:w="288" w:type="dxa"/>
          </w:tcPr>
          <w:p w14:paraId="6E5FCEB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C8A813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88D39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CE03DC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1AF8DF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Diagnostic prénatal dans le liquide amniotique d'une toxoplasmose congénitale.</w:t>
            </w:r>
          </w:p>
        </w:tc>
        <w:tc>
          <w:tcPr>
            <w:tcW w:w="288" w:type="dxa"/>
            <w:vAlign w:val="bottom"/>
          </w:tcPr>
          <w:p w14:paraId="06E6AC2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2DBDAB6" w14:textId="77777777" w:rsidTr="00FD6D88">
        <w:trPr>
          <w:cantSplit/>
        </w:trPr>
        <w:tc>
          <w:tcPr>
            <w:tcW w:w="288" w:type="dxa"/>
          </w:tcPr>
          <w:p w14:paraId="1D15AD4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3A5112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E90AE6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F7FBB6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24610C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4FF57E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ADCC242" w14:textId="77777777" w:rsidTr="00FD6D88">
        <w:trPr>
          <w:cantSplit/>
        </w:trPr>
        <w:tc>
          <w:tcPr>
            <w:tcW w:w="288" w:type="dxa"/>
          </w:tcPr>
          <w:p w14:paraId="276265E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EB934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C7DCE2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15A935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AD292D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groupes cibles suivants sont concernés :</w:t>
            </w:r>
          </w:p>
        </w:tc>
        <w:tc>
          <w:tcPr>
            <w:tcW w:w="288" w:type="dxa"/>
            <w:vAlign w:val="bottom"/>
          </w:tcPr>
          <w:p w14:paraId="2B5945F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85879AA" w14:textId="77777777" w:rsidTr="00FD6D88">
        <w:trPr>
          <w:cantSplit/>
        </w:trPr>
        <w:tc>
          <w:tcPr>
            <w:tcW w:w="288" w:type="dxa"/>
          </w:tcPr>
          <w:p w14:paraId="22152F0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1BACDB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67347C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F94F2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039892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A4F897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874CBDF" w14:textId="77777777" w:rsidTr="00FD6D88">
        <w:trPr>
          <w:cantSplit/>
        </w:trPr>
        <w:tc>
          <w:tcPr>
            <w:tcW w:w="288" w:type="dxa"/>
          </w:tcPr>
          <w:p w14:paraId="454018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6F59A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7318A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293BC3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8A8305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a) Patientes avec séroconversion pour le toxoplasme gondii au cours de la grossesse (IgG négatif lors de la 1</w:t>
            </w:r>
            <w:r w:rsidRPr="00BB725F">
              <w:rPr>
                <w:rFonts w:ascii="Arial" w:eastAsia="Times New Roman" w:hAnsi="Arial" w:cs="Arial"/>
                <w:color w:val="0000FF"/>
                <w:sz w:val="20"/>
                <w:szCs w:val="20"/>
                <w:vertAlign w:val="superscript"/>
                <w:lang w:val="fr-FR"/>
              </w:rPr>
              <w:t>re</w:t>
            </w:r>
            <w:r w:rsidRPr="00BB725F">
              <w:rPr>
                <w:rFonts w:ascii="Arial" w:eastAsia="Times New Roman" w:hAnsi="Arial" w:cs="Arial"/>
                <w:color w:val="0000FF"/>
                <w:sz w:val="20"/>
                <w:szCs w:val="20"/>
                <w:lang w:val="fr-FR"/>
              </w:rPr>
              <w:t xml:space="preserve"> consultation, positif lors d'un examen sanguin ultérieur). La séroconversion doit toujours être validée par un deuxième échantillon sérique.</w:t>
            </w:r>
          </w:p>
        </w:tc>
        <w:tc>
          <w:tcPr>
            <w:tcW w:w="288" w:type="dxa"/>
            <w:vAlign w:val="bottom"/>
          </w:tcPr>
          <w:p w14:paraId="075379D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248079B" w14:textId="77777777" w:rsidTr="00FD6D88">
        <w:trPr>
          <w:cantSplit/>
        </w:trPr>
        <w:tc>
          <w:tcPr>
            <w:tcW w:w="288" w:type="dxa"/>
          </w:tcPr>
          <w:p w14:paraId="23BE036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B9554A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ADD09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CC9BDA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27D1D7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4E00C6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84C0A8B" w14:textId="77777777" w:rsidTr="00FD6D88">
        <w:trPr>
          <w:cantSplit/>
        </w:trPr>
        <w:tc>
          <w:tcPr>
            <w:tcW w:w="288" w:type="dxa"/>
          </w:tcPr>
          <w:p w14:paraId="0058B6C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667BDB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E6DB4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776C59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2876F2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 Patientes dont le profil sérologique du début de la grossesse ne démontre pas de manière certaine si l'infection date d'avant ou d'après la conception. De sorte que 2 échantillons sériques au moins doivent être examinés dans un intervalle d'au moins 3 semaines.</w:t>
            </w:r>
          </w:p>
        </w:tc>
        <w:tc>
          <w:tcPr>
            <w:tcW w:w="288" w:type="dxa"/>
            <w:vAlign w:val="bottom"/>
          </w:tcPr>
          <w:p w14:paraId="60BEF1B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17FA59D" w14:textId="77777777" w:rsidTr="00FD6D88">
        <w:trPr>
          <w:cantSplit/>
        </w:trPr>
        <w:tc>
          <w:tcPr>
            <w:tcW w:w="288" w:type="dxa"/>
          </w:tcPr>
          <w:p w14:paraId="383D432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145DBA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00951A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08DD99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CE16DF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F447D1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097F881" w14:textId="77777777" w:rsidTr="00FD6D88">
        <w:trPr>
          <w:cantSplit/>
        </w:trPr>
        <w:tc>
          <w:tcPr>
            <w:tcW w:w="288" w:type="dxa"/>
          </w:tcPr>
          <w:p w14:paraId="39012BB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CF7B1D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56FAB6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0F5DC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08D0FC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p>
        </w:tc>
        <w:tc>
          <w:tcPr>
            <w:tcW w:w="288" w:type="dxa"/>
            <w:vAlign w:val="bottom"/>
          </w:tcPr>
          <w:p w14:paraId="2EA23A0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325E93A" w14:textId="77777777" w:rsidTr="00FD6D88">
        <w:trPr>
          <w:cantSplit/>
        </w:trPr>
        <w:tc>
          <w:tcPr>
            <w:tcW w:w="288" w:type="dxa"/>
          </w:tcPr>
          <w:p w14:paraId="012532E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B1F5B3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CFAC11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ACD931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B90965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4E4A8A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8878FAA" w14:textId="77777777" w:rsidTr="00FD6D88">
        <w:trPr>
          <w:cantSplit/>
        </w:trPr>
        <w:tc>
          <w:tcPr>
            <w:tcW w:w="288" w:type="dxa"/>
          </w:tcPr>
          <w:p w14:paraId="70712D8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0EBD3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21BF37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557EC6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91512E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Mise au point de la mort in utero, de l'hydrocéphalie, de calcification intra-cérébrale.</w:t>
            </w:r>
          </w:p>
        </w:tc>
        <w:tc>
          <w:tcPr>
            <w:tcW w:w="288" w:type="dxa"/>
            <w:vAlign w:val="bottom"/>
          </w:tcPr>
          <w:p w14:paraId="4882AF3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FC3AA6D" w14:textId="77777777" w:rsidTr="00FD6D88">
        <w:trPr>
          <w:cantSplit/>
        </w:trPr>
        <w:tc>
          <w:tcPr>
            <w:tcW w:w="288" w:type="dxa"/>
          </w:tcPr>
          <w:p w14:paraId="639F54A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28094F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9DEB37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F970AC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08589D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E0638F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604C27E" w14:textId="77777777" w:rsidTr="00FD6D88">
        <w:trPr>
          <w:cantSplit/>
        </w:trPr>
        <w:tc>
          <w:tcPr>
            <w:tcW w:w="288" w:type="dxa"/>
          </w:tcPr>
          <w:p w14:paraId="206E040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79D074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E2D62B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E30251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80B1EA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p>
        </w:tc>
        <w:tc>
          <w:tcPr>
            <w:tcW w:w="288" w:type="dxa"/>
            <w:vAlign w:val="bottom"/>
          </w:tcPr>
          <w:p w14:paraId="4DA38A7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655B203" w14:textId="77777777" w:rsidTr="00FD6D88">
        <w:trPr>
          <w:cantSplit/>
        </w:trPr>
        <w:tc>
          <w:tcPr>
            <w:tcW w:w="288" w:type="dxa"/>
          </w:tcPr>
          <w:p w14:paraId="4FA6108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0D4B9B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E5CE4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A26DB4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FB7CF4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998648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22EE99E" w14:textId="77777777" w:rsidTr="00FD6D88">
        <w:trPr>
          <w:cantSplit/>
        </w:trPr>
        <w:tc>
          <w:tcPr>
            <w:tcW w:w="288" w:type="dxa"/>
          </w:tcPr>
          <w:p w14:paraId="009AF9A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2CCC39A9" w14:textId="77777777" w:rsidR="00BB725F" w:rsidRDefault="00BB725F" w:rsidP="00BB725F">
            <w:pPr>
              <w:spacing w:after="0" w:line="240" w:lineRule="atLeast"/>
              <w:rPr>
                <w:rFonts w:ascii="Times New Roman" w:eastAsia="Times New Roman" w:hAnsi="Times New Roman" w:cs="Times New Roman"/>
                <w:color w:val="0000FF"/>
                <w:sz w:val="20"/>
                <w:szCs w:val="20"/>
                <w:lang w:val="fr-FR"/>
              </w:rPr>
            </w:pPr>
          </w:p>
          <w:p w14:paraId="5467557A" w14:textId="567DA267" w:rsidR="00E07F5E" w:rsidRPr="00BB725F" w:rsidRDefault="00E07F5E"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B4707C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F0351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D47BE8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464093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CC37A1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9B88432" w14:textId="77777777" w:rsidTr="00FD6D88">
        <w:trPr>
          <w:cantSplit/>
        </w:trPr>
        <w:tc>
          <w:tcPr>
            <w:tcW w:w="288" w:type="dxa"/>
          </w:tcPr>
          <w:p w14:paraId="6CC52D8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36FCF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37D59F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AF1F4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F2EAEA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4° Diagnostic de la toxoplasmose oculaire.</w:t>
            </w:r>
          </w:p>
        </w:tc>
        <w:tc>
          <w:tcPr>
            <w:tcW w:w="288" w:type="dxa"/>
            <w:vAlign w:val="bottom"/>
          </w:tcPr>
          <w:p w14:paraId="3CEF771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858AD96" w14:textId="77777777" w:rsidTr="00FD6D88">
        <w:trPr>
          <w:cantSplit/>
        </w:trPr>
        <w:tc>
          <w:tcPr>
            <w:tcW w:w="288" w:type="dxa"/>
          </w:tcPr>
          <w:p w14:paraId="46B4600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0D4118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2B0677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7E25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67B620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66CD5F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6619F74" w14:textId="77777777" w:rsidTr="00FD6D88">
        <w:trPr>
          <w:cantSplit/>
        </w:trPr>
        <w:tc>
          <w:tcPr>
            <w:tcW w:w="288" w:type="dxa"/>
          </w:tcPr>
          <w:p w14:paraId="3D0812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9CC151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5514C1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AE13E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E39421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Patients avec une sérologie positive pour les IgG et lorsque le fond d'oeil suggère une choriorétinite à toxoplasme.</w:t>
            </w:r>
          </w:p>
        </w:tc>
        <w:tc>
          <w:tcPr>
            <w:tcW w:w="288" w:type="dxa"/>
            <w:vAlign w:val="bottom"/>
          </w:tcPr>
          <w:p w14:paraId="25A8C38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23B6F07" w14:textId="77777777" w:rsidTr="00FD6D88">
        <w:trPr>
          <w:cantSplit/>
        </w:trPr>
        <w:tc>
          <w:tcPr>
            <w:tcW w:w="288" w:type="dxa"/>
          </w:tcPr>
          <w:p w14:paraId="7A2F12A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AECB2D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595D8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09693C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BB0026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A59CDD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1A3428E" w14:textId="77777777" w:rsidTr="00FD6D88">
        <w:trPr>
          <w:cantSplit/>
        </w:trPr>
        <w:tc>
          <w:tcPr>
            <w:tcW w:w="288" w:type="dxa"/>
          </w:tcPr>
          <w:p w14:paraId="7D1F2DE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0316A1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2BEAB9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7CADB5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C4E482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prestation par épisode.</w:t>
            </w:r>
            <w:r w:rsidRPr="00BB725F">
              <w:rPr>
                <w:rFonts w:ascii="Arial" w:eastAsia="Times New Roman" w:hAnsi="Arial" w:cs="Times New Roman"/>
                <w:color w:val="0000FF"/>
                <w:sz w:val="20"/>
                <w:szCs w:val="20"/>
                <w:lang w:val="fr-FR"/>
              </w:rPr>
              <w:t>"</w:t>
            </w:r>
          </w:p>
        </w:tc>
        <w:tc>
          <w:tcPr>
            <w:tcW w:w="288" w:type="dxa"/>
            <w:vAlign w:val="bottom"/>
          </w:tcPr>
          <w:p w14:paraId="4232604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9414C1A" w14:textId="77777777" w:rsidTr="00FD6D88">
        <w:trPr>
          <w:cantSplit/>
        </w:trPr>
        <w:tc>
          <w:tcPr>
            <w:tcW w:w="288" w:type="dxa"/>
          </w:tcPr>
          <w:p w14:paraId="0F3D0A1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3B9F42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FD801B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C68DE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83E378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5E4E56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65739EE" w14:textId="77777777" w:rsidTr="00FD6D88">
        <w:trPr>
          <w:cantSplit/>
        </w:trPr>
        <w:tc>
          <w:tcPr>
            <w:tcW w:w="288" w:type="dxa"/>
          </w:tcPr>
          <w:p w14:paraId="6911575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94F780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8BD31F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D33714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98D9DBD"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18.6.2017"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1.8.2017)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78E939B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531BB1F" w14:textId="77777777" w:rsidTr="00FD6D88">
        <w:trPr>
          <w:cantSplit/>
        </w:trPr>
        <w:tc>
          <w:tcPr>
            <w:tcW w:w="288" w:type="dxa"/>
          </w:tcPr>
          <w:p w14:paraId="7B56386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Times New Roman"/>
                <w:color w:val="0000FF"/>
                <w:sz w:val="20"/>
                <w:szCs w:val="20"/>
                <w:lang w:val="nl-NL"/>
              </w:rPr>
              <w:t>"</w:t>
            </w:r>
          </w:p>
        </w:tc>
        <w:tc>
          <w:tcPr>
            <w:tcW w:w="576" w:type="dxa"/>
          </w:tcPr>
          <w:p w14:paraId="35BE923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AFB6CC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556872</w:t>
            </w:r>
          </w:p>
        </w:tc>
        <w:tc>
          <w:tcPr>
            <w:tcW w:w="864" w:type="dxa"/>
          </w:tcPr>
          <w:p w14:paraId="4A897F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556883</w:t>
            </w:r>
          </w:p>
        </w:tc>
        <w:tc>
          <w:tcPr>
            <w:tcW w:w="5472" w:type="dxa"/>
          </w:tcPr>
          <w:p w14:paraId="17E9CD11" w14:textId="77777777" w:rsidR="00BB725F" w:rsidRPr="00BB725F" w:rsidRDefault="00BB725F" w:rsidP="00BB725F">
            <w:pPr>
              <w:spacing w:after="0" w:line="240" w:lineRule="atLeast"/>
              <w:jc w:val="both"/>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Recherche d'acide nucléique de mycobacterium tuberculosis complexe dans des échantillons cliniques</w:t>
            </w:r>
          </w:p>
        </w:tc>
        <w:tc>
          <w:tcPr>
            <w:tcW w:w="288" w:type="dxa"/>
            <w:vAlign w:val="bottom"/>
          </w:tcPr>
          <w:p w14:paraId="7F6CCA8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0BA3B16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21DAAEF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D760F3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8185A8E" w14:textId="77777777" w:rsidTr="00FD6D88">
        <w:trPr>
          <w:cantSplit/>
        </w:trPr>
        <w:tc>
          <w:tcPr>
            <w:tcW w:w="288" w:type="dxa"/>
          </w:tcPr>
          <w:p w14:paraId="2FE45274" w14:textId="77777777" w:rsidR="00BB725F" w:rsidRPr="00BB725F" w:rsidRDefault="00BB725F" w:rsidP="00BB725F">
            <w:pPr>
              <w:spacing w:after="0" w:line="240" w:lineRule="atLeast"/>
              <w:rPr>
                <w:rFonts w:ascii="Arial" w:eastAsia="Times New Roman" w:hAnsi="Arial" w:cs="Times New Roman"/>
                <w:color w:val="0000FF"/>
                <w:sz w:val="20"/>
                <w:szCs w:val="20"/>
                <w:lang w:val="nl-NL"/>
              </w:rPr>
            </w:pPr>
          </w:p>
        </w:tc>
        <w:tc>
          <w:tcPr>
            <w:tcW w:w="576" w:type="dxa"/>
          </w:tcPr>
          <w:p w14:paraId="653BFCD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95F8FA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7216174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548838C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 (Règle de cumul 342)</w:t>
            </w:r>
          </w:p>
        </w:tc>
        <w:tc>
          <w:tcPr>
            <w:tcW w:w="288" w:type="dxa"/>
            <w:vAlign w:val="bottom"/>
          </w:tcPr>
          <w:p w14:paraId="08F68AC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7535AF8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279BCEB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F5557D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A202217" w14:textId="77777777" w:rsidTr="00FD6D88">
        <w:trPr>
          <w:cantSplit/>
        </w:trPr>
        <w:tc>
          <w:tcPr>
            <w:tcW w:w="288" w:type="dxa"/>
          </w:tcPr>
          <w:p w14:paraId="4956C5F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0F4658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AE8922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73B20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250574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F30B1C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7DE3A0B" w14:textId="77777777" w:rsidTr="00FD6D88">
        <w:trPr>
          <w:cantSplit/>
        </w:trPr>
        <w:tc>
          <w:tcPr>
            <w:tcW w:w="288" w:type="dxa"/>
          </w:tcPr>
          <w:p w14:paraId="0DC892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2A000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F35ED3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2DA34A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822535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556872-556883 peut être portée en compte à l'AMI pour un patient ne recevant pas de traitement antituberculeux depuis plus de 7 jours précédents le prélèvement, si :</w:t>
            </w:r>
          </w:p>
        </w:tc>
        <w:tc>
          <w:tcPr>
            <w:tcW w:w="288" w:type="dxa"/>
            <w:vAlign w:val="bottom"/>
          </w:tcPr>
          <w:p w14:paraId="67E5042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E636248" w14:textId="77777777" w:rsidTr="00FD6D88">
        <w:trPr>
          <w:cantSplit/>
        </w:trPr>
        <w:tc>
          <w:tcPr>
            <w:tcW w:w="288" w:type="dxa"/>
          </w:tcPr>
          <w:p w14:paraId="03658F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A50B3A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508B4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A066FB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3F8702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CF4977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E01CBB8" w14:textId="77777777" w:rsidTr="00FD6D88">
        <w:trPr>
          <w:cantSplit/>
        </w:trPr>
        <w:tc>
          <w:tcPr>
            <w:tcW w:w="288" w:type="dxa"/>
          </w:tcPr>
          <w:p w14:paraId="55BE4AE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04B9B1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F88A24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7C68C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70746B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l'examen direct montre la présence de bacilles acido-alcoolo résistants;</w:t>
            </w:r>
          </w:p>
        </w:tc>
        <w:tc>
          <w:tcPr>
            <w:tcW w:w="288" w:type="dxa"/>
            <w:vAlign w:val="bottom"/>
          </w:tcPr>
          <w:p w14:paraId="7D31792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5187DF4" w14:textId="77777777" w:rsidTr="00FD6D88">
        <w:trPr>
          <w:cantSplit/>
        </w:trPr>
        <w:tc>
          <w:tcPr>
            <w:tcW w:w="288" w:type="dxa"/>
          </w:tcPr>
          <w:p w14:paraId="55F14A1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4B4B5D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3AFDB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C8E6A3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E8E419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276DD6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86722D3" w14:textId="77777777" w:rsidTr="00FD6D88">
        <w:trPr>
          <w:cantSplit/>
        </w:trPr>
        <w:tc>
          <w:tcPr>
            <w:tcW w:w="288" w:type="dxa"/>
          </w:tcPr>
          <w:p w14:paraId="37A4C2B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6CE1B5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FB38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FA9440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BA32EC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ou s'il existe une forte suspicion clinique et radiologique de tuberculose;</w:t>
            </w:r>
          </w:p>
        </w:tc>
        <w:tc>
          <w:tcPr>
            <w:tcW w:w="288" w:type="dxa"/>
            <w:vAlign w:val="bottom"/>
          </w:tcPr>
          <w:p w14:paraId="7E46ACF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CECEEE6" w14:textId="77777777" w:rsidTr="00FD6D88">
        <w:trPr>
          <w:cantSplit/>
        </w:trPr>
        <w:tc>
          <w:tcPr>
            <w:tcW w:w="288" w:type="dxa"/>
          </w:tcPr>
          <w:p w14:paraId="27AFEC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30D90C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A77D5D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253981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BFF3F7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A31A0A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8259923" w14:textId="77777777" w:rsidTr="00FD6D88">
        <w:trPr>
          <w:cantSplit/>
        </w:trPr>
        <w:tc>
          <w:tcPr>
            <w:tcW w:w="288" w:type="dxa"/>
          </w:tcPr>
          <w:p w14:paraId="3895CB4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5A4B8A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B4C2E7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A0531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5A17A5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ou si l'échantillon respiratoire a été prélevé par une technique invasive (bronchoscopie, ponction, biopsie).</w:t>
            </w:r>
          </w:p>
        </w:tc>
        <w:tc>
          <w:tcPr>
            <w:tcW w:w="288" w:type="dxa"/>
            <w:vAlign w:val="bottom"/>
          </w:tcPr>
          <w:p w14:paraId="1EDF50A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BDF69BC" w14:textId="77777777" w:rsidTr="00FD6D88">
        <w:trPr>
          <w:cantSplit/>
        </w:trPr>
        <w:tc>
          <w:tcPr>
            <w:tcW w:w="288" w:type="dxa"/>
          </w:tcPr>
          <w:p w14:paraId="5570D3B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476106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06131B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BBD069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DB2587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DF7F0D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51DF26C" w14:textId="77777777" w:rsidTr="00FD6D88">
        <w:trPr>
          <w:cantSplit/>
        </w:trPr>
        <w:tc>
          <w:tcPr>
            <w:tcW w:w="288" w:type="dxa"/>
          </w:tcPr>
          <w:p w14:paraId="64E80DE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56AA1D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6CEF0F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C003C3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012815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556872-556883 peut être portée en compte au maximum 3 fois par an."</w:t>
            </w:r>
          </w:p>
        </w:tc>
        <w:tc>
          <w:tcPr>
            <w:tcW w:w="288" w:type="dxa"/>
            <w:vAlign w:val="bottom"/>
          </w:tcPr>
          <w:p w14:paraId="30F9AAE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ABF3F57" w14:textId="77777777" w:rsidTr="00FD6D88">
        <w:trPr>
          <w:cantSplit/>
        </w:trPr>
        <w:tc>
          <w:tcPr>
            <w:tcW w:w="288" w:type="dxa"/>
          </w:tcPr>
          <w:p w14:paraId="18EA144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718586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C056B1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6EA709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AEDB71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C9567E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5A83FF6" w14:textId="77777777" w:rsidTr="00FD6D88">
        <w:trPr>
          <w:cantSplit/>
        </w:trPr>
        <w:tc>
          <w:tcPr>
            <w:tcW w:w="288" w:type="dxa"/>
          </w:tcPr>
          <w:p w14:paraId="05EDB83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BC0ADA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9D2EF2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C2DA54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E2B57CE"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25.1.2019"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1.4.2019)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0FD47C1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04CF97F" w14:textId="77777777" w:rsidTr="00FD6D88">
        <w:trPr>
          <w:cantSplit/>
        </w:trPr>
        <w:tc>
          <w:tcPr>
            <w:tcW w:w="288" w:type="dxa"/>
          </w:tcPr>
          <w:p w14:paraId="02AAAB8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Times New Roman"/>
                <w:color w:val="0000FF"/>
                <w:sz w:val="20"/>
                <w:szCs w:val="20"/>
                <w:lang w:val="nl-NL"/>
              </w:rPr>
              <w:t>"</w:t>
            </w:r>
          </w:p>
        </w:tc>
        <w:tc>
          <w:tcPr>
            <w:tcW w:w="576" w:type="dxa"/>
          </w:tcPr>
          <w:p w14:paraId="6882B70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9B54E3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556894</w:t>
            </w:r>
          </w:p>
        </w:tc>
        <w:tc>
          <w:tcPr>
            <w:tcW w:w="864" w:type="dxa"/>
          </w:tcPr>
          <w:p w14:paraId="3B871C7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556905</w:t>
            </w:r>
          </w:p>
        </w:tc>
        <w:tc>
          <w:tcPr>
            <w:tcW w:w="5472" w:type="dxa"/>
          </w:tcPr>
          <w:p w14:paraId="495C55A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quantitative du cytomegalovirus dans le sang au moyen d'une méthode d'amplification moléculaire</w:t>
            </w:r>
          </w:p>
        </w:tc>
        <w:tc>
          <w:tcPr>
            <w:tcW w:w="288" w:type="dxa"/>
            <w:vAlign w:val="bottom"/>
          </w:tcPr>
          <w:p w14:paraId="764EBFA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61A8D2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03A51EC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70999DF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EFD8FE9" w14:textId="77777777" w:rsidTr="00FD6D88">
        <w:trPr>
          <w:cantSplit/>
        </w:trPr>
        <w:tc>
          <w:tcPr>
            <w:tcW w:w="288" w:type="dxa"/>
          </w:tcPr>
          <w:p w14:paraId="340C59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8E4815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141F4C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6A58C697"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6AC78D8F"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048E86B6"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6AD2ACFC"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2F433A9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12B237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38D0418" w14:textId="77777777" w:rsidTr="00FD6D88">
        <w:trPr>
          <w:cantSplit/>
        </w:trPr>
        <w:tc>
          <w:tcPr>
            <w:tcW w:w="288" w:type="dxa"/>
          </w:tcPr>
          <w:p w14:paraId="5086B02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5A202E6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FA09FF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024FD2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6108CC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556894-556905 ne peut être portée en compte que chez des patients ayant bénéficié d'une transplantation d'organe. Pour les patients sans traitement prophylactique, elle peut être portée en compte au maximum 23 fois durant la première année suivant la transplantation, et ensuite au maximum 12 fois par an pendant deux ans. Pour les patients avec traitement prophylactique, elle peut être portée en compte au maximum 4 fois par an durant les 3 années suivant la transplantation.</w:t>
            </w:r>
          </w:p>
        </w:tc>
        <w:tc>
          <w:tcPr>
            <w:tcW w:w="288" w:type="dxa"/>
            <w:vAlign w:val="bottom"/>
          </w:tcPr>
          <w:p w14:paraId="53F5460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42D53C82" w14:textId="77777777" w:rsidTr="00FD6D88">
        <w:trPr>
          <w:cantSplit/>
        </w:trPr>
        <w:tc>
          <w:tcPr>
            <w:tcW w:w="288" w:type="dxa"/>
          </w:tcPr>
          <w:p w14:paraId="53E2B60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B6D216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4A81D00"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206D7101"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2194EB56"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69151004"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6814581F"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6F8581F6"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6FD7BF5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3E4BA65" w14:textId="77777777" w:rsidTr="00FD6D88">
        <w:trPr>
          <w:cantSplit/>
        </w:trPr>
        <w:tc>
          <w:tcPr>
            <w:tcW w:w="288" w:type="dxa"/>
          </w:tcPr>
          <w:p w14:paraId="097F2C7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ED9473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08CEF9B"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556916</w:t>
            </w:r>
          </w:p>
        </w:tc>
        <w:tc>
          <w:tcPr>
            <w:tcW w:w="864" w:type="dxa"/>
          </w:tcPr>
          <w:p w14:paraId="59D0C7D4"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556920</w:t>
            </w:r>
          </w:p>
        </w:tc>
        <w:tc>
          <w:tcPr>
            <w:tcW w:w="5472" w:type="dxa"/>
          </w:tcPr>
          <w:p w14:paraId="398EE48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quantitative du virus d'Ebstein-Barr dans le sang au moyen d'une méthode d'amplification moléculaire</w:t>
            </w:r>
          </w:p>
        </w:tc>
        <w:tc>
          <w:tcPr>
            <w:tcW w:w="288" w:type="dxa"/>
            <w:vAlign w:val="bottom"/>
          </w:tcPr>
          <w:p w14:paraId="39E2316A"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358E7A96"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3601A67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785C9C4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A4CA8A0" w14:textId="77777777" w:rsidTr="00FD6D88">
        <w:trPr>
          <w:cantSplit/>
        </w:trPr>
        <w:tc>
          <w:tcPr>
            <w:tcW w:w="288" w:type="dxa"/>
          </w:tcPr>
          <w:p w14:paraId="48CF83B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BFDDBB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4E24D67"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68C0270E"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2EA73E98"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61192662"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1CE25D4A"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332191A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29DCE51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0A78618" w14:textId="77777777" w:rsidTr="00FD6D88">
        <w:trPr>
          <w:cantSplit/>
        </w:trPr>
        <w:tc>
          <w:tcPr>
            <w:tcW w:w="288" w:type="dxa"/>
          </w:tcPr>
          <w:p w14:paraId="09EDC7B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214475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F00EE5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1C3E8A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3C235B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556916-556920 ne peut être portée en compte que chez des patients séronégatifs ayant bénéficié d'une transplantation d'organe. Elle peut être portée en compte au maximum 8 fois durant la première année suivant la transplantation, et ensuite au maximum 4 fois par an pendant deux ans.</w:t>
            </w:r>
          </w:p>
        </w:tc>
        <w:tc>
          <w:tcPr>
            <w:tcW w:w="288" w:type="dxa"/>
            <w:vAlign w:val="bottom"/>
          </w:tcPr>
          <w:p w14:paraId="1C93E43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714EAD7C" w14:textId="77777777" w:rsidTr="00FD6D88">
        <w:trPr>
          <w:cantSplit/>
        </w:trPr>
        <w:tc>
          <w:tcPr>
            <w:tcW w:w="288" w:type="dxa"/>
          </w:tcPr>
          <w:p w14:paraId="65D03EA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1016BB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E8DD81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12A6F1CD"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2996FA7C"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2014414D"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4419E56D"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30835C8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A80913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8E7AC98" w14:textId="77777777" w:rsidTr="00FD6D88">
        <w:trPr>
          <w:cantSplit/>
        </w:trPr>
        <w:tc>
          <w:tcPr>
            <w:tcW w:w="288" w:type="dxa"/>
          </w:tcPr>
          <w:p w14:paraId="7262601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30D178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4BEF9A"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556931</w:t>
            </w:r>
          </w:p>
        </w:tc>
        <w:tc>
          <w:tcPr>
            <w:tcW w:w="864" w:type="dxa"/>
          </w:tcPr>
          <w:p w14:paraId="4433E02E"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556942</w:t>
            </w:r>
          </w:p>
        </w:tc>
        <w:tc>
          <w:tcPr>
            <w:tcW w:w="5472" w:type="dxa"/>
          </w:tcPr>
          <w:p w14:paraId="152C1A8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quantitative du BK polyomavirus dans le sang au moyen d'une méthode d'amplification moléculaire</w:t>
            </w:r>
          </w:p>
        </w:tc>
        <w:tc>
          <w:tcPr>
            <w:tcW w:w="288" w:type="dxa"/>
            <w:vAlign w:val="bottom"/>
          </w:tcPr>
          <w:p w14:paraId="58019FE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515F4C7C"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5006116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3D68CE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4221EC7" w14:textId="77777777" w:rsidTr="00FD6D88">
        <w:trPr>
          <w:cantSplit/>
        </w:trPr>
        <w:tc>
          <w:tcPr>
            <w:tcW w:w="288" w:type="dxa"/>
          </w:tcPr>
          <w:p w14:paraId="5AD50BA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A2DB82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6FD7A05"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453ED5D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169EE357"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68843D98"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343BEAE1"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9AE7A7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59D71C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19D59EC" w14:textId="77777777" w:rsidTr="00FD6D88">
        <w:trPr>
          <w:cantSplit/>
        </w:trPr>
        <w:tc>
          <w:tcPr>
            <w:tcW w:w="288" w:type="dxa"/>
          </w:tcPr>
          <w:p w14:paraId="5C03A96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1387EB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6073C7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54B1E91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8488E9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2942D20"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2993E36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29883B97"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6A62E0C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6E5612B9"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7193AA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DEB941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A77C20F" w14:textId="77777777" w:rsidTr="00FD6D88">
        <w:trPr>
          <w:cantSplit/>
        </w:trPr>
        <w:tc>
          <w:tcPr>
            <w:tcW w:w="288" w:type="dxa"/>
          </w:tcPr>
          <w:p w14:paraId="3C8FA09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6D1032B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175A3D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91B4C8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6754376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556931-556942 ne peut être portée en compte que chez des patients ayant bénéficié d'une transplantation rénale. Elle peut être portée en compte au maximum 4 fois par an durant les deux années suivant la transplantation, et ensuite au maximum 1 fois par an pendant 1 an.</w:t>
            </w:r>
          </w:p>
        </w:tc>
        <w:tc>
          <w:tcPr>
            <w:tcW w:w="288" w:type="dxa"/>
            <w:vAlign w:val="bottom"/>
          </w:tcPr>
          <w:p w14:paraId="24DD57A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B0CD6F5" w14:textId="77777777" w:rsidTr="00FD6D88">
        <w:trPr>
          <w:cantSplit/>
        </w:trPr>
        <w:tc>
          <w:tcPr>
            <w:tcW w:w="288" w:type="dxa"/>
          </w:tcPr>
          <w:p w14:paraId="3F5C9BF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ED8C08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C5FCF4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42A04391"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194CEAEB"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36DCF9A9"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56629C63"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2016738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85BF68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6B6A5E6" w14:textId="77777777" w:rsidTr="00FD6D88">
        <w:trPr>
          <w:cantSplit/>
        </w:trPr>
        <w:tc>
          <w:tcPr>
            <w:tcW w:w="288" w:type="dxa"/>
          </w:tcPr>
          <w:p w14:paraId="569F46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76FD3D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81F140E"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556953</w:t>
            </w:r>
          </w:p>
        </w:tc>
        <w:tc>
          <w:tcPr>
            <w:tcW w:w="864" w:type="dxa"/>
          </w:tcPr>
          <w:p w14:paraId="3B515054"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556964</w:t>
            </w:r>
          </w:p>
        </w:tc>
        <w:tc>
          <w:tcPr>
            <w:tcW w:w="5472" w:type="dxa"/>
          </w:tcPr>
          <w:p w14:paraId="398367E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d'agent infectieux dans le liquide de lavage broncho-alvéolaire au moyen d'une méthode d'amplification moléculaire, le premier agent infectieux</w:t>
            </w:r>
          </w:p>
        </w:tc>
        <w:tc>
          <w:tcPr>
            <w:tcW w:w="288" w:type="dxa"/>
            <w:vAlign w:val="bottom"/>
          </w:tcPr>
          <w:p w14:paraId="0136DEE5"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3111AAF8"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0DD8B34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D627F3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4A299EF" w14:textId="77777777" w:rsidTr="00FD6D88">
        <w:trPr>
          <w:cantSplit/>
        </w:trPr>
        <w:tc>
          <w:tcPr>
            <w:tcW w:w="288" w:type="dxa"/>
          </w:tcPr>
          <w:p w14:paraId="38074C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B203C2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EAF91C1"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60779C2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67AEC54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w:t>
            </w:r>
          </w:p>
        </w:tc>
        <w:tc>
          <w:tcPr>
            <w:tcW w:w="288" w:type="dxa"/>
            <w:vAlign w:val="bottom"/>
          </w:tcPr>
          <w:p w14:paraId="36D2523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3DA7D3C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6A74590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C8926C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B867339" w14:textId="77777777" w:rsidTr="00FD6D88">
        <w:trPr>
          <w:cantSplit/>
        </w:trPr>
        <w:tc>
          <w:tcPr>
            <w:tcW w:w="288" w:type="dxa"/>
          </w:tcPr>
          <w:p w14:paraId="6CF82B4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7A1519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C4893D"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58D1D28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0485ADE8"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176D473E"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5652E492"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4517A71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77195A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B9B1ACA" w14:textId="77777777" w:rsidTr="00FD6D88">
        <w:trPr>
          <w:cantSplit/>
        </w:trPr>
        <w:tc>
          <w:tcPr>
            <w:tcW w:w="288" w:type="dxa"/>
          </w:tcPr>
          <w:p w14:paraId="0FFEFF7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49C379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80CE216"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556975</w:t>
            </w:r>
          </w:p>
        </w:tc>
        <w:tc>
          <w:tcPr>
            <w:tcW w:w="864" w:type="dxa"/>
          </w:tcPr>
          <w:p w14:paraId="614A3E1B"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556986</w:t>
            </w:r>
          </w:p>
        </w:tc>
        <w:tc>
          <w:tcPr>
            <w:tcW w:w="5472" w:type="dxa"/>
          </w:tcPr>
          <w:p w14:paraId="783D830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rPr>
              <w:t>Détection d’agent infectieux supplémentaire dans le liquide de lavage broncho-alvéolaire au moyen d’une méthode d’amplification moléculaire, par agent</w:t>
            </w:r>
          </w:p>
        </w:tc>
        <w:tc>
          <w:tcPr>
            <w:tcW w:w="288" w:type="dxa"/>
            <w:vAlign w:val="bottom"/>
          </w:tcPr>
          <w:p w14:paraId="6AD868A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0B32AE4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300</w:t>
            </w:r>
          </w:p>
        </w:tc>
        <w:tc>
          <w:tcPr>
            <w:tcW w:w="288" w:type="dxa"/>
            <w:vAlign w:val="bottom"/>
          </w:tcPr>
          <w:p w14:paraId="325384E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91F2A0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E87ECEF" w14:textId="77777777" w:rsidTr="00FD6D88">
        <w:trPr>
          <w:cantSplit/>
        </w:trPr>
        <w:tc>
          <w:tcPr>
            <w:tcW w:w="288" w:type="dxa"/>
          </w:tcPr>
          <w:p w14:paraId="185F9A9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6BA593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5FD5BF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73BDC30E"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51F0F6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7)</w:t>
            </w:r>
          </w:p>
        </w:tc>
        <w:tc>
          <w:tcPr>
            <w:tcW w:w="288" w:type="dxa"/>
            <w:vAlign w:val="bottom"/>
          </w:tcPr>
          <w:p w14:paraId="2427EE15"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2AE55A1F"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3BBF1D7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2DDA6601"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E245E6A" w14:textId="77777777" w:rsidTr="00FD6D88">
        <w:trPr>
          <w:cantSplit/>
        </w:trPr>
        <w:tc>
          <w:tcPr>
            <w:tcW w:w="288" w:type="dxa"/>
          </w:tcPr>
          <w:p w14:paraId="2F996BF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BD0704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66F089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1CA94B5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25BB40C3"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1BB0469E"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5491E3B4"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BD9551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BA2585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66E9F3B" w14:textId="77777777" w:rsidTr="00FD6D88">
        <w:trPr>
          <w:cantSplit/>
        </w:trPr>
        <w:tc>
          <w:tcPr>
            <w:tcW w:w="288" w:type="dxa"/>
          </w:tcPr>
          <w:p w14:paraId="5447140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45D80C6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C60F70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EF0B98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740B4E6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prestations 556953-556964 et 556975-556986 ne peuvent être portées en compte que chez des patients ayant bénéficié d'une transplantation d'organe.</w:t>
            </w:r>
          </w:p>
        </w:tc>
        <w:tc>
          <w:tcPr>
            <w:tcW w:w="288" w:type="dxa"/>
            <w:vAlign w:val="bottom"/>
          </w:tcPr>
          <w:p w14:paraId="70CBD31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FC5ECC5" w14:textId="77777777" w:rsidTr="00FD6D88">
        <w:trPr>
          <w:cantSplit/>
        </w:trPr>
        <w:tc>
          <w:tcPr>
            <w:tcW w:w="288" w:type="dxa"/>
          </w:tcPr>
          <w:p w14:paraId="6CDF6DF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28AFD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93DC72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120E9FAE"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56108EA2"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543CAE13"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36EEE4D9"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05CE196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EB20DB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A620FD3" w14:textId="77777777" w:rsidTr="00FD6D88">
        <w:trPr>
          <w:cantSplit/>
        </w:trPr>
        <w:tc>
          <w:tcPr>
            <w:tcW w:w="288" w:type="dxa"/>
          </w:tcPr>
          <w:p w14:paraId="071904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5D35DC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8C11AC4"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556990</w:t>
            </w:r>
          </w:p>
        </w:tc>
        <w:tc>
          <w:tcPr>
            <w:tcW w:w="864" w:type="dxa"/>
          </w:tcPr>
          <w:p w14:paraId="232CC6FE"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557001</w:t>
            </w:r>
          </w:p>
        </w:tc>
        <w:tc>
          <w:tcPr>
            <w:tcW w:w="5472" w:type="dxa"/>
          </w:tcPr>
          <w:p w14:paraId="07DAC66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quantitative de l'adénovirus dans le sang au moyen d'une méthode d'amplification moléculaire</w:t>
            </w:r>
          </w:p>
        </w:tc>
        <w:tc>
          <w:tcPr>
            <w:tcW w:w="288" w:type="dxa"/>
            <w:vAlign w:val="bottom"/>
          </w:tcPr>
          <w:p w14:paraId="6EFB40BA"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37EF0673"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2000</w:t>
            </w:r>
          </w:p>
        </w:tc>
        <w:tc>
          <w:tcPr>
            <w:tcW w:w="288" w:type="dxa"/>
            <w:vAlign w:val="bottom"/>
          </w:tcPr>
          <w:p w14:paraId="67D72C6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44CEBE2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0C48CF3" w14:textId="77777777" w:rsidTr="00FD6D88">
        <w:trPr>
          <w:cantSplit/>
        </w:trPr>
        <w:tc>
          <w:tcPr>
            <w:tcW w:w="288" w:type="dxa"/>
          </w:tcPr>
          <w:p w14:paraId="2F05DED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F4248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CDC9147"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34BE52C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047B1549"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00EC355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00C6F758"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6C0B88F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1915DB4"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64966EF" w14:textId="77777777" w:rsidTr="00FD6D88">
        <w:trPr>
          <w:cantSplit/>
        </w:trPr>
        <w:tc>
          <w:tcPr>
            <w:tcW w:w="288" w:type="dxa"/>
          </w:tcPr>
          <w:p w14:paraId="5F5FEF7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E73648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BE3776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067F89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FB89AB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556990-557001 ne peut être portée en compte que chez des patients ayant bénéficié d'une transplantation de foie en cas de suspicion d'infection invasive par l'adénovirus. Elle peut être portée en compte au maximum 5 fois par épisode infectieux.</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28141A8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545C1C75" w14:textId="77777777" w:rsidTr="00FD6D88">
        <w:trPr>
          <w:cantSplit/>
        </w:trPr>
        <w:tc>
          <w:tcPr>
            <w:tcW w:w="288" w:type="dxa"/>
          </w:tcPr>
          <w:p w14:paraId="68FEAEC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D83B48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0B072C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C304C2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3E66AC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99B42B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2641125E" w14:textId="77777777" w:rsidTr="00FD6D88">
        <w:trPr>
          <w:cantSplit/>
        </w:trPr>
        <w:tc>
          <w:tcPr>
            <w:tcW w:w="288" w:type="dxa"/>
          </w:tcPr>
          <w:p w14:paraId="6CBC9F9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B42B9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9E26AD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E28D1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F0B6B6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242478F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F35C597" w14:textId="77777777" w:rsidTr="00FD6D88">
        <w:trPr>
          <w:cantSplit/>
        </w:trPr>
        <w:tc>
          <w:tcPr>
            <w:tcW w:w="288" w:type="dxa"/>
          </w:tcPr>
          <w:p w14:paraId="296A5EF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bookmarkStart w:id="2" w:name="_Hlk126055649"/>
            <w:r w:rsidRPr="00BB725F">
              <w:rPr>
                <w:rFonts w:ascii="Times New Roman" w:eastAsia="Times New Roman" w:hAnsi="Times New Roman" w:cs="Times New Roman"/>
                <w:color w:val="0000FF"/>
                <w:sz w:val="20"/>
                <w:szCs w:val="20"/>
                <w:lang w:val="fr-FR"/>
              </w:rPr>
              <w:t>"</w:t>
            </w:r>
          </w:p>
        </w:tc>
        <w:tc>
          <w:tcPr>
            <w:tcW w:w="576" w:type="dxa"/>
          </w:tcPr>
          <w:p w14:paraId="70C8FF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9F5CAFD"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557071</w:t>
            </w:r>
          </w:p>
        </w:tc>
        <w:tc>
          <w:tcPr>
            <w:tcW w:w="864" w:type="dxa"/>
          </w:tcPr>
          <w:p w14:paraId="15792C59"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557082</w:t>
            </w:r>
          </w:p>
        </w:tc>
        <w:tc>
          <w:tcPr>
            <w:tcW w:w="5472" w:type="dxa"/>
          </w:tcPr>
          <w:p w14:paraId="64A6FD0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des agents infectieux dans le sang par amplification moléculaire chez des patients ayant bénéficié d’une transplantation allogène de cellules souches</w:t>
            </w:r>
          </w:p>
        </w:tc>
        <w:tc>
          <w:tcPr>
            <w:tcW w:w="288" w:type="dxa"/>
            <w:vAlign w:val="bottom"/>
          </w:tcPr>
          <w:p w14:paraId="7546570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26848A32"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1000</w:t>
            </w:r>
          </w:p>
        </w:tc>
        <w:tc>
          <w:tcPr>
            <w:tcW w:w="288" w:type="dxa"/>
            <w:vAlign w:val="bottom"/>
          </w:tcPr>
          <w:p w14:paraId="45B668E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01E3E787"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4012EA6" w14:textId="77777777" w:rsidTr="00FD6D88">
        <w:trPr>
          <w:cantSplit/>
        </w:trPr>
        <w:tc>
          <w:tcPr>
            <w:tcW w:w="288" w:type="dxa"/>
          </w:tcPr>
          <w:p w14:paraId="6CE9F76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6C4976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EF085B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0C465B4E"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02297E0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(Règle de cumul 114)</w:t>
            </w:r>
          </w:p>
        </w:tc>
        <w:tc>
          <w:tcPr>
            <w:tcW w:w="288" w:type="dxa"/>
            <w:vAlign w:val="bottom"/>
          </w:tcPr>
          <w:p w14:paraId="0CD593D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78954DC9"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12D60F1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90D083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10C34BC" w14:textId="77777777" w:rsidTr="00FD6D88">
        <w:trPr>
          <w:cantSplit/>
        </w:trPr>
        <w:tc>
          <w:tcPr>
            <w:tcW w:w="288" w:type="dxa"/>
          </w:tcPr>
          <w:p w14:paraId="7C677C2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911F86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1741995"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4E06348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5F192EB9" w14:textId="77777777" w:rsidR="00BB725F" w:rsidRPr="00BB725F" w:rsidRDefault="00BB725F" w:rsidP="00BB725F">
            <w:pPr>
              <w:spacing w:after="0" w:line="240" w:lineRule="atLeast"/>
              <w:jc w:val="both"/>
              <w:rPr>
                <w:rFonts w:ascii="Arial" w:eastAsia="Times New Roman" w:hAnsi="Arial" w:cs="Arial"/>
                <w:sz w:val="20"/>
                <w:szCs w:val="20"/>
              </w:rPr>
            </w:pPr>
          </w:p>
        </w:tc>
        <w:tc>
          <w:tcPr>
            <w:tcW w:w="288" w:type="dxa"/>
            <w:vAlign w:val="bottom"/>
          </w:tcPr>
          <w:p w14:paraId="642264B1"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167DD35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42064F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9CDA3A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E31608A" w14:textId="77777777" w:rsidTr="00FD6D88">
        <w:trPr>
          <w:cantSplit/>
        </w:trPr>
        <w:tc>
          <w:tcPr>
            <w:tcW w:w="288" w:type="dxa"/>
          </w:tcPr>
          <w:p w14:paraId="4C4FB57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8F14D4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C2F7BA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4A8B3F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670C672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557071-557082 peut être attestée au maximum 80 fois pendant la période de 4 mois à compter du jour de la transplantation.</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61DD9F3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6DA54BDE" w14:textId="77777777" w:rsidTr="00FD6D88">
        <w:trPr>
          <w:cantSplit/>
        </w:trPr>
        <w:tc>
          <w:tcPr>
            <w:tcW w:w="288" w:type="dxa"/>
          </w:tcPr>
          <w:p w14:paraId="17514F0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551583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CB146C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7F577F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F073A1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34D0AD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735DA99" w14:textId="77777777" w:rsidTr="00FD6D88">
        <w:trPr>
          <w:cantSplit/>
        </w:trPr>
        <w:tc>
          <w:tcPr>
            <w:tcW w:w="288" w:type="dxa"/>
          </w:tcPr>
          <w:p w14:paraId="795C705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A4FB59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EF5596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573F3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C60A7D3"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25.1.2019"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1.4.2019) +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231351C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bookmarkEnd w:id="2"/>
      <w:tr w:rsidR="00BB725F" w:rsidRPr="00BB725F" w14:paraId="4ABFD88C" w14:textId="77777777" w:rsidTr="00FD6D88">
        <w:trPr>
          <w:cantSplit/>
        </w:trPr>
        <w:tc>
          <w:tcPr>
            <w:tcW w:w="288" w:type="dxa"/>
          </w:tcPr>
          <w:p w14:paraId="280FF11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r w:rsidRPr="00BB725F">
              <w:rPr>
                <w:rFonts w:ascii="Times New Roman" w:eastAsia="Times New Roman" w:hAnsi="Times New Roman" w:cs="Times New Roman"/>
                <w:color w:val="0000FF"/>
                <w:sz w:val="20"/>
                <w:szCs w:val="20"/>
              </w:rPr>
              <w:t>"</w:t>
            </w:r>
          </w:p>
        </w:tc>
        <w:tc>
          <w:tcPr>
            <w:tcW w:w="576" w:type="dxa"/>
          </w:tcPr>
          <w:p w14:paraId="06A1644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89034C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557034</w:t>
            </w:r>
          </w:p>
        </w:tc>
        <w:tc>
          <w:tcPr>
            <w:tcW w:w="864" w:type="dxa"/>
          </w:tcPr>
          <w:p w14:paraId="4F46B43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557045</w:t>
            </w:r>
          </w:p>
        </w:tc>
        <w:tc>
          <w:tcPr>
            <w:tcW w:w="5472" w:type="dxa"/>
          </w:tcPr>
          <w:p w14:paraId="667C01F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Dépistage de la bactérie Bordetella pertussis par frottis nasopharyngé postérieur, rinçage nasopharyngé, aspiration nasopharyngée, lavage broncho-alvéolaire ou aspiration bronchique, à l'exclusion de frottis nasaux ou de gorge ou de tout autre échantillon</w:t>
            </w:r>
          </w:p>
        </w:tc>
        <w:tc>
          <w:tcPr>
            <w:tcW w:w="288" w:type="dxa"/>
            <w:vAlign w:val="bottom"/>
          </w:tcPr>
          <w:p w14:paraId="3E650B3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56D3C8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0AB84D0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B6EF52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5F08CE3" w14:textId="77777777" w:rsidTr="00FD6D88">
        <w:trPr>
          <w:cantSplit/>
        </w:trPr>
        <w:tc>
          <w:tcPr>
            <w:tcW w:w="288" w:type="dxa"/>
          </w:tcPr>
          <w:p w14:paraId="3CE3449B" w14:textId="77777777" w:rsidR="00BB725F" w:rsidRPr="00BB725F" w:rsidRDefault="00BB725F" w:rsidP="00BB725F">
            <w:pPr>
              <w:spacing w:after="0" w:line="240" w:lineRule="atLeast"/>
              <w:rPr>
                <w:rFonts w:ascii="Arial" w:eastAsia="Times New Roman" w:hAnsi="Arial" w:cs="Times New Roman"/>
                <w:color w:val="0000FF"/>
                <w:sz w:val="20"/>
                <w:szCs w:val="20"/>
                <w:lang w:val="nl-NL"/>
              </w:rPr>
            </w:pPr>
          </w:p>
        </w:tc>
        <w:tc>
          <w:tcPr>
            <w:tcW w:w="576" w:type="dxa"/>
          </w:tcPr>
          <w:p w14:paraId="75CBCEA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6C4403A"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51E0BD4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35C9F5D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FE99AB8"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5FE1353F"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5DC498C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5A2559B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E3942FB" w14:textId="77777777" w:rsidTr="00FD6D88">
        <w:trPr>
          <w:cantSplit/>
        </w:trPr>
        <w:tc>
          <w:tcPr>
            <w:tcW w:w="288" w:type="dxa"/>
          </w:tcPr>
          <w:p w14:paraId="5859C98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79499C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6ADB61E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D48684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DD592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Cette prestation peut uniquement être effectuée dans les circonstances suivantes :</w:t>
            </w:r>
          </w:p>
        </w:tc>
        <w:tc>
          <w:tcPr>
            <w:tcW w:w="288" w:type="dxa"/>
            <w:vAlign w:val="bottom"/>
          </w:tcPr>
          <w:p w14:paraId="655CA52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4E2E050C" w14:textId="77777777" w:rsidTr="00FD6D88">
        <w:trPr>
          <w:cantSplit/>
        </w:trPr>
        <w:tc>
          <w:tcPr>
            <w:tcW w:w="288" w:type="dxa"/>
          </w:tcPr>
          <w:p w14:paraId="65CB614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4660200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0B8DB8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ECB562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9B4534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5EADD0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3EA2934" w14:textId="77777777" w:rsidTr="00FD6D88">
        <w:trPr>
          <w:cantSplit/>
        </w:trPr>
        <w:tc>
          <w:tcPr>
            <w:tcW w:w="288" w:type="dxa"/>
          </w:tcPr>
          <w:p w14:paraId="56847D7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3CF265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CFE89B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BF6B8A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0315CF5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chez un enfant âgé de moins de 16 ans présentant des symptômes compatibles avec la coqueluche pendant plus de 6 jours et moins de 22 jours, à condition qu'il n'ait pas été vacciné au cours des 3 dernières années ;</w:t>
            </w:r>
          </w:p>
        </w:tc>
        <w:tc>
          <w:tcPr>
            <w:tcW w:w="288" w:type="dxa"/>
            <w:vAlign w:val="bottom"/>
          </w:tcPr>
          <w:p w14:paraId="76BFB75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20CE6418" w14:textId="77777777" w:rsidTr="00FD6D88">
        <w:trPr>
          <w:cantSplit/>
        </w:trPr>
        <w:tc>
          <w:tcPr>
            <w:tcW w:w="288" w:type="dxa"/>
          </w:tcPr>
          <w:p w14:paraId="393B862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B95A2D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693E4F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2C2FA8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D119BA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78D3F9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62253B8" w14:textId="77777777" w:rsidTr="00FD6D88">
        <w:trPr>
          <w:cantSplit/>
        </w:trPr>
        <w:tc>
          <w:tcPr>
            <w:tcW w:w="288" w:type="dxa"/>
          </w:tcPr>
          <w:p w14:paraId="28E2C27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E4A14B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B0A462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432993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42DAD2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chez un enfant âgé de moins de 1 an qui n'a pas été vacciné ou qui n'a été vacciné que partiellement (moins de 3 doses) présentant des symptômes catarrhaux suivis de nausées, bradycardie ou d'apnée(s).</w:t>
            </w:r>
          </w:p>
        </w:tc>
        <w:tc>
          <w:tcPr>
            <w:tcW w:w="288" w:type="dxa"/>
            <w:vAlign w:val="bottom"/>
          </w:tcPr>
          <w:p w14:paraId="77586B8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41765DE7" w14:textId="77777777" w:rsidTr="00FD6D88">
        <w:trPr>
          <w:cantSplit/>
        </w:trPr>
        <w:tc>
          <w:tcPr>
            <w:tcW w:w="288" w:type="dxa"/>
          </w:tcPr>
          <w:p w14:paraId="3DF2718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8F9AD3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D77162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C98F98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3AAA94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352E04A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22A7EF2" w14:textId="77777777" w:rsidTr="00FD6D88">
        <w:trPr>
          <w:cantSplit/>
        </w:trPr>
        <w:tc>
          <w:tcPr>
            <w:tcW w:w="288" w:type="dxa"/>
          </w:tcPr>
          <w:p w14:paraId="74FD46D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392F9A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881206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CC54FA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88EC9D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8E2DC4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0011F85B" w14:textId="77777777" w:rsidTr="00FD6D88">
        <w:trPr>
          <w:cantSplit/>
        </w:trPr>
        <w:tc>
          <w:tcPr>
            <w:tcW w:w="288" w:type="dxa"/>
          </w:tcPr>
          <w:p w14:paraId="0354BEE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652BF46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624C5A3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62D699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739750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A condition qu'ils n'aient pas subi une thérapie de 5 jours ou plus par macrolides ou triméthoprimes/sulfaméthoxazoles.</w:t>
            </w:r>
          </w:p>
        </w:tc>
        <w:tc>
          <w:tcPr>
            <w:tcW w:w="288" w:type="dxa"/>
            <w:vAlign w:val="bottom"/>
          </w:tcPr>
          <w:p w14:paraId="324AF12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6408ED05" w14:textId="77777777" w:rsidTr="00FD6D88">
        <w:trPr>
          <w:cantSplit/>
        </w:trPr>
        <w:tc>
          <w:tcPr>
            <w:tcW w:w="288" w:type="dxa"/>
          </w:tcPr>
          <w:p w14:paraId="4C715B5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3CA708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84CA51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F6560D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F40955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BADC26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62C38CA3" w14:textId="77777777" w:rsidTr="00FD6D88">
        <w:trPr>
          <w:cantSplit/>
        </w:trPr>
        <w:tc>
          <w:tcPr>
            <w:tcW w:w="288" w:type="dxa"/>
          </w:tcPr>
          <w:p w14:paraId="4579CAB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6C625F3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4EAA1B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8498A1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08448F0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Uniquement sur prescription du pédiatre.</w:t>
            </w:r>
          </w:p>
        </w:tc>
        <w:tc>
          <w:tcPr>
            <w:tcW w:w="288" w:type="dxa"/>
            <w:vAlign w:val="bottom"/>
          </w:tcPr>
          <w:p w14:paraId="4930734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37F1E0C" w14:textId="77777777" w:rsidTr="00FD6D88">
        <w:trPr>
          <w:cantSplit/>
        </w:trPr>
        <w:tc>
          <w:tcPr>
            <w:tcW w:w="288" w:type="dxa"/>
          </w:tcPr>
          <w:p w14:paraId="02F7303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60028AF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C9B35A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965159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5F9185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028ACF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73F44F3A" w14:textId="77777777" w:rsidTr="00FD6D88">
        <w:trPr>
          <w:cantSplit/>
        </w:trPr>
        <w:tc>
          <w:tcPr>
            <w:tcW w:w="288" w:type="dxa"/>
          </w:tcPr>
          <w:p w14:paraId="2EB0884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4569E74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ADBACC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87FF11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F4FB11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Une seule fois par phase d'investigation diagnostique."</w:t>
            </w:r>
          </w:p>
        </w:tc>
        <w:tc>
          <w:tcPr>
            <w:tcW w:w="288" w:type="dxa"/>
            <w:vAlign w:val="bottom"/>
          </w:tcPr>
          <w:p w14:paraId="3F4923E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BB052A3" w14:textId="77777777" w:rsidTr="00FD6D88">
        <w:trPr>
          <w:cantSplit/>
        </w:trPr>
        <w:tc>
          <w:tcPr>
            <w:tcW w:w="288" w:type="dxa"/>
          </w:tcPr>
          <w:p w14:paraId="7E90683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FBFC4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08E21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9D75B9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5E1564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0B85C0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487FDE1" w14:textId="77777777" w:rsidTr="00FD6D88">
        <w:trPr>
          <w:cantSplit/>
        </w:trPr>
        <w:tc>
          <w:tcPr>
            <w:tcW w:w="288" w:type="dxa"/>
          </w:tcPr>
          <w:p w14:paraId="765F10F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81B435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8F3A95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6B439B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B15C89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4.6.2021"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1.8.2021)</w:t>
            </w:r>
          </w:p>
        </w:tc>
        <w:tc>
          <w:tcPr>
            <w:tcW w:w="288" w:type="dxa"/>
            <w:vAlign w:val="bottom"/>
          </w:tcPr>
          <w:p w14:paraId="1DBC1BE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BF6B565" w14:textId="77777777" w:rsidTr="00FD6D88">
        <w:trPr>
          <w:cantSplit/>
        </w:trPr>
        <w:tc>
          <w:tcPr>
            <w:tcW w:w="288" w:type="dxa"/>
          </w:tcPr>
          <w:p w14:paraId="0023961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Times New Roman" w:eastAsia="Times New Roman" w:hAnsi="Times New Roman" w:cs="Times New Roman"/>
                <w:color w:val="0000FF"/>
                <w:sz w:val="20"/>
                <w:szCs w:val="20"/>
                <w:lang w:val="fr-FR"/>
              </w:rPr>
              <w:t>"</w:t>
            </w:r>
          </w:p>
        </w:tc>
        <w:tc>
          <w:tcPr>
            <w:tcW w:w="576" w:type="dxa"/>
          </w:tcPr>
          <w:p w14:paraId="704141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28CDCF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556695</w:t>
            </w:r>
          </w:p>
        </w:tc>
        <w:tc>
          <w:tcPr>
            <w:tcW w:w="864" w:type="dxa"/>
          </w:tcPr>
          <w:p w14:paraId="4105494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556706</w:t>
            </w:r>
          </w:p>
        </w:tc>
        <w:tc>
          <w:tcPr>
            <w:tcW w:w="5472" w:type="dxa"/>
          </w:tcPr>
          <w:p w14:paraId="02D9951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Dépistage du CMV</w:t>
            </w:r>
          </w:p>
        </w:tc>
        <w:tc>
          <w:tcPr>
            <w:tcW w:w="288" w:type="dxa"/>
            <w:vAlign w:val="bottom"/>
          </w:tcPr>
          <w:p w14:paraId="703A75B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0DC1E05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r w:rsidRPr="00BB725F">
              <w:rPr>
                <w:rFonts w:ascii="Arial" w:eastAsia="Times New Roman" w:hAnsi="Arial" w:cs="Arial"/>
                <w:color w:val="0000FF"/>
                <w:sz w:val="20"/>
                <w:szCs w:val="20"/>
                <w:lang w:val="fr-FR"/>
              </w:rPr>
              <w:t>1400</w:t>
            </w:r>
          </w:p>
        </w:tc>
        <w:tc>
          <w:tcPr>
            <w:tcW w:w="288" w:type="dxa"/>
            <w:vAlign w:val="bottom"/>
          </w:tcPr>
          <w:p w14:paraId="61C76C4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3A90B18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B560116" w14:textId="77777777" w:rsidTr="00FD6D88">
        <w:trPr>
          <w:cantSplit/>
        </w:trPr>
        <w:tc>
          <w:tcPr>
            <w:tcW w:w="288" w:type="dxa"/>
          </w:tcPr>
          <w:p w14:paraId="2299D67C" w14:textId="77777777" w:rsidR="00BB725F" w:rsidRPr="00BB725F" w:rsidRDefault="00BB725F" w:rsidP="00BB725F">
            <w:pPr>
              <w:spacing w:after="0" w:line="240" w:lineRule="atLeast"/>
              <w:rPr>
                <w:rFonts w:ascii="Arial" w:eastAsia="Times New Roman" w:hAnsi="Arial" w:cs="Times New Roman"/>
                <w:color w:val="0000FF"/>
                <w:sz w:val="20"/>
                <w:szCs w:val="20"/>
                <w:lang w:val="nl-NL"/>
              </w:rPr>
            </w:pPr>
          </w:p>
        </w:tc>
        <w:tc>
          <w:tcPr>
            <w:tcW w:w="576" w:type="dxa"/>
          </w:tcPr>
          <w:p w14:paraId="02C611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3878240"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009C82C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0F51FF9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7C77012"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192338A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741255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c>
          <w:tcPr>
            <w:tcW w:w="288" w:type="dxa"/>
            <w:vAlign w:val="bottom"/>
          </w:tcPr>
          <w:p w14:paraId="1941C60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7DA23DE" w14:textId="77777777" w:rsidTr="00FD6D88">
        <w:trPr>
          <w:cantSplit/>
        </w:trPr>
        <w:tc>
          <w:tcPr>
            <w:tcW w:w="288" w:type="dxa"/>
          </w:tcPr>
          <w:p w14:paraId="7D7471F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745342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4EE75C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B29941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522D15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556695-556706 peut uniquement être portée en compte dans les circonstances suivantes :</w:t>
            </w:r>
          </w:p>
        </w:tc>
        <w:tc>
          <w:tcPr>
            <w:tcW w:w="288" w:type="dxa"/>
            <w:vAlign w:val="bottom"/>
          </w:tcPr>
          <w:p w14:paraId="63C56C5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625CA39" w14:textId="77777777" w:rsidTr="00FD6D88">
        <w:trPr>
          <w:cantSplit/>
        </w:trPr>
        <w:tc>
          <w:tcPr>
            <w:tcW w:w="288" w:type="dxa"/>
          </w:tcPr>
          <w:p w14:paraId="769EC27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4396CEE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B8D64C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A607B8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7270350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5AF037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01F3B54B" w14:textId="77777777" w:rsidTr="00FD6D88">
        <w:trPr>
          <w:cantSplit/>
        </w:trPr>
        <w:tc>
          <w:tcPr>
            <w:tcW w:w="288" w:type="dxa"/>
          </w:tcPr>
          <w:p w14:paraId="62CBB13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B597F6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378E9F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0B4328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C03F6E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il s’agit de nouveau-nés présentant des symptômes compatibles avec une infection congénitale à CMV ;</w:t>
            </w:r>
          </w:p>
        </w:tc>
        <w:tc>
          <w:tcPr>
            <w:tcW w:w="288" w:type="dxa"/>
            <w:vAlign w:val="bottom"/>
          </w:tcPr>
          <w:p w14:paraId="5F23F82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575A07F6" w14:textId="77777777" w:rsidTr="00FD6D88">
        <w:trPr>
          <w:cantSplit/>
        </w:trPr>
        <w:tc>
          <w:tcPr>
            <w:tcW w:w="288" w:type="dxa"/>
          </w:tcPr>
          <w:p w14:paraId="7D7EB43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0D3B39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49E698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C430B3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311A0C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652F3A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78BF2871" w14:textId="77777777" w:rsidTr="00FD6D88">
        <w:trPr>
          <w:cantSplit/>
        </w:trPr>
        <w:tc>
          <w:tcPr>
            <w:tcW w:w="288" w:type="dxa"/>
          </w:tcPr>
          <w:p w14:paraId="33F04E5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4FA67F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573ABC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191AF7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D05F8B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il s’agit de nouveau-nés pour lesquels il existe une indication sérologique d’une primo-infection maternelle ;</w:t>
            </w:r>
          </w:p>
        </w:tc>
        <w:tc>
          <w:tcPr>
            <w:tcW w:w="288" w:type="dxa"/>
            <w:vAlign w:val="bottom"/>
          </w:tcPr>
          <w:p w14:paraId="292482E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0F3A1C55" w14:textId="77777777" w:rsidTr="00FD6D88">
        <w:trPr>
          <w:cantSplit/>
        </w:trPr>
        <w:tc>
          <w:tcPr>
            <w:tcW w:w="288" w:type="dxa"/>
          </w:tcPr>
          <w:p w14:paraId="587F644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A378B2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FE2455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689E8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3A399D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650A79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9259422" w14:textId="77777777" w:rsidTr="00FD6D88">
        <w:trPr>
          <w:cantSplit/>
        </w:trPr>
        <w:tc>
          <w:tcPr>
            <w:tcW w:w="288" w:type="dxa"/>
          </w:tcPr>
          <w:p w14:paraId="435D9FA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9C29B0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9C2B28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D472A5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E31761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 il s’agit de nouveau-nés pour lesquels des anomalies compatibles avec une infection congénitale à CMV ont été détectées à l’échographie ou par IRM pendant la grossesse ;</w:t>
            </w:r>
          </w:p>
        </w:tc>
        <w:tc>
          <w:tcPr>
            <w:tcW w:w="288" w:type="dxa"/>
            <w:vAlign w:val="bottom"/>
          </w:tcPr>
          <w:p w14:paraId="3A8C730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DE6015C" w14:textId="77777777" w:rsidTr="00FD6D88">
        <w:trPr>
          <w:cantSplit/>
        </w:trPr>
        <w:tc>
          <w:tcPr>
            <w:tcW w:w="288" w:type="dxa"/>
          </w:tcPr>
          <w:p w14:paraId="71B0A5D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0D7A3A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BAE9A2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45DC6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C8F5D4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2F9A2C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2EBC884" w14:textId="77777777" w:rsidTr="00FD6D88">
        <w:trPr>
          <w:cantSplit/>
        </w:trPr>
        <w:tc>
          <w:tcPr>
            <w:tcW w:w="288" w:type="dxa"/>
          </w:tcPr>
          <w:p w14:paraId="3BCEFD3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ED4185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9B5BB4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BDDB90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4102AA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4° il s’agit d’enfants de moins de six ans atteints de perte auditive neurosensorielle confirmée (SNHL).</w:t>
            </w:r>
          </w:p>
        </w:tc>
        <w:tc>
          <w:tcPr>
            <w:tcW w:w="288" w:type="dxa"/>
            <w:vAlign w:val="bottom"/>
          </w:tcPr>
          <w:p w14:paraId="4B41B5E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4613E68" w14:textId="77777777" w:rsidTr="00FD6D88">
        <w:trPr>
          <w:cantSplit/>
        </w:trPr>
        <w:tc>
          <w:tcPr>
            <w:tcW w:w="288" w:type="dxa"/>
          </w:tcPr>
          <w:p w14:paraId="1A783DE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1EAB6F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47A97A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E18745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B3376D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062ABA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259D68A3" w14:textId="77777777" w:rsidTr="00FD6D88">
        <w:trPr>
          <w:cantSplit/>
        </w:trPr>
        <w:tc>
          <w:tcPr>
            <w:tcW w:w="288" w:type="dxa"/>
          </w:tcPr>
          <w:p w14:paraId="71A3C98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378727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ECC922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90FC83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6D80F551" w14:textId="77777777" w:rsidR="00BB725F" w:rsidRPr="00BB725F" w:rsidRDefault="00BB725F" w:rsidP="00BB725F">
            <w:pPr>
              <w:spacing w:after="0" w:line="240" w:lineRule="atLeast"/>
              <w:jc w:val="both"/>
              <w:rPr>
                <w:rFonts w:ascii="Arial" w:eastAsia="Times New Roman" w:hAnsi="Arial" w:cs="Arial"/>
                <w:color w:val="0000FF"/>
                <w:sz w:val="20"/>
                <w:szCs w:val="20"/>
              </w:rPr>
            </w:pPr>
            <w:r w:rsidRPr="00BB725F">
              <w:rPr>
                <w:rFonts w:ascii="Arial" w:eastAsia="Times New Roman" w:hAnsi="Arial" w:cs="Arial"/>
                <w:color w:val="0000FF"/>
                <w:sz w:val="20"/>
                <w:szCs w:val="20"/>
                <w:lang w:val="fr-FR"/>
              </w:rPr>
              <w:t xml:space="preserve">L’examen doit être réalisé sur les urines ou la salive, dans les 21 jours qui suivent la naissance. A partir du 22ème jour de vie, l’examen peut encore être réalisé à partir d’un prélèvement de sang séché sur papier </w:t>
            </w:r>
            <w:r w:rsidRPr="00BB725F">
              <w:rPr>
                <w:rFonts w:ascii="Arial" w:eastAsia="Times New Roman" w:hAnsi="Arial" w:cs="Arial"/>
                <w:color w:val="0000FF"/>
                <w:sz w:val="20"/>
                <w:szCs w:val="20"/>
              </w:rPr>
              <w:t>buvard (« Dried Blood Spot » - DBS).</w:t>
            </w:r>
          </w:p>
        </w:tc>
        <w:tc>
          <w:tcPr>
            <w:tcW w:w="288" w:type="dxa"/>
            <w:vAlign w:val="bottom"/>
          </w:tcPr>
          <w:p w14:paraId="075010B3"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r>
      <w:tr w:rsidR="00BB725F" w:rsidRPr="00BB725F" w14:paraId="4A21F645" w14:textId="77777777" w:rsidTr="00FD6D88">
        <w:trPr>
          <w:cantSplit/>
        </w:trPr>
        <w:tc>
          <w:tcPr>
            <w:tcW w:w="288" w:type="dxa"/>
          </w:tcPr>
          <w:p w14:paraId="22C4053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5509CEB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44B853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0416C5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8E505D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51ED018"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r>
      <w:tr w:rsidR="00BB725F" w:rsidRPr="00BB725F" w14:paraId="05F9BCC0" w14:textId="77777777" w:rsidTr="00FD6D88">
        <w:trPr>
          <w:cantSplit/>
        </w:trPr>
        <w:tc>
          <w:tcPr>
            <w:tcW w:w="288" w:type="dxa"/>
          </w:tcPr>
          <w:p w14:paraId="13F18ED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5014C1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DD09F2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775F5E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3687AB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556695-556706 ne peut être facturée qu’une seule fois au cours de la vie.</w:t>
            </w:r>
          </w:p>
        </w:tc>
        <w:tc>
          <w:tcPr>
            <w:tcW w:w="288" w:type="dxa"/>
            <w:vAlign w:val="bottom"/>
          </w:tcPr>
          <w:p w14:paraId="7A395EE0"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r>
      <w:tr w:rsidR="00BB725F" w:rsidRPr="00BB725F" w14:paraId="2398D472" w14:textId="77777777" w:rsidTr="00FD6D88">
        <w:trPr>
          <w:cantSplit/>
        </w:trPr>
        <w:tc>
          <w:tcPr>
            <w:tcW w:w="288" w:type="dxa"/>
          </w:tcPr>
          <w:p w14:paraId="58CAD18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7D47E8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E070F7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FE9C70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686817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1206A40"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r>
      <w:tr w:rsidR="00BB725F" w:rsidRPr="00BB725F" w14:paraId="46F4F1BE" w14:textId="77777777" w:rsidTr="00FD6D88">
        <w:trPr>
          <w:cantSplit/>
        </w:trPr>
        <w:tc>
          <w:tcPr>
            <w:tcW w:w="288" w:type="dxa"/>
          </w:tcPr>
          <w:p w14:paraId="391ADFE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570D37A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11CD01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968EF8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09BB009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prestations 556695-556706, 550631-550642 et 550970-550981 ne peuvent pas être cumulées.</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66117651"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r>
      <w:tr w:rsidR="00BB725F" w:rsidRPr="00BB725F" w14:paraId="5E301000" w14:textId="77777777" w:rsidTr="00FD6D88">
        <w:trPr>
          <w:cantSplit/>
        </w:trPr>
        <w:tc>
          <w:tcPr>
            <w:tcW w:w="288" w:type="dxa"/>
          </w:tcPr>
          <w:p w14:paraId="3DEAEA94" w14:textId="77777777" w:rsidR="00BB725F" w:rsidRPr="00BB725F" w:rsidRDefault="00BB725F" w:rsidP="00BB725F">
            <w:pPr>
              <w:spacing w:after="0" w:line="240" w:lineRule="atLeast"/>
              <w:rPr>
                <w:rFonts w:ascii="Arial" w:eastAsia="Times New Roman" w:hAnsi="Arial" w:cs="Times New Roman"/>
                <w:color w:val="0000FF"/>
                <w:sz w:val="20"/>
                <w:szCs w:val="20"/>
              </w:rPr>
            </w:pPr>
          </w:p>
        </w:tc>
        <w:tc>
          <w:tcPr>
            <w:tcW w:w="576" w:type="dxa"/>
          </w:tcPr>
          <w:p w14:paraId="7836007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4ABCA0C2" w14:textId="77777777" w:rsidR="00BB725F" w:rsidRPr="00BB725F" w:rsidRDefault="00BB725F" w:rsidP="00BB725F">
            <w:pPr>
              <w:spacing w:after="0" w:line="240" w:lineRule="atLeast"/>
              <w:rPr>
                <w:rFonts w:ascii="Arial" w:eastAsia="Times New Roman" w:hAnsi="Arial" w:cs="Arial"/>
                <w:color w:val="0000FF"/>
                <w:sz w:val="20"/>
                <w:szCs w:val="20"/>
              </w:rPr>
            </w:pPr>
          </w:p>
        </w:tc>
        <w:tc>
          <w:tcPr>
            <w:tcW w:w="864" w:type="dxa"/>
          </w:tcPr>
          <w:p w14:paraId="41700FEA" w14:textId="77777777" w:rsidR="00BB725F" w:rsidRPr="00BB725F" w:rsidRDefault="00BB725F" w:rsidP="00BB725F">
            <w:pPr>
              <w:spacing w:after="0" w:line="240" w:lineRule="atLeast"/>
              <w:rPr>
                <w:rFonts w:ascii="Arial" w:eastAsia="Times New Roman" w:hAnsi="Arial" w:cs="Arial"/>
                <w:color w:val="0000FF"/>
                <w:sz w:val="20"/>
                <w:szCs w:val="20"/>
              </w:rPr>
            </w:pPr>
          </w:p>
        </w:tc>
        <w:tc>
          <w:tcPr>
            <w:tcW w:w="5472" w:type="dxa"/>
          </w:tcPr>
          <w:p w14:paraId="031F4AE5" w14:textId="77777777" w:rsidR="00BB725F" w:rsidRPr="00BB725F" w:rsidRDefault="00BB725F" w:rsidP="00BB725F">
            <w:pPr>
              <w:spacing w:after="0" w:line="240" w:lineRule="atLeast"/>
              <w:jc w:val="both"/>
              <w:rPr>
                <w:rFonts w:ascii="Arial" w:eastAsia="Times New Roman" w:hAnsi="Arial" w:cs="Arial"/>
                <w:color w:val="0000FF"/>
                <w:sz w:val="20"/>
                <w:szCs w:val="20"/>
              </w:rPr>
            </w:pPr>
          </w:p>
        </w:tc>
        <w:tc>
          <w:tcPr>
            <w:tcW w:w="288" w:type="dxa"/>
            <w:vAlign w:val="bottom"/>
          </w:tcPr>
          <w:p w14:paraId="6288E039" w14:textId="77777777" w:rsidR="00BB725F" w:rsidRPr="00BB725F" w:rsidRDefault="00BB725F" w:rsidP="00BB725F">
            <w:pPr>
              <w:spacing w:after="0" w:line="240" w:lineRule="atLeast"/>
              <w:jc w:val="right"/>
              <w:rPr>
                <w:rFonts w:ascii="Arial" w:eastAsia="Times New Roman" w:hAnsi="Arial" w:cs="Arial"/>
                <w:color w:val="0000FF"/>
                <w:sz w:val="20"/>
                <w:szCs w:val="20"/>
              </w:rPr>
            </w:pPr>
          </w:p>
        </w:tc>
        <w:tc>
          <w:tcPr>
            <w:tcW w:w="672" w:type="dxa"/>
            <w:vAlign w:val="bottom"/>
          </w:tcPr>
          <w:p w14:paraId="380ECAEB" w14:textId="77777777" w:rsidR="00BB725F" w:rsidRPr="00BB725F" w:rsidRDefault="00BB725F" w:rsidP="00BB725F">
            <w:pPr>
              <w:spacing w:after="0" w:line="240" w:lineRule="atLeast"/>
              <w:jc w:val="right"/>
              <w:rPr>
                <w:rFonts w:ascii="Arial" w:eastAsia="Times New Roman" w:hAnsi="Arial" w:cs="Arial"/>
                <w:color w:val="0000FF"/>
                <w:sz w:val="20"/>
                <w:szCs w:val="20"/>
              </w:rPr>
            </w:pPr>
          </w:p>
        </w:tc>
        <w:tc>
          <w:tcPr>
            <w:tcW w:w="288" w:type="dxa"/>
            <w:vAlign w:val="bottom"/>
          </w:tcPr>
          <w:p w14:paraId="2A8B6C8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c>
          <w:tcPr>
            <w:tcW w:w="288" w:type="dxa"/>
            <w:vAlign w:val="bottom"/>
          </w:tcPr>
          <w:p w14:paraId="41CFDBC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rPr>
            </w:pPr>
          </w:p>
        </w:tc>
      </w:tr>
      <w:tr w:rsidR="00BB725F" w:rsidRPr="00BB725F" w14:paraId="3BB9B6C4" w14:textId="77777777" w:rsidTr="00FD6D88">
        <w:trPr>
          <w:cantSplit/>
        </w:trPr>
        <w:tc>
          <w:tcPr>
            <w:tcW w:w="288" w:type="dxa"/>
          </w:tcPr>
          <w:p w14:paraId="74E2C99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B5D37F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238037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9EA1A8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508007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7F069CC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12D45DC" w14:textId="77777777" w:rsidTr="00FD6D88">
        <w:trPr>
          <w:cantSplit/>
        </w:trPr>
        <w:tc>
          <w:tcPr>
            <w:tcW w:w="288" w:type="dxa"/>
          </w:tcPr>
          <w:p w14:paraId="5EA55ED5"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w:t>
            </w:r>
          </w:p>
        </w:tc>
        <w:tc>
          <w:tcPr>
            <w:tcW w:w="576" w:type="dxa"/>
          </w:tcPr>
          <w:p w14:paraId="0934053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2BB90824"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557115</w:t>
            </w:r>
          </w:p>
        </w:tc>
        <w:tc>
          <w:tcPr>
            <w:tcW w:w="864" w:type="dxa"/>
          </w:tcPr>
          <w:p w14:paraId="747A1BE6"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557126</w:t>
            </w:r>
          </w:p>
        </w:tc>
        <w:tc>
          <w:tcPr>
            <w:tcW w:w="5472" w:type="dxa"/>
          </w:tcPr>
          <w:p w14:paraId="0B8D4A0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d’au moins trois agents infectieux respiratoires au moyen d’une technique d’amplification moléculaire</w:t>
            </w:r>
          </w:p>
        </w:tc>
        <w:tc>
          <w:tcPr>
            <w:tcW w:w="288" w:type="dxa"/>
            <w:vAlign w:val="bottom"/>
          </w:tcPr>
          <w:p w14:paraId="465ECC88"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3DD96841"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1500</w:t>
            </w:r>
          </w:p>
        </w:tc>
        <w:tc>
          <w:tcPr>
            <w:tcW w:w="288" w:type="dxa"/>
            <w:vAlign w:val="bottom"/>
          </w:tcPr>
          <w:p w14:paraId="58816033"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76547584"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r>
      <w:tr w:rsidR="00BB725F" w:rsidRPr="00BB725F" w14:paraId="636FC472" w14:textId="77777777" w:rsidTr="00FD6D88">
        <w:trPr>
          <w:cantSplit/>
        </w:trPr>
        <w:tc>
          <w:tcPr>
            <w:tcW w:w="288" w:type="dxa"/>
          </w:tcPr>
          <w:p w14:paraId="60DDDAF7"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76" w:type="dxa"/>
          </w:tcPr>
          <w:p w14:paraId="3A2631F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66578A59"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47636C5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4C3F668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1)</w:t>
            </w:r>
          </w:p>
        </w:tc>
        <w:tc>
          <w:tcPr>
            <w:tcW w:w="288" w:type="dxa"/>
            <w:vAlign w:val="bottom"/>
          </w:tcPr>
          <w:p w14:paraId="374CE943"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1C9D8D3A"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633FB466"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1DF88E1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r>
      <w:tr w:rsidR="00BB725F" w:rsidRPr="00BB725F" w14:paraId="3C9BFF09" w14:textId="77777777" w:rsidTr="00FD6D88">
        <w:trPr>
          <w:cantSplit/>
        </w:trPr>
        <w:tc>
          <w:tcPr>
            <w:tcW w:w="288" w:type="dxa"/>
          </w:tcPr>
          <w:p w14:paraId="51D03D2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CC7D98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9F1561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A801A0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F73537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654C1C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4D1112F" w14:textId="77777777" w:rsidTr="00FD6D88">
        <w:trPr>
          <w:cantSplit/>
        </w:trPr>
        <w:tc>
          <w:tcPr>
            <w:tcW w:w="288" w:type="dxa"/>
          </w:tcPr>
          <w:p w14:paraId="4793D822"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76" w:type="dxa"/>
          </w:tcPr>
          <w:p w14:paraId="0DD75E5B"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1A4B7FE9"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557152</w:t>
            </w:r>
          </w:p>
        </w:tc>
        <w:tc>
          <w:tcPr>
            <w:tcW w:w="864" w:type="dxa"/>
          </w:tcPr>
          <w:p w14:paraId="5D76BF9F" w14:textId="77777777" w:rsidR="00BB725F" w:rsidRPr="00BB725F" w:rsidRDefault="00BB725F" w:rsidP="00BB725F">
            <w:pPr>
              <w:spacing w:after="0" w:line="240" w:lineRule="atLeas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557163</w:t>
            </w:r>
          </w:p>
        </w:tc>
        <w:tc>
          <w:tcPr>
            <w:tcW w:w="5472" w:type="dxa"/>
          </w:tcPr>
          <w:p w14:paraId="2FA2168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Détection d’agents infectieux respiratoires supplémentaires au moyen d’une technique d’amplification moléculaire, par agent</w:t>
            </w:r>
          </w:p>
        </w:tc>
        <w:tc>
          <w:tcPr>
            <w:tcW w:w="288" w:type="dxa"/>
            <w:vAlign w:val="bottom"/>
          </w:tcPr>
          <w:p w14:paraId="7846CB66"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w:t>
            </w:r>
          </w:p>
        </w:tc>
        <w:tc>
          <w:tcPr>
            <w:tcW w:w="672" w:type="dxa"/>
            <w:vAlign w:val="bottom"/>
          </w:tcPr>
          <w:p w14:paraId="4EF5F526"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300</w:t>
            </w:r>
          </w:p>
        </w:tc>
        <w:tc>
          <w:tcPr>
            <w:tcW w:w="288" w:type="dxa"/>
            <w:vAlign w:val="bottom"/>
          </w:tcPr>
          <w:p w14:paraId="4CCA9EA0"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14344894"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r>
      <w:tr w:rsidR="00BB725F" w:rsidRPr="00BB725F" w14:paraId="7C38C9EA" w14:textId="77777777" w:rsidTr="00FD6D88">
        <w:trPr>
          <w:cantSplit/>
        </w:trPr>
        <w:tc>
          <w:tcPr>
            <w:tcW w:w="288" w:type="dxa"/>
          </w:tcPr>
          <w:p w14:paraId="538D137C"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76" w:type="dxa"/>
          </w:tcPr>
          <w:p w14:paraId="66316CF6"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112E0F4F"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864" w:type="dxa"/>
          </w:tcPr>
          <w:p w14:paraId="2F0DF96E" w14:textId="77777777" w:rsidR="00BB725F" w:rsidRPr="00BB725F" w:rsidRDefault="00BB725F" w:rsidP="00BB725F">
            <w:pPr>
              <w:spacing w:after="0" w:line="240" w:lineRule="atLeast"/>
              <w:rPr>
                <w:rFonts w:ascii="Arial" w:eastAsia="Times New Roman" w:hAnsi="Arial" w:cs="Arial"/>
                <w:color w:val="0000FF"/>
                <w:sz w:val="20"/>
                <w:szCs w:val="20"/>
                <w:lang w:val="fr-FR"/>
              </w:rPr>
            </w:pPr>
          </w:p>
        </w:tc>
        <w:tc>
          <w:tcPr>
            <w:tcW w:w="5472" w:type="dxa"/>
          </w:tcPr>
          <w:p w14:paraId="4626BF7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(Maximum 7)</w:t>
            </w:r>
          </w:p>
        </w:tc>
        <w:tc>
          <w:tcPr>
            <w:tcW w:w="288" w:type="dxa"/>
            <w:vAlign w:val="bottom"/>
          </w:tcPr>
          <w:p w14:paraId="578CDFAC"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672" w:type="dxa"/>
            <w:vAlign w:val="bottom"/>
          </w:tcPr>
          <w:p w14:paraId="526DAB57"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54530AFC"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c>
          <w:tcPr>
            <w:tcW w:w="288" w:type="dxa"/>
            <w:vAlign w:val="bottom"/>
          </w:tcPr>
          <w:p w14:paraId="10D95259" w14:textId="77777777" w:rsidR="00BB725F" w:rsidRPr="00BB725F" w:rsidRDefault="00BB725F" w:rsidP="00BB725F">
            <w:pPr>
              <w:spacing w:after="0" w:line="240" w:lineRule="atLeast"/>
              <w:jc w:val="right"/>
              <w:rPr>
                <w:rFonts w:ascii="Arial" w:eastAsia="Times New Roman" w:hAnsi="Arial" w:cs="Arial"/>
                <w:color w:val="0000FF"/>
                <w:sz w:val="20"/>
                <w:szCs w:val="20"/>
                <w:lang w:val="fr-FR"/>
              </w:rPr>
            </w:pPr>
          </w:p>
        </w:tc>
      </w:tr>
      <w:tr w:rsidR="00BB725F" w:rsidRPr="00BB725F" w14:paraId="7F2DCA59" w14:textId="77777777" w:rsidTr="00FD6D88">
        <w:trPr>
          <w:cantSplit/>
        </w:trPr>
        <w:tc>
          <w:tcPr>
            <w:tcW w:w="288" w:type="dxa"/>
          </w:tcPr>
          <w:p w14:paraId="29A70EF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08F513F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D0C7B9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2EF4AC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114306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E9181D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C166156" w14:textId="77777777" w:rsidTr="00FD6D88">
        <w:trPr>
          <w:cantSplit/>
        </w:trPr>
        <w:tc>
          <w:tcPr>
            <w:tcW w:w="288" w:type="dxa"/>
          </w:tcPr>
          <w:p w14:paraId="1AB8A49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388F93E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72A6E6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1D9F23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112E9DA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prestations 557115-557126 et 557152-557163 peuvent uniquement être attestées pour un patient hospitalisé dans un état critique, sur avis positif du biologiste clinique du laboratoire de l’hôpital.</w:t>
            </w:r>
          </w:p>
        </w:tc>
        <w:tc>
          <w:tcPr>
            <w:tcW w:w="288" w:type="dxa"/>
            <w:vAlign w:val="bottom"/>
          </w:tcPr>
          <w:p w14:paraId="446399F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700D4511" w14:textId="77777777" w:rsidTr="00FD6D88">
        <w:trPr>
          <w:cantSplit/>
        </w:trPr>
        <w:tc>
          <w:tcPr>
            <w:tcW w:w="288" w:type="dxa"/>
          </w:tcPr>
          <w:p w14:paraId="41A0FA7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57B528A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BE579D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D7F170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FA321B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05034F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70DB4160" w14:textId="77777777" w:rsidTr="00FD6D88">
        <w:trPr>
          <w:cantSplit/>
        </w:trPr>
        <w:tc>
          <w:tcPr>
            <w:tcW w:w="288" w:type="dxa"/>
          </w:tcPr>
          <w:p w14:paraId="481F8CB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D6740B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D29C72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6CAF35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72E75E3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prestations 557115-557126 et 557152-557163 peuvent uniquement être attestées si le résultat de l’examen est communiqué au médecin demandeur dans les six heures suivant la réception de l’échantillon.</w:t>
            </w:r>
          </w:p>
        </w:tc>
        <w:tc>
          <w:tcPr>
            <w:tcW w:w="288" w:type="dxa"/>
            <w:vAlign w:val="bottom"/>
          </w:tcPr>
          <w:p w14:paraId="311795D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4B46F65" w14:textId="77777777" w:rsidTr="00FD6D88">
        <w:trPr>
          <w:cantSplit/>
        </w:trPr>
        <w:tc>
          <w:tcPr>
            <w:tcW w:w="288" w:type="dxa"/>
          </w:tcPr>
          <w:p w14:paraId="2667E08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A1DA78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5EB0FC5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6CDCA8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FE09CD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6ED326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293086A1" w14:textId="77777777" w:rsidTr="00FD6D88">
        <w:trPr>
          <w:cantSplit/>
        </w:trPr>
        <w:tc>
          <w:tcPr>
            <w:tcW w:w="288" w:type="dxa"/>
          </w:tcPr>
          <w:p w14:paraId="6922297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p w14:paraId="5E9DA7C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613A463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3A3E241"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12B954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00AB17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545FE1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675751C" w14:textId="77777777" w:rsidTr="00FD6D88">
        <w:trPr>
          <w:cantSplit/>
        </w:trPr>
        <w:tc>
          <w:tcPr>
            <w:tcW w:w="288" w:type="dxa"/>
          </w:tcPr>
          <w:p w14:paraId="45A987A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3C6289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40F628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D428CD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0D21BA6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 moment de la demande sera noté dans le dossier médical.</w:t>
            </w:r>
          </w:p>
        </w:tc>
        <w:tc>
          <w:tcPr>
            <w:tcW w:w="288" w:type="dxa"/>
            <w:vAlign w:val="bottom"/>
          </w:tcPr>
          <w:p w14:paraId="61F8878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6F27ACC1" w14:textId="77777777" w:rsidTr="00FD6D88">
        <w:trPr>
          <w:cantSplit/>
        </w:trPr>
        <w:tc>
          <w:tcPr>
            <w:tcW w:w="288" w:type="dxa"/>
          </w:tcPr>
          <w:p w14:paraId="331A65D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6C12167"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A2B266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46D7A9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6705A52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E9E04B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C02C3F5" w14:textId="77777777" w:rsidTr="00FD6D88">
        <w:trPr>
          <w:cantSplit/>
        </w:trPr>
        <w:tc>
          <w:tcPr>
            <w:tcW w:w="288" w:type="dxa"/>
          </w:tcPr>
          <w:p w14:paraId="601B64D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5F9832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0281A6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D888DB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3AB2AD0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557152-557163 peut uniquement être attestée après l’attestation de la prestation 557115-557126 pour le même échantillon.</w:t>
            </w:r>
          </w:p>
        </w:tc>
        <w:tc>
          <w:tcPr>
            <w:tcW w:w="288" w:type="dxa"/>
            <w:vAlign w:val="bottom"/>
          </w:tcPr>
          <w:p w14:paraId="73A5D5A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083DFE79" w14:textId="77777777" w:rsidTr="00FD6D88">
        <w:trPr>
          <w:cantSplit/>
        </w:trPr>
        <w:tc>
          <w:tcPr>
            <w:tcW w:w="288" w:type="dxa"/>
          </w:tcPr>
          <w:p w14:paraId="512468B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7CD3199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4989842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B9FC55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7B61F65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83444B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22E0E92D" w14:textId="77777777" w:rsidTr="00FD6D88">
        <w:trPr>
          <w:cantSplit/>
        </w:trPr>
        <w:tc>
          <w:tcPr>
            <w:tcW w:w="288" w:type="dxa"/>
          </w:tcPr>
          <w:p w14:paraId="4D582C8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4AB0A58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75CA591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6EC8EAF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2CEC2D7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La prestation 557115-557126 peut être attestée au maximum une fois par période d’hospitalisation et au maximum trois fois par année civile.</w:t>
            </w:r>
          </w:p>
        </w:tc>
        <w:tc>
          <w:tcPr>
            <w:tcW w:w="288" w:type="dxa"/>
            <w:vAlign w:val="bottom"/>
          </w:tcPr>
          <w:p w14:paraId="7B987582"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14B7BB81" w14:textId="77777777" w:rsidTr="00FD6D88">
        <w:trPr>
          <w:cantSplit/>
        </w:trPr>
        <w:tc>
          <w:tcPr>
            <w:tcW w:w="288" w:type="dxa"/>
          </w:tcPr>
          <w:p w14:paraId="295E1B0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1A3F671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0D62696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373111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4062F2A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F02AD1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5945AC40" w14:textId="77777777" w:rsidTr="00FD6D88">
        <w:trPr>
          <w:cantSplit/>
        </w:trPr>
        <w:tc>
          <w:tcPr>
            <w:tcW w:w="288" w:type="dxa"/>
          </w:tcPr>
          <w:p w14:paraId="67A0FD6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6266BC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2B027C5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96868B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5586629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Les prestations 557115-557126 et 557152-557163 ne peuvent pas être cumulées avec les prestations 550631-550642 ou 552016-552020. "</w:t>
            </w:r>
          </w:p>
        </w:tc>
        <w:tc>
          <w:tcPr>
            <w:tcW w:w="288" w:type="dxa"/>
            <w:vAlign w:val="bottom"/>
          </w:tcPr>
          <w:p w14:paraId="1F81FFF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3B03958D" w14:textId="77777777" w:rsidTr="00FD6D88">
        <w:trPr>
          <w:cantSplit/>
        </w:trPr>
        <w:tc>
          <w:tcPr>
            <w:tcW w:w="288" w:type="dxa"/>
          </w:tcPr>
          <w:p w14:paraId="60EE075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576" w:type="dxa"/>
          </w:tcPr>
          <w:p w14:paraId="269B6FC4"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341B74A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864" w:type="dxa"/>
          </w:tcPr>
          <w:p w14:paraId="1C577C0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6720" w:type="dxa"/>
            <w:gridSpan w:val="4"/>
          </w:tcPr>
          <w:p w14:paraId="633D929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C2ED08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r>
      <w:tr w:rsidR="00BB725F" w:rsidRPr="00BB725F" w14:paraId="5BFD80D8" w14:textId="77777777" w:rsidTr="00FD6D88">
        <w:trPr>
          <w:cantSplit/>
        </w:trPr>
        <w:tc>
          <w:tcPr>
            <w:tcW w:w="288" w:type="dxa"/>
          </w:tcPr>
          <w:p w14:paraId="138D246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576" w:type="dxa"/>
          </w:tcPr>
          <w:p w14:paraId="28B9752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6DCF4F4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864" w:type="dxa"/>
          </w:tcPr>
          <w:p w14:paraId="45220E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rPr>
            </w:pPr>
          </w:p>
        </w:tc>
        <w:tc>
          <w:tcPr>
            <w:tcW w:w="6720" w:type="dxa"/>
            <w:gridSpan w:val="4"/>
          </w:tcPr>
          <w:p w14:paraId="469009C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1ED4924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C2AF203" w14:textId="77777777" w:rsidTr="00FD6D88">
        <w:trPr>
          <w:cantSplit/>
        </w:trPr>
        <w:tc>
          <w:tcPr>
            <w:tcW w:w="288" w:type="dxa"/>
          </w:tcPr>
          <w:p w14:paraId="2744B56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1EF656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812742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6FF553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C75C0C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b/>
                <w:color w:val="0000FF"/>
                <w:sz w:val="20"/>
                <w:szCs w:val="20"/>
                <w:lang w:val="fr-FR"/>
              </w:rPr>
              <w:t>"</w:t>
            </w:r>
            <w:r w:rsidRPr="00BB725F">
              <w:rPr>
                <w:rFonts w:ascii="Arial" w:eastAsia="Times New Roman" w:hAnsi="Arial" w:cs="Arial"/>
                <w:b/>
                <w:color w:val="0000FF"/>
                <w:sz w:val="20"/>
                <w:szCs w:val="20"/>
                <w:lang w:val="fr-FR"/>
              </w:rPr>
              <w:t>§ 2.</w:t>
            </w:r>
            <w:r w:rsidRPr="00BB725F">
              <w:rPr>
                <w:rFonts w:ascii="Arial" w:eastAsia="Times New Roman" w:hAnsi="Arial" w:cs="Times New Roman"/>
                <w:b/>
                <w:color w:val="0000FF"/>
                <w:sz w:val="20"/>
                <w:szCs w:val="20"/>
                <w:lang w:val="fr-FR"/>
              </w:rPr>
              <w:t xml:space="preserve"> </w:t>
            </w:r>
            <w:r w:rsidRPr="00BB725F">
              <w:rPr>
                <w:rFonts w:ascii="Arial" w:eastAsia="Times New Roman" w:hAnsi="Arial" w:cs="Arial"/>
                <w:color w:val="0000FF"/>
                <w:sz w:val="20"/>
                <w:szCs w:val="20"/>
                <w:lang w:val="fr-FR"/>
              </w:rPr>
              <w:t>Pour pouvoir porter en compte les prestations citées au § 1</w:t>
            </w:r>
            <w:r w:rsidRPr="00BB725F">
              <w:rPr>
                <w:rFonts w:ascii="Arial" w:eastAsia="Times New Roman" w:hAnsi="Arial" w:cs="Arial"/>
                <w:color w:val="0000FF"/>
                <w:sz w:val="20"/>
                <w:szCs w:val="20"/>
                <w:vertAlign w:val="superscript"/>
                <w:lang w:val="fr-FR"/>
              </w:rPr>
              <w:t>er</w:t>
            </w:r>
            <w:r w:rsidRPr="00BB725F">
              <w:rPr>
                <w:rFonts w:ascii="Arial" w:eastAsia="Times New Roman" w:hAnsi="Arial" w:cs="Arial"/>
                <w:color w:val="0000FF"/>
                <w:sz w:val="20"/>
                <w:szCs w:val="20"/>
                <w:lang w:val="fr-FR"/>
              </w:rPr>
              <w:t>, les conditions y définies par paramètre doivent être rencontrées et les règles d'application des §§ 4 à 10 de l'article 24 doivent être respectées.</w:t>
            </w:r>
            <w:r w:rsidRPr="00BB725F">
              <w:rPr>
                <w:rFonts w:ascii="Arial" w:eastAsia="Times New Roman" w:hAnsi="Arial" w:cs="Times New Roman"/>
                <w:color w:val="0000FF"/>
                <w:sz w:val="20"/>
                <w:szCs w:val="20"/>
                <w:lang w:val="fr-FR"/>
              </w:rPr>
              <w:t>"</w:t>
            </w:r>
          </w:p>
        </w:tc>
        <w:tc>
          <w:tcPr>
            <w:tcW w:w="288" w:type="dxa"/>
            <w:vAlign w:val="bottom"/>
          </w:tcPr>
          <w:p w14:paraId="7C7268C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B82115E" w14:textId="77777777" w:rsidTr="00FD6D88">
        <w:trPr>
          <w:cantSplit/>
        </w:trPr>
        <w:tc>
          <w:tcPr>
            <w:tcW w:w="288" w:type="dxa"/>
          </w:tcPr>
          <w:p w14:paraId="269334D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85E9DC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0D6CEC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BC878A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4C93A8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6D7AFD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7899F81" w14:textId="77777777" w:rsidTr="00FD6D88">
        <w:trPr>
          <w:cantSplit/>
        </w:trPr>
        <w:tc>
          <w:tcPr>
            <w:tcW w:w="288" w:type="dxa"/>
          </w:tcPr>
          <w:p w14:paraId="57E10E9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FFA00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4EEAD8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3834DB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F481D46"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1C97D315"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1E80B67" w14:textId="77777777" w:rsidTr="00FD6D88">
        <w:trPr>
          <w:cantSplit/>
        </w:trPr>
        <w:tc>
          <w:tcPr>
            <w:tcW w:w="288" w:type="dxa"/>
          </w:tcPr>
          <w:p w14:paraId="45B8C74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CC2614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81A191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C41415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E74E3C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b/>
                <w:color w:val="0000FF"/>
                <w:sz w:val="20"/>
                <w:szCs w:val="20"/>
                <w:lang w:val="fr-FR"/>
              </w:rPr>
              <w:t>"</w:t>
            </w:r>
            <w:r w:rsidRPr="00BB725F">
              <w:rPr>
                <w:rFonts w:ascii="Arial" w:eastAsia="Times New Roman" w:hAnsi="Arial" w:cs="Arial"/>
                <w:b/>
                <w:color w:val="0000FF"/>
                <w:sz w:val="20"/>
                <w:szCs w:val="20"/>
                <w:lang w:val="fr-FR"/>
              </w:rPr>
              <w:t xml:space="preserve">§ 3. </w:t>
            </w:r>
            <w:r w:rsidRPr="00BB725F">
              <w:rPr>
                <w:rFonts w:ascii="Arial" w:eastAsia="Times New Roman" w:hAnsi="Arial" w:cs="Arial"/>
                <w:color w:val="0000FF"/>
                <w:sz w:val="20"/>
                <w:szCs w:val="20"/>
                <w:lang w:val="fr-FR"/>
              </w:rPr>
              <w:t>Chacune des prestations citée au § 1</w:t>
            </w:r>
            <w:r w:rsidRPr="00BB725F">
              <w:rPr>
                <w:rFonts w:ascii="Arial" w:eastAsia="Times New Roman" w:hAnsi="Arial" w:cs="Arial"/>
                <w:color w:val="0000FF"/>
                <w:sz w:val="20"/>
                <w:szCs w:val="20"/>
                <w:vertAlign w:val="superscript"/>
                <w:lang w:val="fr-FR"/>
              </w:rPr>
              <w:t>er</w:t>
            </w:r>
            <w:r w:rsidRPr="00BB725F">
              <w:rPr>
                <w:rFonts w:ascii="Arial" w:eastAsia="Times New Roman" w:hAnsi="Arial" w:cs="Arial"/>
                <w:color w:val="0000FF"/>
                <w:sz w:val="20"/>
                <w:szCs w:val="20"/>
                <w:lang w:val="fr-FR"/>
              </w:rPr>
              <w:t xml:space="preserve"> comprend la globalité des manipulations nécessaires pour l'exécution de la prestation et pour en garantir le résultat.</w:t>
            </w:r>
            <w:r w:rsidRPr="00BB725F">
              <w:rPr>
                <w:rFonts w:ascii="Arial" w:eastAsia="Times New Roman" w:hAnsi="Arial" w:cs="Times New Roman"/>
                <w:color w:val="0000FF"/>
                <w:sz w:val="20"/>
                <w:szCs w:val="20"/>
                <w:lang w:val="fr-FR"/>
              </w:rPr>
              <w:t>"</w:t>
            </w:r>
          </w:p>
        </w:tc>
        <w:tc>
          <w:tcPr>
            <w:tcW w:w="288" w:type="dxa"/>
            <w:vAlign w:val="bottom"/>
          </w:tcPr>
          <w:p w14:paraId="2553FB9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06E44A0" w14:textId="77777777" w:rsidTr="00FD6D88">
        <w:trPr>
          <w:cantSplit/>
        </w:trPr>
        <w:tc>
          <w:tcPr>
            <w:tcW w:w="288" w:type="dxa"/>
          </w:tcPr>
          <w:p w14:paraId="5E0A3A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97A950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EB5247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645803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35394D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882E3EA"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6CEBB33" w14:textId="77777777" w:rsidTr="00FD6D88">
        <w:trPr>
          <w:cantSplit/>
        </w:trPr>
        <w:tc>
          <w:tcPr>
            <w:tcW w:w="288" w:type="dxa"/>
          </w:tcPr>
          <w:p w14:paraId="614B85F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95E43E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05F7DC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A6865F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21BF963"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663B2A3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B55ABA0" w14:textId="77777777" w:rsidTr="00FD6D88">
        <w:trPr>
          <w:cantSplit/>
        </w:trPr>
        <w:tc>
          <w:tcPr>
            <w:tcW w:w="288" w:type="dxa"/>
          </w:tcPr>
          <w:p w14:paraId="43F050B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556723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068CF7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FEB210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A5FEB5B"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b/>
                <w:color w:val="0000FF"/>
                <w:sz w:val="20"/>
                <w:szCs w:val="20"/>
                <w:lang w:val="fr-FR"/>
              </w:rPr>
              <w:t>"</w:t>
            </w:r>
            <w:r w:rsidRPr="00BB725F">
              <w:rPr>
                <w:rFonts w:ascii="Arial" w:eastAsia="Times New Roman" w:hAnsi="Arial" w:cs="Arial"/>
                <w:b/>
                <w:color w:val="0000FF"/>
                <w:sz w:val="20"/>
                <w:szCs w:val="20"/>
                <w:lang w:val="fr-FR"/>
              </w:rPr>
              <w:t>§ 4.</w:t>
            </w:r>
            <w:r w:rsidRPr="00BB725F">
              <w:rPr>
                <w:rFonts w:ascii="Arial" w:eastAsia="Times New Roman" w:hAnsi="Arial" w:cs="Arial"/>
                <w:color w:val="0000FF"/>
                <w:sz w:val="20"/>
                <w:szCs w:val="20"/>
                <w:lang w:val="fr-FR"/>
              </w:rPr>
              <w:t xml:space="preserve"> Pour chacune des prestations citée au § 1</w:t>
            </w:r>
            <w:r w:rsidRPr="00BB725F">
              <w:rPr>
                <w:rFonts w:ascii="Arial" w:eastAsia="Times New Roman" w:hAnsi="Arial" w:cs="Arial"/>
                <w:color w:val="0000FF"/>
                <w:sz w:val="20"/>
                <w:szCs w:val="20"/>
                <w:vertAlign w:val="superscript"/>
                <w:lang w:val="fr-FR"/>
              </w:rPr>
              <w:t>er</w:t>
            </w:r>
            <w:r w:rsidRPr="00BB725F">
              <w:rPr>
                <w:rFonts w:ascii="Arial" w:eastAsia="Times New Roman" w:hAnsi="Arial" w:cs="Arial"/>
                <w:color w:val="0000FF"/>
                <w:sz w:val="20"/>
                <w:szCs w:val="20"/>
                <w:lang w:val="fr-FR"/>
              </w:rPr>
              <w:t>, un rapport est établi, adressé au médecin traitant (ou médecin référant) en cadrant le résultat de manière à répondre en intégrant les données cliniques et de diagnostic avec les résultats des examens microbiologiques en une sorte de concertation.</w:t>
            </w:r>
            <w:r w:rsidRPr="00BB725F">
              <w:rPr>
                <w:rFonts w:ascii="Arial" w:eastAsia="Times New Roman" w:hAnsi="Arial" w:cs="Times New Roman"/>
                <w:color w:val="0000FF"/>
                <w:sz w:val="20"/>
                <w:szCs w:val="20"/>
                <w:lang w:val="fr-FR"/>
              </w:rPr>
              <w:t>"</w:t>
            </w:r>
          </w:p>
        </w:tc>
        <w:tc>
          <w:tcPr>
            <w:tcW w:w="288" w:type="dxa"/>
            <w:vAlign w:val="bottom"/>
          </w:tcPr>
          <w:p w14:paraId="6CD4D0A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FFA7A65" w14:textId="77777777" w:rsidTr="00FD6D88">
        <w:trPr>
          <w:cantSplit/>
        </w:trPr>
        <w:tc>
          <w:tcPr>
            <w:tcW w:w="288" w:type="dxa"/>
          </w:tcPr>
          <w:p w14:paraId="60A5F6D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9FC38A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C172E1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0513C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79CCA8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512DEC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4D94226" w14:textId="77777777" w:rsidTr="00FD6D88">
        <w:trPr>
          <w:cantSplit/>
        </w:trPr>
        <w:tc>
          <w:tcPr>
            <w:tcW w:w="288" w:type="dxa"/>
          </w:tcPr>
          <w:p w14:paraId="473674A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F26A74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8EB280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06A7B7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00F5A8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0811904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A65691E" w14:textId="77777777" w:rsidTr="00FD6D88">
        <w:trPr>
          <w:cantSplit/>
        </w:trPr>
        <w:tc>
          <w:tcPr>
            <w:tcW w:w="288" w:type="dxa"/>
          </w:tcPr>
          <w:p w14:paraId="3DCB686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F71CF0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C20FB1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84C90B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C59B37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b/>
                <w:color w:val="0000FF"/>
                <w:sz w:val="20"/>
                <w:szCs w:val="20"/>
                <w:lang w:val="fr-FR"/>
              </w:rPr>
              <w:t>"</w:t>
            </w:r>
            <w:r w:rsidRPr="00BB725F">
              <w:rPr>
                <w:rFonts w:ascii="Arial" w:eastAsia="Times New Roman" w:hAnsi="Arial" w:cs="Arial"/>
                <w:b/>
                <w:color w:val="0000FF"/>
                <w:sz w:val="20"/>
                <w:szCs w:val="20"/>
                <w:lang w:val="fr-FR"/>
              </w:rPr>
              <w:t>§ 5.</w:t>
            </w:r>
            <w:r w:rsidRPr="00BB725F">
              <w:rPr>
                <w:rFonts w:ascii="Arial" w:eastAsia="Times New Roman" w:hAnsi="Arial" w:cs="Arial"/>
                <w:color w:val="0000FF"/>
                <w:sz w:val="20"/>
                <w:szCs w:val="20"/>
                <w:lang w:val="fr-FR"/>
              </w:rPr>
              <w:t xml:space="preserve"> Pour pouvoir porter en compte les prestations citées au § 1</w:t>
            </w:r>
            <w:r w:rsidRPr="00BB725F">
              <w:rPr>
                <w:rFonts w:ascii="Arial" w:eastAsia="Times New Roman" w:hAnsi="Arial" w:cs="Arial"/>
                <w:color w:val="0000FF"/>
                <w:sz w:val="20"/>
                <w:szCs w:val="20"/>
                <w:vertAlign w:val="superscript"/>
                <w:lang w:val="fr-FR"/>
              </w:rPr>
              <w:t>er</w:t>
            </w:r>
            <w:r w:rsidRPr="00BB725F">
              <w:rPr>
                <w:rFonts w:ascii="Arial" w:eastAsia="Times New Roman" w:hAnsi="Arial" w:cs="Arial"/>
                <w:color w:val="0000FF"/>
                <w:sz w:val="20"/>
                <w:szCs w:val="20"/>
                <w:lang w:val="fr-FR"/>
              </w:rPr>
              <w:t>, les exigences suivantes doivent être remplies :</w:t>
            </w:r>
          </w:p>
        </w:tc>
        <w:tc>
          <w:tcPr>
            <w:tcW w:w="288" w:type="dxa"/>
            <w:vAlign w:val="bottom"/>
          </w:tcPr>
          <w:p w14:paraId="7847ED3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34EB6730" w14:textId="77777777" w:rsidTr="00FD6D88">
        <w:trPr>
          <w:cantSplit/>
        </w:trPr>
        <w:tc>
          <w:tcPr>
            <w:tcW w:w="288" w:type="dxa"/>
          </w:tcPr>
          <w:p w14:paraId="1F7E9F0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7A6D3F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61F569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B49DC3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B91D90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5400AC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B1D4F10" w14:textId="77777777" w:rsidTr="00FD6D88">
        <w:trPr>
          <w:cantSplit/>
        </w:trPr>
        <w:tc>
          <w:tcPr>
            <w:tcW w:w="288" w:type="dxa"/>
          </w:tcPr>
          <w:p w14:paraId="45E27B1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C984B3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9894EA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39A0FF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863474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1° Les prestations doivent être exécutées dans un laboratoire qui est reconnu comme laboratoire de biologie clinique par le Ministre des Affaires sociales selon les dispositions de l'arrêté royal du 3 décembre 1999 établissant les critères pour les laboratoires de biologie clinique tels que définis à l'article 63, 1°, 2° et 3°, de la loi relative à l'assurance obligatoire soins de santé et indemnités coordonnée le 14 juillet 1994 et modifiée par la loi du 21 décembre 1994;</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63B252B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5C25117" w14:textId="77777777" w:rsidTr="00FD6D88">
        <w:trPr>
          <w:cantSplit/>
        </w:trPr>
        <w:tc>
          <w:tcPr>
            <w:tcW w:w="288" w:type="dxa"/>
          </w:tcPr>
          <w:p w14:paraId="3E6F054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42B822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42C5BC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4C9735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7F5B14E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643E515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31AEAD3" w14:textId="77777777" w:rsidTr="00FD6D88">
        <w:trPr>
          <w:cantSplit/>
        </w:trPr>
        <w:tc>
          <w:tcPr>
            <w:tcW w:w="288" w:type="dxa"/>
          </w:tcPr>
          <w:p w14:paraId="4AADAFD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3F350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7E12AC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433C03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062756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4C3E74F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E2F01DF" w14:textId="77777777" w:rsidTr="00FD6D88">
        <w:trPr>
          <w:cantSplit/>
        </w:trPr>
        <w:tc>
          <w:tcPr>
            <w:tcW w:w="288" w:type="dxa"/>
          </w:tcPr>
          <w:p w14:paraId="0AAF5D2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94382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53A9AA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44C409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C5638E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"2° Les prestations doivent être exécutées dans un laboratoire accrédité pour la norme ISO 15189, ou dans un laboratoire qui suit des normes identiques d'accréditation pour les prestations effectuées;</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02D27068"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062E841" w14:textId="77777777" w:rsidTr="00FD6D88">
        <w:trPr>
          <w:cantSplit/>
        </w:trPr>
        <w:tc>
          <w:tcPr>
            <w:tcW w:w="288" w:type="dxa"/>
          </w:tcPr>
          <w:p w14:paraId="4C67BBC7"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29BA42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7F4298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E9177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35356B99"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D6D97B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CDA7DD7" w14:textId="77777777" w:rsidTr="00FD6D88">
        <w:trPr>
          <w:cantSplit/>
        </w:trPr>
        <w:tc>
          <w:tcPr>
            <w:tcW w:w="288" w:type="dxa"/>
          </w:tcPr>
          <w:p w14:paraId="7D74E11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7EC73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529BC8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D331D5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2CF8EA8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 xml:space="preserve">3° </w:t>
            </w:r>
            <w:r w:rsidRPr="00BB725F">
              <w:rPr>
                <w:rFonts w:ascii="Arial" w:eastAsia="Times New Roman" w:hAnsi="Arial" w:cs="Times New Roman"/>
                <w:i/>
                <w:color w:val="0000FF"/>
                <w:sz w:val="18"/>
                <w:szCs w:val="18"/>
                <w:lang w:val="fr-FR"/>
              </w:rPr>
              <w:t>Supprimée par A.R. 16.12.2022 (en vigueur 1.3.2023)</w:t>
            </w:r>
          </w:p>
        </w:tc>
        <w:tc>
          <w:tcPr>
            <w:tcW w:w="288" w:type="dxa"/>
            <w:vAlign w:val="bottom"/>
          </w:tcPr>
          <w:p w14:paraId="6449C36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8F36A73" w14:textId="77777777" w:rsidTr="00FD6D88">
        <w:trPr>
          <w:cantSplit/>
        </w:trPr>
        <w:tc>
          <w:tcPr>
            <w:tcW w:w="288" w:type="dxa"/>
          </w:tcPr>
          <w:p w14:paraId="651A941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47B13C3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55F9A0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FA4605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011088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788106E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2FC7635" w14:textId="77777777" w:rsidTr="00FD6D88">
        <w:trPr>
          <w:cantSplit/>
        </w:trPr>
        <w:tc>
          <w:tcPr>
            <w:tcW w:w="288" w:type="dxa"/>
          </w:tcPr>
          <w:p w14:paraId="7D4761A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367AB73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CD26CC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FA4CF6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00B6C2CC"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w:t>
            </w:r>
          </w:p>
        </w:tc>
        <w:tc>
          <w:tcPr>
            <w:tcW w:w="288" w:type="dxa"/>
            <w:vAlign w:val="bottom"/>
          </w:tcPr>
          <w:p w14:paraId="7E5BCE0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82468AE" w14:textId="77777777" w:rsidTr="00FD6D88">
        <w:trPr>
          <w:cantSplit/>
        </w:trPr>
        <w:tc>
          <w:tcPr>
            <w:tcW w:w="288" w:type="dxa"/>
          </w:tcPr>
          <w:p w14:paraId="4A4F982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6A8D2C9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4F58D6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B3F7B3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D67E1E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"4° Le laboratoire doit pouvoir fournir la preuve pour les prestations qu'il exécute qu'il participe à des contrôles de qualité interne et externe qui satisfont à des normes de qualité nationales et internationales;</w:t>
            </w:r>
          </w:p>
        </w:tc>
        <w:tc>
          <w:tcPr>
            <w:tcW w:w="288" w:type="dxa"/>
            <w:vAlign w:val="bottom"/>
          </w:tcPr>
          <w:p w14:paraId="45520F5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4C6C3B21" w14:textId="77777777" w:rsidTr="00FD6D88">
        <w:trPr>
          <w:cantSplit/>
        </w:trPr>
        <w:tc>
          <w:tcPr>
            <w:tcW w:w="288" w:type="dxa"/>
          </w:tcPr>
          <w:p w14:paraId="27D0CBC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0257E5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96D61B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449AE1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9A7E28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18A9FD6F"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6944EE4" w14:textId="77777777" w:rsidTr="00FD6D88">
        <w:trPr>
          <w:cantSplit/>
        </w:trPr>
        <w:tc>
          <w:tcPr>
            <w:tcW w:w="288" w:type="dxa"/>
          </w:tcPr>
          <w:p w14:paraId="6F25367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01A7F031"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22B643A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454ED5FB"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p w14:paraId="7C73E1D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AD2EE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2EC6C2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2FD8B5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3D6DEB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352B3B72"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2B247E81" w14:textId="77777777" w:rsidTr="00FD6D88">
        <w:trPr>
          <w:cantSplit/>
        </w:trPr>
        <w:tc>
          <w:tcPr>
            <w:tcW w:w="288" w:type="dxa"/>
          </w:tcPr>
          <w:p w14:paraId="12A36FC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304BF53"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082CA14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334F21F"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1395F5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5° Le laboratoire est soumis, pour ce qui concerne le diagnostic moléculaire des affections infectieuses, à la tenue d'un registre dans lequel figurent les données suivantes :</w:t>
            </w:r>
          </w:p>
        </w:tc>
        <w:tc>
          <w:tcPr>
            <w:tcW w:w="288" w:type="dxa"/>
            <w:vAlign w:val="bottom"/>
          </w:tcPr>
          <w:p w14:paraId="610C2CE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98E4092" w14:textId="77777777" w:rsidTr="00FD6D88">
        <w:trPr>
          <w:cantSplit/>
        </w:trPr>
        <w:tc>
          <w:tcPr>
            <w:tcW w:w="288" w:type="dxa"/>
          </w:tcPr>
          <w:p w14:paraId="3215DEC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C0F34F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E6F603D"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1CBD7B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41F028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04B11C10"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5F56B3BF" w14:textId="77777777" w:rsidTr="00FD6D88">
        <w:trPr>
          <w:cantSplit/>
        </w:trPr>
        <w:tc>
          <w:tcPr>
            <w:tcW w:w="288" w:type="dxa"/>
          </w:tcPr>
          <w:p w14:paraId="014FE1B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709286D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04CA94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806B17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3D3875D"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a) communication du nombre de tests effectués cités en § 1</w:t>
            </w:r>
            <w:r w:rsidRPr="00BB725F">
              <w:rPr>
                <w:rFonts w:ascii="Arial" w:eastAsia="Times New Roman" w:hAnsi="Arial" w:cs="Arial"/>
                <w:color w:val="0000FF"/>
                <w:sz w:val="20"/>
                <w:szCs w:val="20"/>
                <w:vertAlign w:val="superscript"/>
                <w:lang w:val="fr-FR"/>
              </w:rPr>
              <w:t>er</w:t>
            </w:r>
            <w:r w:rsidRPr="00BB725F">
              <w:rPr>
                <w:rFonts w:ascii="Arial" w:eastAsia="Times New Roman" w:hAnsi="Arial" w:cs="Arial"/>
                <w:color w:val="0000FF"/>
                <w:sz w:val="20"/>
                <w:szCs w:val="20"/>
                <w:lang w:val="fr-FR"/>
              </w:rPr>
              <w:t xml:space="preserve"> en indiquant le nombre de patients auxquels les tests correspondent et le nombre de résultats positifs par patient, par micro-organisme et par indication. Pour les patients extra-muros les données relatives au médecin demandeur ou au laboratoire référant seront communiquées.</w:t>
            </w:r>
          </w:p>
        </w:tc>
        <w:tc>
          <w:tcPr>
            <w:tcW w:w="288" w:type="dxa"/>
            <w:vAlign w:val="bottom"/>
          </w:tcPr>
          <w:p w14:paraId="34FCBFC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6B31F140" w14:textId="77777777" w:rsidTr="00FD6D88">
        <w:trPr>
          <w:cantSplit/>
        </w:trPr>
        <w:tc>
          <w:tcPr>
            <w:tcW w:w="288" w:type="dxa"/>
          </w:tcPr>
          <w:p w14:paraId="1C3AA0E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103B4A5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DA064BE"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1D45A52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3DD20EF"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254535E9"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0AD45AB6" w14:textId="77777777" w:rsidTr="00FD6D88">
        <w:trPr>
          <w:cantSplit/>
        </w:trPr>
        <w:tc>
          <w:tcPr>
            <w:tcW w:w="288" w:type="dxa"/>
          </w:tcPr>
          <w:p w14:paraId="76011AA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367B8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D27A05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43F672C"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F65F1F5"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b) la preuve de l'accréditation selon la norme ISO 15189 comme décrit au § 5, 2°, pour les prestations exécutées.</w:t>
            </w:r>
            <w:r w:rsidRPr="00BB725F">
              <w:rPr>
                <w:rFonts w:ascii="Times New Roman" w:eastAsia="Times New Roman" w:hAnsi="Times New Roman" w:cs="Times New Roman"/>
                <w:sz w:val="20"/>
                <w:szCs w:val="20"/>
              </w:rPr>
              <w:t xml:space="preserve"> </w:t>
            </w:r>
            <w:r w:rsidRPr="00BB725F">
              <w:rPr>
                <w:rFonts w:ascii="Arial" w:eastAsia="Times New Roman" w:hAnsi="Arial" w:cs="Arial"/>
                <w:color w:val="0000FF"/>
                <w:sz w:val="20"/>
                <w:szCs w:val="20"/>
                <w:lang w:val="fr-FR"/>
              </w:rPr>
              <w:t>"</w:t>
            </w:r>
          </w:p>
        </w:tc>
        <w:tc>
          <w:tcPr>
            <w:tcW w:w="288" w:type="dxa"/>
            <w:vAlign w:val="bottom"/>
          </w:tcPr>
          <w:p w14:paraId="24FFF7DB"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46E6D83" w14:textId="77777777" w:rsidTr="00FD6D88">
        <w:trPr>
          <w:cantSplit/>
        </w:trPr>
        <w:tc>
          <w:tcPr>
            <w:tcW w:w="288" w:type="dxa"/>
          </w:tcPr>
          <w:p w14:paraId="0FA8BCE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5763BA0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27E40BF6"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72ABB46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4034E408"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481CD043"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966C905" w14:textId="77777777" w:rsidTr="00FD6D88">
        <w:trPr>
          <w:cantSplit/>
        </w:trPr>
        <w:tc>
          <w:tcPr>
            <w:tcW w:w="288" w:type="dxa"/>
          </w:tcPr>
          <w:p w14:paraId="6B6C05E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A2AEAB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B7B8E74"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E14CA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5EA608EA"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Times New Roman"/>
                <w:i/>
                <w:color w:val="0000FF"/>
                <w:sz w:val="18"/>
                <w:szCs w:val="20"/>
                <w:lang w:val="fr-FR"/>
              </w:rPr>
              <w:t>"A.R. 19.3.2008"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1.6.2008) +"A.R. 16.12.2022" (en</w:t>
            </w:r>
            <w:r w:rsidRPr="00BB725F">
              <w:rPr>
                <w:rFonts w:ascii="Arial" w:eastAsia="Times New Roman" w:hAnsi="Arial" w:cs="Times New Roman"/>
                <w:i/>
                <w:color w:val="0000FF"/>
                <w:sz w:val="18"/>
                <w:szCs w:val="20"/>
                <w:lang w:val="fr-CA"/>
              </w:rPr>
              <w:t xml:space="preserve"> vigueur</w:t>
            </w:r>
            <w:r w:rsidRPr="00BB725F">
              <w:rPr>
                <w:rFonts w:ascii="Arial" w:eastAsia="Times New Roman" w:hAnsi="Arial" w:cs="Times New Roman"/>
                <w:i/>
                <w:color w:val="0000FF"/>
                <w:sz w:val="18"/>
                <w:szCs w:val="20"/>
                <w:lang w:val="fr-FR"/>
              </w:rPr>
              <w:t xml:space="preserve"> 1.3.2023)</w:t>
            </w:r>
          </w:p>
        </w:tc>
        <w:tc>
          <w:tcPr>
            <w:tcW w:w="288" w:type="dxa"/>
            <w:vAlign w:val="bottom"/>
          </w:tcPr>
          <w:p w14:paraId="22B0F2FE"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70B4CB37" w14:textId="77777777" w:rsidTr="00FD6D88">
        <w:trPr>
          <w:cantSplit/>
        </w:trPr>
        <w:tc>
          <w:tcPr>
            <w:tcW w:w="288" w:type="dxa"/>
          </w:tcPr>
          <w:p w14:paraId="773AC158"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241848FA"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52B469F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6E525669"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67C9FBFE"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r w:rsidRPr="00BB725F">
              <w:rPr>
                <w:rFonts w:ascii="Arial" w:eastAsia="Times New Roman" w:hAnsi="Arial" w:cs="Arial"/>
                <w:color w:val="0000FF"/>
                <w:sz w:val="20"/>
                <w:szCs w:val="20"/>
                <w:lang w:val="fr-FR"/>
              </w:rPr>
              <w:t>"6° Le laboratoire doit à dater de l'entrée en vigueur de cet arrêté se soumettre aux contrôles exécutés par l'ISP.</w:t>
            </w:r>
            <w:r w:rsidRPr="00BB725F">
              <w:rPr>
                <w:rFonts w:ascii="Arial" w:eastAsia="Times New Roman" w:hAnsi="Arial" w:cs="Times New Roman"/>
                <w:color w:val="0000FF"/>
                <w:sz w:val="20"/>
                <w:szCs w:val="20"/>
                <w:lang w:val="fr-FR"/>
              </w:rPr>
              <w:t>"</w:t>
            </w:r>
          </w:p>
        </w:tc>
        <w:tc>
          <w:tcPr>
            <w:tcW w:w="288" w:type="dxa"/>
            <w:vAlign w:val="bottom"/>
          </w:tcPr>
          <w:p w14:paraId="4AD5373C"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r w:rsidR="00BB725F" w:rsidRPr="00BB725F" w14:paraId="139C254D" w14:textId="77777777" w:rsidTr="00FD6D88">
        <w:trPr>
          <w:cantSplit/>
        </w:trPr>
        <w:tc>
          <w:tcPr>
            <w:tcW w:w="288" w:type="dxa"/>
          </w:tcPr>
          <w:p w14:paraId="62E4F5B0"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576" w:type="dxa"/>
          </w:tcPr>
          <w:p w14:paraId="04B252C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481D8C95"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864" w:type="dxa"/>
          </w:tcPr>
          <w:p w14:paraId="30A6FB22" w14:textId="77777777" w:rsidR="00BB725F" w:rsidRPr="00BB725F" w:rsidRDefault="00BB725F" w:rsidP="00BB725F">
            <w:pPr>
              <w:spacing w:after="0" w:line="240" w:lineRule="atLeast"/>
              <w:rPr>
                <w:rFonts w:ascii="Times New Roman" w:eastAsia="Times New Roman" w:hAnsi="Times New Roman" w:cs="Times New Roman"/>
                <w:color w:val="0000FF"/>
                <w:sz w:val="20"/>
                <w:szCs w:val="20"/>
                <w:lang w:val="fr-FR"/>
              </w:rPr>
            </w:pPr>
          </w:p>
        </w:tc>
        <w:tc>
          <w:tcPr>
            <w:tcW w:w="6720" w:type="dxa"/>
            <w:gridSpan w:val="4"/>
          </w:tcPr>
          <w:p w14:paraId="10FD1A60" w14:textId="77777777" w:rsidR="00BB725F" w:rsidRPr="00BB725F" w:rsidRDefault="00BB725F" w:rsidP="00BB725F">
            <w:pPr>
              <w:spacing w:after="0" w:line="240" w:lineRule="atLeast"/>
              <w:jc w:val="both"/>
              <w:rPr>
                <w:rFonts w:ascii="Arial" w:eastAsia="Times New Roman" w:hAnsi="Arial" w:cs="Arial"/>
                <w:color w:val="0000FF"/>
                <w:sz w:val="20"/>
                <w:szCs w:val="20"/>
                <w:lang w:val="fr-FR"/>
              </w:rPr>
            </w:pPr>
          </w:p>
        </w:tc>
        <w:tc>
          <w:tcPr>
            <w:tcW w:w="288" w:type="dxa"/>
            <w:vAlign w:val="bottom"/>
          </w:tcPr>
          <w:p w14:paraId="58E9923D" w14:textId="77777777" w:rsidR="00BB725F" w:rsidRPr="00BB725F" w:rsidRDefault="00BB725F" w:rsidP="00BB725F">
            <w:pPr>
              <w:spacing w:after="0" w:line="240" w:lineRule="atLeast"/>
              <w:jc w:val="right"/>
              <w:rPr>
                <w:rFonts w:ascii="Times New Roman" w:eastAsia="Times New Roman" w:hAnsi="Times New Roman" w:cs="Times New Roman"/>
                <w:color w:val="0000FF"/>
                <w:sz w:val="20"/>
                <w:szCs w:val="20"/>
                <w:lang w:val="fr-FR"/>
              </w:rPr>
            </w:pPr>
          </w:p>
        </w:tc>
      </w:tr>
    </w:tbl>
    <w:p w14:paraId="7F9BD923" w14:textId="77777777" w:rsidR="002A37DD" w:rsidRDefault="002A37DD"/>
    <w:sectPr w:rsidR="002A37DD" w:rsidSect="00BB725F">
      <w:headerReference w:type="default" r:id="rId7"/>
      <w:footerReference w:type="default" r:id="rId8"/>
      <w:pgSz w:w="11906" w:h="16838" w:code="9"/>
      <w:pgMar w:top="1134" w:right="1134"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95C4" w14:textId="77777777" w:rsidR="00BB725F" w:rsidRDefault="00BB725F" w:rsidP="00BB725F">
      <w:pPr>
        <w:spacing w:after="0" w:line="240" w:lineRule="auto"/>
      </w:pPr>
      <w:r>
        <w:separator/>
      </w:r>
    </w:p>
  </w:endnote>
  <w:endnote w:type="continuationSeparator" w:id="0">
    <w:p w14:paraId="33A0AC9A" w14:textId="77777777" w:rsidR="00BB725F" w:rsidRDefault="00BB725F" w:rsidP="00BB7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E6DB" w14:textId="77777777" w:rsidR="00BB725F" w:rsidRPr="00BB725F" w:rsidRDefault="00BB725F" w:rsidP="00BB725F">
    <w:pPr>
      <w:tabs>
        <w:tab w:val="center" w:pos="4153"/>
        <w:tab w:val="right" w:pos="8306"/>
      </w:tabs>
      <w:spacing w:after="0" w:line="240" w:lineRule="auto"/>
      <w:rPr>
        <w:rFonts w:ascii="Times New Roman" w:eastAsia="Times New Roman" w:hAnsi="Times New Roman" w:cs="Times New Roman"/>
        <w:b/>
        <w:sz w:val="20"/>
        <w:szCs w:val="20"/>
        <w:lang w:val="fr-FR"/>
      </w:rPr>
    </w:pPr>
    <w:r w:rsidRPr="00BB725F">
      <w:rPr>
        <w:rFonts w:ascii="Times New Roman" w:eastAsia="Times New Roman" w:hAnsi="Times New Roman" w:cs="Times New Roman"/>
        <w:spacing w:val="-2"/>
        <w:sz w:val="20"/>
        <w:szCs w:val="20"/>
        <w:lang w:val="fr-FR"/>
      </w:rPr>
      <w:t>__________________________________________________________________________________________________</w:t>
    </w:r>
    <w:r w:rsidRPr="00BB725F">
      <w:rPr>
        <w:rFonts w:ascii="Times New Roman" w:eastAsia="Times New Roman" w:hAnsi="Times New Roman" w:cs="Times New Roman"/>
        <w:spacing w:val="-2"/>
        <w:sz w:val="20"/>
        <w:szCs w:val="20"/>
        <w:lang w:val="en-US"/>
      </w:rPr>
      <w:fldChar w:fldCharType="begin"/>
    </w:r>
    <w:r w:rsidRPr="00BB725F">
      <w:rPr>
        <w:rFonts w:ascii="Times New Roman" w:eastAsia="Times New Roman" w:hAnsi="Times New Roman" w:cs="Times New Roman"/>
        <w:spacing w:val="-2"/>
        <w:sz w:val="20"/>
        <w:szCs w:val="20"/>
        <w:lang w:val="fr-FR"/>
      </w:rPr>
      <w:instrText>ADVANCE \D 5.60</w:instrText>
    </w:r>
    <w:r w:rsidRPr="00BB725F">
      <w:rPr>
        <w:rFonts w:ascii="Times New Roman" w:eastAsia="Times New Roman" w:hAnsi="Times New Roman" w:cs="Times New Roman"/>
        <w:spacing w:val="-2"/>
        <w:sz w:val="20"/>
        <w:szCs w:val="20"/>
        <w:lang w:val="en-US"/>
      </w:rPr>
      <w:fldChar w:fldCharType="end"/>
    </w:r>
  </w:p>
  <w:p w14:paraId="5F446228" w14:textId="0F1442C8" w:rsidR="00BB725F" w:rsidRDefault="00BB725F" w:rsidP="00BB725F">
    <w:pPr>
      <w:tabs>
        <w:tab w:val="center" w:pos="4153"/>
        <w:tab w:val="right" w:pos="8306"/>
      </w:tabs>
      <w:spacing w:after="0" w:line="240" w:lineRule="auto"/>
      <w:jc w:val="center"/>
      <w:rPr>
        <w:rFonts w:ascii="Times New Roman" w:eastAsia="Times New Roman" w:hAnsi="Times New Roman" w:cs="Times New Roman"/>
        <w:b/>
        <w:sz w:val="20"/>
        <w:szCs w:val="20"/>
        <w:lang w:val="fr-FR"/>
      </w:rPr>
    </w:pPr>
    <w:r w:rsidRPr="00BB725F">
      <w:rPr>
        <w:rFonts w:ascii="Times New Roman" w:eastAsia="Times New Roman" w:hAnsi="Times New Roman" w:cs="Times New Roman"/>
        <w:b/>
        <w:sz w:val="20"/>
        <w:szCs w:val="20"/>
        <w:lang w:val="fr-FR"/>
      </w:rPr>
      <w:t>Texte en vigueur depuis le 01/03/2023</w:t>
    </w:r>
  </w:p>
  <w:p w14:paraId="1752B413" w14:textId="77777777" w:rsidR="00BB725F" w:rsidRPr="00BB725F" w:rsidRDefault="00BB725F" w:rsidP="00BB725F">
    <w:pPr>
      <w:tabs>
        <w:tab w:val="center" w:pos="4153"/>
        <w:tab w:val="right" w:pos="8306"/>
      </w:tabs>
      <w:spacing w:after="0" w:line="240" w:lineRule="auto"/>
      <w:jc w:val="center"/>
      <w:rPr>
        <w:rFonts w:ascii="Times New Roman" w:eastAsia="Times New Roman" w:hAnsi="Times New Roman" w:cs="Times New Roman"/>
        <w:b/>
        <w:sz w:val="20"/>
        <w:szCs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0314" w14:textId="77777777" w:rsidR="00BB725F" w:rsidRDefault="00BB725F" w:rsidP="00BB725F">
      <w:pPr>
        <w:spacing w:after="0" w:line="240" w:lineRule="auto"/>
      </w:pPr>
      <w:r>
        <w:separator/>
      </w:r>
    </w:p>
  </w:footnote>
  <w:footnote w:type="continuationSeparator" w:id="0">
    <w:p w14:paraId="704DF590" w14:textId="77777777" w:rsidR="00BB725F" w:rsidRDefault="00BB725F" w:rsidP="00BB72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00F3" w14:textId="77777777" w:rsidR="00BB725F" w:rsidRPr="00BB725F" w:rsidRDefault="00BB725F" w:rsidP="00BB725F">
    <w:pPr>
      <w:pStyle w:val="En-tte"/>
      <w:tabs>
        <w:tab w:val="center" w:pos="4820"/>
        <w:tab w:val="right" w:pos="9639"/>
      </w:tabs>
      <w:rPr>
        <w:rStyle w:val="Numrodepage"/>
        <w:rFonts w:ascii="Arial" w:hAnsi="Arial"/>
        <w:b/>
        <w:sz w:val="20"/>
        <w:szCs w:val="20"/>
      </w:rPr>
    </w:pPr>
    <w:r w:rsidRPr="00BB725F">
      <w:rPr>
        <w:rFonts w:ascii="Arial" w:hAnsi="Arial"/>
        <w:b/>
        <w:sz w:val="20"/>
        <w:szCs w:val="20"/>
      </w:rPr>
      <w:tab/>
    </w:r>
    <w:r w:rsidRPr="00BB725F">
      <w:rPr>
        <w:rFonts w:ascii="Arial" w:hAnsi="Arial"/>
        <w:b/>
        <w:color w:val="000000"/>
        <w:sz w:val="20"/>
        <w:szCs w:val="20"/>
      </w:rPr>
      <w:t>BIOLOGIE CLINIQUE</w:t>
    </w:r>
    <w:r w:rsidRPr="00BB725F">
      <w:rPr>
        <w:rFonts w:ascii="Arial" w:hAnsi="Arial"/>
        <w:b/>
        <w:sz w:val="20"/>
        <w:szCs w:val="20"/>
      </w:rPr>
      <w:tab/>
      <w:t xml:space="preserve">Art. 24bis pag. </w:t>
    </w:r>
    <w:r w:rsidRPr="00BB725F">
      <w:rPr>
        <w:rStyle w:val="Numrodepage"/>
        <w:rFonts w:ascii="Arial" w:hAnsi="Arial"/>
        <w:b/>
        <w:sz w:val="20"/>
        <w:szCs w:val="20"/>
      </w:rPr>
      <w:fldChar w:fldCharType="begin"/>
    </w:r>
    <w:r w:rsidRPr="00BB725F">
      <w:rPr>
        <w:rStyle w:val="Numrodepage"/>
        <w:rFonts w:ascii="Arial" w:hAnsi="Arial"/>
        <w:b/>
        <w:sz w:val="20"/>
        <w:szCs w:val="20"/>
      </w:rPr>
      <w:instrText xml:space="preserve"> PAGE </w:instrText>
    </w:r>
    <w:r w:rsidRPr="00BB725F">
      <w:rPr>
        <w:rStyle w:val="Numrodepage"/>
        <w:rFonts w:ascii="Arial" w:hAnsi="Arial"/>
        <w:b/>
        <w:sz w:val="20"/>
        <w:szCs w:val="20"/>
      </w:rPr>
      <w:fldChar w:fldCharType="separate"/>
    </w:r>
    <w:r w:rsidRPr="00BB725F">
      <w:rPr>
        <w:rStyle w:val="Numrodepage"/>
        <w:rFonts w:ascii="Arial" w:hAnsi="Arial"/>
        <w:b/>
        <w:sz w:val="20"/>
        <w:szCs w:val="20"/>
      </w:rPr>
      <w:t>1</w:t>
    </w:r>
    <w:r w:rsidRPr="00BB725F">
      <w:rPr>
        <w:rStyle w:val="Numrodepage"/>
        <w:rFonts w:ascii="Arial" w:hAnsi="Arial"/>
        <w:b/>
        <w:sz w:val="20"/>
        <w:szCs w:val="20"/>
      </w:rPr>
      <w:fldChar w:fldCharType="end"/>
    </w:r>
  </w:p>
  <w:p w14:paraId="5E4656FF" w14:textId="77777777" w:rsidR="00BB725F" w:rsidRPr="00BB725F" w:rsidRDefault="00BB725F" w:rsidP="00BB725F">
    <w:pPr>
      <w:pStyle w:val="En-tte"/>
      <w:rPr>
        <w:spacing w:val="-2"/>
        <w:sz w:val="20"/>
        <w:szCs w:val="20"/>
      </w:rPr>
    </w:pPr>
    <w:r w:rsidRPr="00BB725F">
      <w:rPr>
        <w:rFonts w:ascii="Arial" w:hAnsi="Arial"/>
        <w:i/>
        <w:sz w:val="20"/>
        <w:szCs w:val="20"/>
      </w:rPr>
      <w:t>coordination officieuse</w:t>
    </w:r>
    <w:r w:rsidRPr="00BB725F">
      <w:rPr>
        <w:spacing w:val="-2"/>
        <w:sz w:val="20"/>
        <w:szCs w:val="20"/>
      </w:rPr>
      <w:t xml:space="preserve"> </w:t>
    </w:r>
  </w:p>
  <w:p w14:paraId="4B8463FB" w14:textId="77777777" w:rsidR="00BB725F" w:rsidRPr="00BB725F" w:rsidRDefault="00BB725F" w:rsidP="00BB725F">
    <w:pPr>
      <w:pStyle w:val="En-tte"/>
      <w:rPr>
        <w:spacing w:val="-2"/>
        <w:sz w:val="20"/>
        <w:szCs w:val="20"/>
      </w:rPr>
    </w:pPr>
    <w:r w:rsidRPr="00BB725F">
      <w:rPr>
        <w:spacing w:val="-2"/>
        <w:sz w:val="20"/>
        <w:szCs w:val="20"/>
      </w:rPr>
      <w:t>__________________________________________________________________________________________________</w:t>
    </w:r>
  </w:p>
  <w:p w14:paraId="4F881065" w14:textId="77777777" w:rsidR="00BB725F" w:rsidRPr="00BB725F" w:rsidRDefault="00BB725F" w:rsidP="00BB725F">
    <w:pPr>
      <w:pStyle w:val="En-tt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269B5"/>
    <w:multiLevelType w:val="hybridMultilevel"/>
    <w:tmpl w:val="0C4C2AEE"/>
    <w:lvl w:ilvl="0" w:tplc="0813000F">
      <w:start w:val="1"/>
      <w:numFmt w:val="decimal"/>
      <w:lvlText w:val="%1."/>
      <w:lvlJc w:val="left"/>
      <w:pPr>
        <w:ind w:left="720" w:hanging="360"/>
      </w:pPr>
      <w:rPr>
        <w:rFonts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3B7A6AE1"/>
    <w:multiLevelType w:val="multilevel"/>
    <w:tmpl w:val="0E7858E2"/>
    <w:styleLink w:val="Numrotation"/>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8BF6C5F"/>
    <w:multiLevelType w:val="hybridMultilevel"/>
    <w:tmpl w:val="0C4C2AEE"/>
    <w:lvl w:ilvl="0" w:tplc="0813000F">
      <w:start w:val="1"/>
      <w:numFmt w:val="decimal"/>
      <w:lvlText w:val="%1."/>
      <w:lvlJc w:val="left"/>
      <w:pPr>
        <w:ind w:left="720" w:hanging="360"/>
      </w:pPr>
      <w:rPr>
        <w:rFonts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459181374">
    <w:abstractNumId w:val="1"/>
  </w:num>
  <w:num w:numId="2" w16cid:durableId="372271530">
    <w:abstractNumId w:val="1"/>
  </w:num>
  <w:num w:numId="3" w16cid:durableId="1726373332">
    <w:abstractNumId w:val="0"/>
  </w:num>
  <w:num w:numId="4" w16cid:durableId="1210262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25F"/>
    <w:rsid w:val="002A37DD"/>
    <w:rsid w:val="006372B0"/>
    <w:rsid w:val="00BA0D88"/>
    <w:rsid w:val="00BB725F"/>
    <w:rsid w:val="00C61658"/>
    <w:rsid w:val="00C624CE"/>
    <w:rsid w:val="00E07F5E"/>
    <w:rsid w:val="00EB0FE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D1BAF"/>
  <w15:chartTrackingRefBased/>
  <w15:docId w15:val="{3A59D590-BBDA-4DEA-811D-9C88621A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6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tation">
    <w:name w:val="Numérotation"/>
    <w:uiPriority w:val="99"/>
    <w:rsid w:val="00BA0D88"/>
    <w:pPr>
      <w:numPr>
        <w:numId w:val="1"/>
      </w:numPr>
    </w:pPr>
  </w:style>
  <w:style w:type="paragraph" w:styleId="En-tte">
    <w:name w:val="header"/>
    <w:basedOn w:val="Normal"/>
    <w:link w:val="En-tteCar"/>
    <w:rsid w:val="00BB725F"/>
    <w:pPr>
      <w:tabs>
        <w:tab w:val="center" w:pos="4513"/>
        <w:tab w:val="right" w:pos="9026"/>
      </w:tabs>
      <w:spacing w:after="0" w:line="240" w:lineRule="auto"/>
    </w:pPr>
  </w:style>
  <w:style w:type="character" w:customStyle="1" w:styleId="En-tteCar">
    <w:name w:val="En-tête Car"/>
    <w:basedOn w:val="Policepardfaut"/>
    <w:link w:val="En-tte"/>
    <w:uiPriority w:val="99"/>
    <w:rsid w:val="00BB725F"/>
  </w:style>
  <w:style w:type="paragraph" w:styleId="Pieddepage">
    <w:name w:val="footer"/>
    <w:basedOn w:val="Normal"/>
    <w:link w:val="PieddepageCar"/>
    <w:rsid w:val="00BB725F"/>
    <w:pPr>
      <w:tabs>
        <w:tab w:val="center" w:pos="4513"/>
        <w:tab w:val="right" w:pos="9026"/>
      </w:tabs>
      <w:spacing w:after="0" w:line="240" w:lineRule="auto"/>
    </w:pPr>
  </w:style>
  <w:style w:type="character" w:customStyle="1" w:styleId="PieddepageCar">
    <w:name w:val="Pied de page Car"/>
    <w:basedOn w:val="Policepardfaut"/>
    <w:link w:val="Pieddepage"/>
    <w:rsid w:val="00BB725F"/>
  </w:style>
  <w:style w:type="character" w:styleId="Numrodepage">
    <w:name w:val="page number"/>
    <w:basedOn w:val="Policepardfaut"/>
    <w:rsid w:val="00BB725F"/>
  </w:style>
  <w:style w:type="numbering" w:customStyle="1" w:styleId="Aucuneliste1">
    <w:name w:val="Aucune liste1"/>
    <w:next w:val="Aucuneliste"/>
    <w:uiPriority w:val="99"/>
    <w:semiHidden/>
    <w:unhideWhenUsed/>
    <w:rsid w:val="00BB725F"/>
  </w:style>
  <w:style w:type="paragraph" w:styleId="Paragraphedeliste">
    <w:name w:val="List Paragraph"/>
    <w:basedOn w:val="Normal"/>
    <w:uiPriority w:val="34"/>
    <w:qFormat/>
    <w:rsid w:val="00BB725F"/>
    <w:pPr>
      <w:spacing w:after="0" w:line="240" w:lineRule="auto"/>
      <w:ind w:left="720"/>
      <w:contextualSpacing/>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2389</Words>
  <Characters>15188</Characters>
  <Application>Microsoft Office Word</Application>
  <DocSecurity>0</DocSecurity>
  <Lines>126</Lines>
  <Paragraphs>35</Paragraphs>
  <ScaleCrop>false</ScaleCrop>
  <Company>RIZIV-INAMI</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Nausicaa Aguie (RIZIV-INAMI)</dc:creator>
  <cp:keywords/>
  <dc:description/>
  <cp:lastModifiedBy>Nausicaa Aguie (RIZIV-INAMI)</cp:lastModifiedBy>
  <cp:revision>2</cp:revision>
  <dcterms:created xsi:type="dcterms:W3CDTF">2023-02-27T13:08:00Z</dcterms:created>
  <dcterms:modified xsi:type="dcterms:W3CDTF">2023-02-27T13:14:00Z</dcterms:modified>
</cp:coreProperties>
</file>