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68F0F" w14:textId="61631542" w:rsidR="006C0E77" w:rsidRPr="00660FF1" w:rsidRDefault="006C0E77" w:rsidP="006C0E77">
      <w:pPr>
        <w:jc w:val="both"/>
        <w:rPr>
          <w:rFonts w:eastAsia="Calibri" w:cstheme="minorHAnsi"/>
          <w:b/>
          <w:lang w:val="nl-BE"/>
        </w:rPr>
      </w:pPr>
      <w:r w:rsidRPr="00660FF1">
        <w:rPr>
          <w:rFonts w:eastAsia="Calibri" w:cstheme="minorHAnsi"/>
          <w:b/>
          <w:lang w:val="nl-BE"/>
        </w:rPr>
        <w:t>Bijlage 3</w:t>
      </w:r>
      <w:r w:rsidR="006C4811" w:rsidRPr="00660FF1">
        <w:rPr>
          <w:rFonts w:eastAsia="Calibri" w:cstheme="minorHAnsi"/>
          <w:b/>
          <w:lang w:val="nl-BE"/>
        </w:rPr>
        <w:t xml:space="preserve"> </w:t>
      </w:r>
      <w:r w:rsidRPr="00660FF1">
        <w:rPr>
          <w:rFonts w:eastAsia="Calibri" w:cstheme="minorHAnsi"/>
          <w:b/>
          <w:lang w:val="nl-BE"/>
        </w:rPr>
        <w:t>: een niet-</w:t>
      </w:r>
      <w:r w:rsidR="0016793B" w:rsidRPr="00660FF1">
        <w:rPr>
          <w:rFonts w:eastAsia="Calibri" w:cstheme="minorHAnsi"/>
          <w:b/>
          <w:lang w:val="nl-BE"/>
        </w:rPr>
        <w:t xml:space="preserve">limitatieve </w:t>
      </w:r>
      <w:r w:rsidRPr="00660FF1">
        <w:rPr>
          <w:rFonts w:eastAsia="Calibri" w:cstheme="minorHAnsi"/>
          <w:b/>
          <w:lang w:val="nl-BE"/>
        </w:rPr>
        <w:t>lijst van</w:t>
      </w:r>
      <w:r w:rsidR="0016793B" w:rsidRPr="00660FF1">
        <w:rPr>
          <w:rFonts w:eastAsia="Calibri" w:cstheme="minorHAnsi"/>
          <w:b/>
          <w:lang w:val="nl-BE"/>
        </w:rPr>
        <w:t xml:space="preserve"> voorbeelden van</w:t>
      </w:r>
      <w:r w:rsidRPr="00660FF1">
        <w:rPr>
          <w:rFonts w:eastAsia="Calibri" w:cstheme="minorHAnsi"/>
          <w:b/>
          <w:lang w:val="nl-BE"/>
        </w:rPr>
        <w:t xml:space="preserve"> stukken die aldus niet in aanmerking komen als voldoende bewijs voor een aanvraag tot immunisatie.</w:t>
      </w:r>
    </w:p>
    <w:p w14:paraId="271B2C5C" w14:textId="3A0D98CF" w:rsidR="006C0E77" w:rsidRPr="00660FF1" w:rsidRDefault="006C0E77" w:rsidP="006C0E77">
      <w:pPr>
        <w:jc w:val="both"/>
        <w:rPr>
          <w:rFonts w:eastAsia="Calibri" w:cstheme="minorHAnsi"/>
          <w:lang w:val="nl-BE"/>
        </w:rPr>
      </w:pPr>
      <w:r w:rsidRPr="00660FF1">
        <w:rPr>
          <w:rFonts w:eastAsia="Calibri" w:cstheme="minorHAnsi"/>
          <w:lang w:val="nl-BE"/>
        </w:rPr>
        <w:t xml:space="preserve">De </w:t>
      </w:r>
      <w:r w:rsidR="00ED2797" w:rsidRPr="00660FF1">
        <w:rPr>
          <w:rFonts w:eastAsia="Calibri" w:cstheme="minorHAnsi"/>
          <w:lang w:val="nl-BE"/>
        </w:rPr>
        <w:t>D</w:t>
      </w:r>
      <w:r w:rsidRPr="00660FF1">
        <w:rPr>
          <w:rFonts w:eastAsia="Calibri" w:cstheme="minorHAnsi"/>
          <w:lang w:val="nl-BE"/>
        </w:rPr>
        <w:t>ienst stelt tevens vast dat een aantal stukken stelselmatig geweigerd worden omdat ze niet het eigenlijke verblijf in het buitenland kunnen bewijzen. Voorbeelden hiervan zijn:</w:t>
      </w:r>
    </w:p>
    <w:p w14:paraId="58818D47" w14:textId="70E64798" w:rsidR="006C0E77" w:rsidRPr="00660FF1" w:rsidRDefault="006C0E77" w:rsidP="006C0E77">
      <w:pPr>
        <w:numPr>
          <w:ilvl w:val="0"/>
          <w:numId w:val="1"/>
        </w:numPr>
        <w:spacing w:after="0" w:line="240" w:lineRule="auto"/>
        <w:contextualSpacing/>
        <w:jc w:val="both"/>
        <w:rPr>
          <w:rFonts w:eastAsia="Calibri" w:cstheme="minorHAnsi"/>
          <w:lang w:val="nl-BE"/>
        </w:rPr>
      </w:pPr>
      <w:r w:rsidRPr="00660FF1">
        <w:rPr>
          <w:rFonts w:eastAsia="Calibri" w:cstheme="minorHAnsi"/>
          <w:bCs/>
          <w:lang w:val="nl-BE"/>
        </w:rPr>
        <w:t xml:space="preserve">De aanvraag voor een zogenaamde </w:t>
      </w:r>
      <w:r w:rsidRPr="00660FF1">
        <w:rPr>
          <w:rFonts w:eastAsia="Calibri" w:cstheme="minorHAnsi"/>
          <w:b/>
          <w:lang w:val="nl-BE"/>
        </w:rPr>
        <w:t>“work permit” in Australië</w:t>
      </w:r>
      <w:r w:rsidRPr="00660FF1">
        <w:rPr>
          <w:rFonts w:eastAsia="Calibri" w:cstheme="minorHAnsi"/>
          <w:lang w:val="nl-BE"/>
        </w:rPr>
        <w:t>: Het is immers niet omdat een “work permit“</w:t>
      </w:r>
      <w:r w:rsidR="00ED2797" w:rsidRPr="00660FF1">
        <w:rPr>
          <w:rFonts w:eastAsia="Calibri" w:cstheme="minorHAnsi"/>
          <w:lang w:val="nl-BE"/>
        </w:rPr>
        <w:t xml:space="preserve"> </w:t>
      </w:r>
      <w:r w:rsidRPr="00660FF1">
        <w:rPr>
          <w:rFonts w:eastAsia="Calibri" w:cstheme="minorHAnsi"/>
          <w:lang w:val="nl-BE"/>
        </w:rPr>
        <w:t>werd aangevraagd en verkregen, dat daaruit kan afgeleid worden dat een verzekerde effectief in Australië verbleef – de “work permit” houdt enkel een toelating in om daar te gaan werken, maar zegt niets over het feit dat men effectief naar Australië gereisd is en de “work permit” ook gebruikt heeft. Het is dus enkel en hoogstens een indicatie, en zulk dossier moet aangevuld worden met stukken die het effectieve verblijf verder bewijzen.</w:t>
      </w:r>
    </w:p>
    <w:p w14:paraId="5A916D75" w14:textId="77777777" w:rsidR="008D1549" w:rsidRPr="00660FF1" w:rsidRDefault="008D1549" w:rsidP="008D1549">
      <w:pPr>
        <w:spacing w:after="0" w:line="240" w:lineRule="auto"/>
        <w:ind w:left="720"/>
        <w:contextualSpacing/>
        <w:jc w:val="both"/>
        <w:rPr>
          <w:rFonts w:eastAsia="Calibri" w:cstheme="minorHAnsi"/>
          <w:lang w:val="nl-BE"/>
        </w:rPr>
      </w:pPr>
    </w:p>
    <w:p w14:paraId="7D15BE0C" w14:textId="344D1B84" w:rsidR="006C0E77" w:rsidRPr="00660FF1" w:rsidRDefault="006C0E77" w:rsidP="006C0E77">
      <w:pPr>
        <w:numPr>
          <w:ilvl w:val="0"/>
          <w:numId w:val="1"/>
        </w:numPr>
        <w:spacing w:after="0" w:line="240" w:lineRule="auto"/>
        <w:contextualSpacing/>
        <w:jc w:val="both"/>
        <w:rPr>
          <w:rFonts w:eastAsia="Calibri" w:cstheme="minorHAnsi"/>
          <w:lang w:val="nl-BE"/>
        </w:rPr>
      </w:pPr>
      <w:r w:rsidRPr="00660FF1">
        <w:rPr>
          <w:rFonts w:eastAsia="Calibri" w:cstheme="minorHAnsi"/>
          <w:b/>
          <w:lang w:val="nl-BE"/>
        </w:rPr>
        <w:t>Bijlage 15</w:t>
      </w:r>
      <w:r w:rsidR="008D1549" w:rsidRPr="00660FF1">
        <w:rPr>
          <w:rFonts w:eastAsia="Calibri" w:cstheme="minorHAnsi"/>
          <w:b/>
          <w:lang w:val="nl-BE"/>
        </w:rPr>
        <w:t xml:space="preserve"> :</w:t>
      </w:r>
      <w:r w:rsidRPr="00660FF1">
        <w:rPr>
          <w:rFonts w:eastAsia="Calibri" w:cstheme="minorHAnsi"/>
          <w:lang w:val="nl-BE"/>
        </w:rPr>
        <w:t xml:space="preserve"> De bijlage 15 in het kader van de toegang van vreemdelingen tot het grondgebied : dit document dekt het voorlopig verblijf in België. Het wordt ons echter soms overgemaakt als bewijs dat de betrokken verzekerde </w:t>
      </w:r>
      <w:r w:rsidR="00ED2797" w:rsidRPr="00660FF1">
        <w:rPr>
          <w:rFonts w:eastAsia="Calibri" w:cstheme="minorHAnsi"/>
          <w:lang w:val="nl-BE"/>
        </w:rPr>
        <w:t>hiervoor</w:t>
      </w:r>
      <w:r w:rsidRPr="00660FF1">
        <w:rPr>
          <w:rFonts w:eastAsia="Calibri" w:cstheme="minorHAnsi"/>
          <w:lang w:val="nl-BE"/>
        </w:rPr>
        <w:t xml:space="preserve"> in het buitenland verbleef. Maar het opzet en de bedoeling van het attest is niet het verblijf in het buitenland aan te duiden, maar enkel het voorlopig verblijf in België te dekken. Men kan het m.a.w. niet gebruiken als bewijs voor het verblijf gedurende een bepaalde periode in het buitenland, want dat is niet de opzet en de bedoeling van dat document. Het kan hoogstens een indicatie zijn dat er </w:t>
      </w:r>
      <w:r w:rsidR="00ED2797" w:rsidRPr="00660FF1">
        <w:rPr>
          <w:rFonts w:eastAsia="Calibri" w:cstheme="minorHAnsi"/>
          <w:lang w:val="nl-BE"/>
        </w:rPr>
        <w:t>hiervoor</w:t>
      </w:r>
      <w:r w:rsidRPr="00660FF1">
        <w:rPr>
          <w:rFonts w:eastAsia="Calibri" w:cstheme="minorHAnsi"/>
          <w:lang w:val="nl-BE"/>
        </w:rPr>
        <w:t xml:space="preserve"> een verblijf in het buitenland was, maar het is nooit te beschouwen als afdoende bewijs.</w:t>
      </w:r>
    </w:p>
    <w:p w14:paraId="4628C9B8" w14:textId="77777777" w:rsidR="006C0E77" w:rsidRPr="006C0E77" w:rsidRDefault="006C0E77" w:rsidP="006C0E77">
      <w:pPr>
        <w:rPr>
          <w:rFonts w:ascii="Calibri" w:eastAsia="Calibri" w:hAnsi="Calibri" w:cs="Times New Roman"/>
          <w:lang w:val="nl-BE"/>
        </w:rPr>
      </w:pPr>
    </w:p>
    <w:p w14:paraId="25CF7F52" w14:textId="77777777" w:rsidR="001E1871" w:rsidRPr="006C0E77" w:rsidRDefault="001E1871">
      <w:pPr>
        <w:rPr>
          <w:lang w:val="nl-BE"/>
        </w:rPr>
      </w:pPr>
    </w:p>
    <w:sectPr w:rsidR="001E1871" w:rsidRPr="006C0E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1707B7"/>
    <w:multiLevelType w:val="hybridMultilevel"/>
    <w:tmpl w:val="F0B8735E"/>
    <w:lvl w:ilvl="0" w:tplc="B5D07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E77"/>
    <w:rsid w:val="0016793B"/>
    <w:rsid w:val="0017290C"/>
    <w:rsid w:val="001E1871"/>
    <w:rsid w:val="002334D0"/>
    <w:rsid w:val="00641F17"/>
    <w:rsid w:val="00660FF1"/>
    <w:rsid w:val="006C0E77"/>
    <w:rsid w:val="006C4811"/>
    <w:rsid w:val="007A4C94"/>
    <w:rsid w:val="008D1549"/>
    <w:rsid w:val="00ED2797"/>
    <w:rsid w:val="00FF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4A60"/>
  <w15:chartTrackingRefBased/>
  <w15:docId w15:val="{5438BDA0-70E1-4EEA-AF2D-A50253F4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4811"/>
    <w:rPr>
      <w:sz w:val="16"/>
      <w:szCs w:val="16"/>
    </w:rPr>
  </w:style>
  <w:style w:type="paragraph" w:styleId="CommentText">
    <w:name w:val="annotation text"/>
    <w:basedOn w:val="Normal"/>
    <w:link w:val="CommentTextChar"/>
    <w:uiPriority w:val="99"/>
    <w:semiHidden/>
    <w:unhideWhenUsed/>
    <w:rsid w:val="006C4811"/>
    <w:pPr>
      <w:spacing w:line="240" w:lineRule="auto"/>
    </w:pPr>
    <w:rPr>
      <w:sz w:val="20"/>
      <w:szCs w:val="20"/>
    </w:rPr>
  </w:style>
  <w:style w:type="character" w:customStyle="1" w:styleId="CommentTextChar">
    <w:name w:val="Comment Text Char"/>
    <w:basedOn w:val="DefaultParagraphFont"/>
    <w:link w:val="CommentText"/>
    <w:uiPriority w:val="99"/>
    <w:semiHidden/>
    <w:rsid w:val="006C4811"/>
    <w:rPr>
      <w:sz w:val="20"/>
      <w:szCs w:val="20"/>
    </w:rPr>
  </w:style>
  <w:style w:type="paragraph" w:styleId="CommentSubject">
    <w:name w:val="annotation subject"/>
    <w:basedOn w:val="CommentText"/>
    <w:next w:val="CommentText"/>
    <w:link w:val="CommentSubjectChar"/>
    <w:uiPriority w:val="99"/>
    <w:semiHidden/>
    <w:unhideWhenUsed/>
    <w:rsid w:val="006C4811"/>
    <w:rPr>
      <w:b/>
      <w:bCs/>
    </w:rPr>
  </w:style>
  <w:style w:type="character" w:customStyle="1" w:styleId="CommentSubjectChar">
    <w:name w:val="Comment Subject Char"/>
    <w:basedOn w:val="CommentTextChar"/>
    <w:link w:val="CommentSubject"/>
    <w:uiPriority w:val="99"/>
    <w:semiHidden/>
    <w:rsid w:val="006C48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2022-09-02T22:00:00+00:00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24</Value>
      <Value>92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6EDC093B-D513-46BC-B70C-9E43537431EB}"/>
</file>

<file path=customXml/itemProps2.xml><?xml version="1.0" encoding="utf-8"?>
<ds:datastoreItem xmlns:ds="http://schemas.openxmlformats.org/officeDocument/2006/customXml" ds:itemID="{22ABB7B8-E696-4F7F-9DE7-07322AB8CFC9}"/>
</file>

<file path=customXml/itemProps3.xml><?xml version="1.0" encoding="utf-8"?>
<ds:datastoreItem xmlns:ds="http://schemas.openxmlformats.org/officeDocument/2006/customXml" ds:itemID="{717660CE-814E-47C1-8D53-F271520418E9}"/>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1374</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RIZIV-INAMI</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2022/319 – bijlage 3 - Dienst administratieve controle</dc:title>
  <dc:subject/>
  <dc:creator>Karlien Van Hellemont</dc:creator>
  <cp:keywords/>
  <dc:description/>
  <cp:lastModifiedBy>Maaike De Loor (RIZIV-INAMI)</cp:lastModifiedBy>
  <cp:revision>2</cp:revision>
  <dcterms:created xsi:type="dcterms:W3CDTF">2022-09-06T08:35:00Z</dcterms:created>
  <dcterms:modified xsi:type="dcterms:W3CDTF">2022-09-06T08:35:00Z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92;#Circulaire|9d6b496f-bb23-418e-a963-57bb7fe71634</vt:lpwstr>
  </property>
  <property fmtid="{D5CDD505-2E9C-101B-9397-08002B2CF9AE}" pid="7" name="Publication type for documents">
    <vt:lpwstr/>
  </property>
</Properties>
</file>