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4B9" w14:textId="77777777" w:rsidR="00D93E98" w:rsidRPr="003C2D8A" w:rsidRDefault="00D93E98" w:rsidP="00D93E98">
      <w:pPr>
        <w:pBdr>
          <w:bottom w:val="single" w:sz="4" w:space="1" w:color="auto"/>
        </w:pBdr>
        <w:jc w:val="both"/>
        <w:rPr>
          <w:b/>
          <w:bCs/>
          <w:sz w:val="24"/>
          <w:szCs w:val="24"/>
          <w:lang w:val="nl-NL"/>
        </w:rPr>
      </w:pPr>
      <w:r w:rsidRPr="003C2D8A">
        <w:rPr>
          <w:b/>
          <w:bCs/>
          <w:sz w:val="24"/>
          <w:szCs w:val="24"/>
          <w:lang w:val="nl-NL"/>
        </w:rPr>
        <w:t>Rapportering m.b.t. het recht op geneeskundige verstrekkingen voor ontheemden uit Oekraïne</w:t>
      </w:r>
    </w:p>
    <w:p w14:paraId="63A37421" w14:textId="77777777" w:rsidR="00D93E98" w:rsidRPr="002C4A6F" w:rsidRDefault="00D93E98" w:rsidP="00D93E98">
      <w:pPr>
        <w:pStyle w:val="ListParagraph"/>
        <w:numPr>
          <w:ilvl w:val="0"/>
          <w:numId w:val="1"/>
        </w:numPr>
        <w:jc w:val="both"/>
        <w:rPr>
          <w:lang w:val="nl-NL"/>
        </w:rPr>
      </w:pPr>
      <w:r w:rsidRPr="002C4A6F">
        <w:rPr>
          <w:lang w:val="nl-NL"/>
        </w:rPr>
        <w:t>Inleiding</w:t>
      </w:r>
    </w:p>
    <w:p w14:paraId="10AB03AB" w14:textId="77777777" w:rsidR="00D93E98" w:rsidRPr="002C4A6F" w:rsidRDefault="00D93E98" w:rsidP="00D93E98">
      <w:pPr>
        <w:jc w:val="both"/>
        <w:rPr>
          <w:lang w:val="nl-NL"/>
        </w:rPr>
      </w:pPr>
      <w:r w:rsidRPr="002C4A6F">
        <w:rPr>
          <w:lang w:val="nl-NL"/>
        </w:rPr>
        <w:t>Naar aanleiding van de massale toestroom van ontheemden uit Oekraïne heeft de Raad van de Europese Unie een tijdelijke bescherming ingevoerd voor bepaalde categorieën personen die sinds 24 februari 2022 ontheemd zijn geraakt als gevolg van de militaire invasie door de Russische strijdkrachten die op die datum begon.</w:t>
      </w:r>
    </w:p>
    <w:p w14:paraId="0BB86F78" w14:textId="77777777" w:rsidR="00D93E98" w:rsidRDefault="00D93E98" w:rsidP="00D93E98">
      <w:pPr>
        <w:jc w:val="both"/>
        <w:rPr>
          <w:lang w:val="nl-NL"/>
        </w:rPr>
      </w:pPr>
      <w:r>
        <w:rPr>
          <w:lang w:val="nl-NL"/>
        </w:rPr>
        <w:t>Voor de personen met een recht op d</w:t>
      </w:r>
      <w:r w:rsidRPr="002C4A6F">
        <w:rPr>
          <w:lang w:val="nl-NL"/>
        </w:rPr>
        <w:t>eze tijdelijke bescherming word</w:t>
      </w:r>
      <w:r>
        <w:rPr>
          <w:lang w:val="nl-NL"/>
        </w:rPr>
        <w:t xml:space="preserve">en binnen de VGVU bijzondere afspraken voorzien voor hun inschrijving bij een ziekenfonds en hun recht op de verhoogde tegemoetkoming (V.T.) en Maximfactuur.  Deze staan beschreven in de </w:t>
      </w:r>
      <w:r w:rsidRPr="002C4A6F">
        <w:rPr>
          <w:lang w:val="nl-NL"/>
        </w:rPr>
        <w:t>Omzendbrief VI nr.  2022/217 van 8 juni 2022</w:t>
      </w:r>
      <w:r>
        <w:rPr>
          <w:lang w:val="nl-NL"/>
        </w:rPr>
        <w:t>.</w:t>
      </w:r>
    </w:p>
    <w:p w14:paraId="3D9918D9" w14:textId="77777777" w:rsidR="00D93E98" w:rsidRPr="003C2D8A" w:rsidRDefault="00D93E98" w:rsidP="00D93E98">
      <w:pPr>
        <w:pStyle w:val="ListParagraph"/>
        <w:numPr>
          <w:ilvl w:val="0"/>
          <w:numId w:val="1"/>
        </w:numPr>
        <w:jc w:val="both"/>
        <w:rPr>
          <w:lang w:val="nl-NL"/>
        </w:rPr>
      </w:pPr>
      <w:r>
        <w:rPr>
          <w:lang w:val="nl-NL"/>
        </w:rPr>
        <w:t xml:space="preserve">Rapportering </w:t>
      </w:r>
    </w:p>
    <w:p w14:paraId="355B16E6" w14:textId="424812F9" w:rsidR="00D93E98" w:rsidRPr="00213AAB" w:rsidRDefault="00D93E98" w:rsidP="00D93E98">
      <w:pPr>
        <w:spacing w:after="0" w:line="240" w:lineRule="auto"/>
        <w:rPr>
          <w:rFonts w:ascii="Calibri" w:eastAsia="Calibri" w:hAnsi="Calibri" w:cs="Calibri"/>
          <w:lang w:val="nl-NL"/>
        </w:rPr>
      </w:pPr>
      <w:r w:rsidRPr="00213AAB">
        <w:rPr>
          <w:rFonts w:ascii="Calibri" w:eastAsia="Calibri" w:hAnsi="Calibri" w:cs="Calibri"/>
          <w:lang w:val="nl-NL"/>
        </w:rPr>
        <w:t xml:space="preserve">Om de integratie van deze </w:t>
      </w:r>
      <w:commentRangeStart w:id="0"/>
      <w:r w:rsidRPr="00213AAB">
        <w:rPr>
          <w:rFonts w:ascii="Calibri" w:eastAsia="Calibri" w:hAnsi="Calibri" w:cs="Calibri"/>
          <w:lang w:val="nl-NL"/>
        </w:rPr>
        <w:t>verzekerde</w:t>
      </w:r>
      <w:commentRangeEnd w:id="0"/>
      <w:r w:rsidR="00477D7C">
        <w:rPr>
          <w:rStyle w:val="CommentReference"/>
        </w:rPr>
        <w:commentReference w:id="0"/>
      </w:r>
      <w:r w:rsidR="00ED1B09" w:rsidRPr="00ED1B09">
        <w:rPr>
          <w:rFonts w:ascii="Calibri" w:eastAsia="Calibri" w:hAnsi="Calibri" w:cs="Calibri"/>
          <w:lang w:val="nl-NL"/>
        </w:rPr>
        <w:t xml:space="preserve">n </w:t>
      </w:r>
      <w:r w:rsidRPr="00213AAB">
        <w:rPr>
          <w:rFonts w:ascii="Calibri" w:eastAsia="Calibri" w:hAnsi="Calibri" w:cs="Calibri"/>
          <w:lang w:val="nl-NL"/>
        </w:rPr>
        <w:t xml:space="preserve">en de toepassing van de tijdelijke maatregelen te kunnen monitoren, bestaat een behoefte om te beschikken over cijfergegevens. </w:t>
      </w:r>
    </w:p>
    <w:p w14:paraId="028A35C6" w14:textId="77777777" w:rsidR="00D93E98" w:rsidRPr="00213AAB" w:rsidRDefault="00D93E98" w:rsidP="00D93E98">
      <w:pPr>
        <w:spacing w:after="0" w:line="240" w:lineRule="auto"/>
        <w:rPr>
          <w:rFonts w:ascii="Calibri" w:eastAsia="Calibri" w:hAnsi="Calibri" w:cs="Calibri"/>
          <w:lang w:val="nl-NL"/>
        </w:rPr>
      </w:pPr>
      <w:r w:rsidRPr="00213AAB">
        <w:rPr>
          <w:rFonts w:ascii="Calibri" w:eastAsia="Calibri" w:hAnsi="Calibri" w:cs="Calibri"/>
          <w:lang w:val="nl-NL"/>
        </w:rPr>
        <w:t> </w:t>
      </w:r>
    </w:p>
    <w:p w14:paraId="0B3D9399" w14:textId="1D818CDE" w:rsidR="00D93E98" w:rsidRPr="00213AAB" w:rsidRDefault="00D93E98" w:rsidP="00D93E98">
      <w:pPr>
        <w:spacing w:after="0" w:line="240" w:lineRule="auto"/>
        <w:rPr>
          <w:rFonts w:ascii="Calibri" w:eastAsia="Calibri" w:hAnsi="Calibri" w:cs="Calibri"/>
          <w:lang w:val="nl-NL"/>
        </w:rPr>
      </w:pPr>
      <w:r>
        <w:rPr>
          <w:rFonts w:ascii="Calibri" w:eastAsia="Calibri" w:hAnsi="Calibri" w:cs="Calibri"/>
          <w:lang w:val="nl-NL"/>
        </w:rPr>
        <w:t xml:space="preserve">De </w:t>
      </w:r>
      <w:commentRangeStart w:id="1"/>
      <w:r>
        <w:rPr>
          <w:rFonts w:ascii="Calibri" w:eastAsia="Calibri" w:hAnsi="Calibri" w:cs="Calibri"/>
          <w:lang w:val="nl-NL"/>
        </w:rPr>
        <w:t>V</w:t>
      </w:r>
      <w:r w:rsidR="00ED1B09">
        <w:rPr>
          <w:rFonts w:ascii="Calibri" w:eastAsia="Calibri" w:hAnsi="Calibri" w:cs="Calibri"/>
          <w:lang w:val="nl-NL"/>
        </w:rPr>
        <w:t>.</w:t>
      </w:r>
      <w:r>
        <w:rPr>
          <w:rFonts w:ascii="Calibri" w:eastAsia="Calibri" w:hAnsi="Calibri" w:cs="Calibri"/>
          <w:lang w:val="nl-NL"/>
        </w:rPr>
        <w:t>I</w:t>
      </w:r>
      <w:commentRangeEnd w:id="1"/>
      <w:r w:rsidR="00ED1B09">
        <w:rPr>
          <w:rFonts w:ascii="Calibri" w:eastAsia="Calibri" w:hAnsi="Calibri" w:cs="Calibri"/>
          <w:lang w:val="nl-NL"/>
        </w:rPr>
        <w:t>.</w:t>
      </w:r>
      <w:r w:rsidR="00477D7C">
        <w:rPr>
          <w:rStyle w:val="CommentReference"/>
        </w:rPr>
        <w:commentReference w:id="1"/>
      </w:r>
      <w:r>
        <w:rPr>
          <w:rFonts w:ascii="Calibri" w:eastAsia="Calibri" w:hAnsi="Calibri" w:cs="Calibri"/>
          <w:lang w:val="nl-NL"/>
        </w:rPr>
        <w:t xml:space="preserve"> leveren maandelijks op de 3</w:t>
      </w:r>
      <w:r w:rsidRPr="002C4A6F">
        <w:rPr>
          <w:rFonts w:ascii="Calibri" w:eastAsia="Calibri" w:hAnsi="Calibri" w:cs="Calibri"/>
          <w:vertAlign w:val="superscript"/>
          <w:lang w:val="nl-NL"/>
        </w:rPr>
        <w:t>de</w:t>
      </w:r>
      <w:r>
        <w:rPr>
          <w:rFonts w:ascii="Calibri" w:eastAsia="Calibri" w:hAnsi="Calibri" w:cs="Calibri"/>
          <w:lang w:val="nl-NL"/>
        </w:rPr>
        <w:t xml:space="preserve"> </w:t>
      </w:r>
      <w:r w:rsidRPr="00213AAB">
        <w:rPr>
          <w:rFonts w:ascii="Calibri" w:eastAsia="Calibri" w:hAnsi="Calibri" w:cs="Calibri"/>
          <w:lang w:val="nl-NL"/>
        </w:rPr>
        <w:t xml:space="preserve">vrijdag </w:t>
      </w:r>
      <w:r>
        <w:rPr>
          <w:rFonts w:ascii="Calibri" w:eastAsia="Calibri" w:hAnsi="Calibri" w:cs="Calibri"/>
          <w:lang w:val="nl-NL"/>
        </w:rPr>
        <w:t>van de maand</w:t>
      </w:r>
      <w:r w:rsidRPr="00213AAB">
        <w:rPr>
          <w:rFonts w:ascii="Calibri" w:eastAsia="Calibri" w:hAnsi="Calibri" w:cs="Calibri"/>
          <w:lang w:val="nl-NL"/>
        </w:rPr>
        <w:t xml:space="preserve"> volgende gegevens </w:t>
      </w:r>
      <w:r>
        <w:rPr>
          <w:rFonts w:ascii="Calibri" w:eastAsia="Calibri" w:hAnsi="Calibri" w:cs="Calibri"/>
          <w:lang w:val="nl-NL"/>
        </w:rPr>
        <w:t>aan de Directie Beheer en controle van toegankelijkheidsgegevens (Directie ACCES) van de DAC van</w:t>
      </w:r>
      <w:r w:rsidRPr="00213AAB">
        <w:rPr>
          <w:rFonts w:ascii="Calibri" w:eastAsia="Calibri" w:hAnsi="Calibri" w:cs="Calibri"/>
          <w:lang w:val="nl-NL"/>
        </w:rPr>
        <w:t xml:space="preserve"> het RIZIV</w:t>
      </w:r>
      <w:r>
        <w:rPr>
          <w:rFonts w:ascii="Calibri" w:eastAsia="Calibri" w:hAnsi="Calibri" w:cs="Calibri"/>
          <w:lang w:val="nl-NL"/>
        </w:rPr>
        <w:t>:</w:t>
      </w:r>
    </w:p>
    <w:p w14:paraId="5453FD92" w14:textId="383D7370" w:rsidR="00D93E98" w:rsidRPr="00213AAB" w:rsidRDefault="00D93E98" w:rsidP="00D93E98">
      <w:pPr>
        <w:numPr>
          <w:ilvl w:val="0"/>
          <w:numId w:val="2"/>
        </w:numPr>
        <w:spacing w:after="0" w:line="240" w:lineRule="auto"/>
        <w:rPr>
          <w:rFonts w:ascii="Calibri" w:eastAsia="Times New Roman" w:hAnsi="Calibri" w:cs="Calibri"/>
          <w:lang w:val="nl-NL"/>
        </w:rPr>
      </w:pPr>
      <w:r w:rsidRPr="00213AAB">
        <w:rPr>
          <w:rFonts w:ascii="Calibri" w:eastAsia="Times New Roman" w:hAnsi="Calibri" w:cs="Calibri"/>
          <w:lang w:val="nl-NL"/>
        </w:rPr>
        <w:t xml:space="preserve">De gerechtigden die tijdelijke bescherming genieten per hoedanigheid (Code </w:t>
      </w:r>
      <w:r w:rsidR="00ED1B09">
        <w:rPr>
          <w:rFonts w:ascii="Calibri" w:eastAsia="Times New Roman" w:hAnsi="Calibri" w:cs="Calibri"/>
          <w:lang w:val="nl-NL"/>
        </w:rPr>
        <w:t>gerechtigde</w:t>
      </w:r>
      <w:r w:rsidRPr="00213AAB">
        <w:rPr>
          <w:rFonts w:ascii="Calibri" w:eastAsia="Times New Roman" w:hAnsi="Calibri" w:cs="Calibri"/>
          <w:lang w:val="nl-NL"/>
        </w:rPr>
        <w:t xml:space="preserve"> uit ledentallenbestanden)</w:t>
      </w:r>
    </w:p>
    <w:p w14:paraId="3533A239" w14:textId="71EB4E9B" w:rsidR="00D93E98" w:rsidRDefault="00D93E98" w:rsidP="00D93E98">
      <w:pPr>
        <w:numPr>
          <w:ilvl w:val="0"/>
          <w:numId w:val="2"/>
        </w:numPr>
        <w:spacing w:after="0" w:line="240" w:lineRule="auto"/>
        <w:rPr>
          <w:rFonts w:ascii="Calibri" w:eastAsia="Times New Roman" w:hAnsi="Calibri" w:cs="Calibri"/>
          <w:lang w:val="nl-NL"/>
        </w:rPr>
      </w:pPr>
      <w:r w:rsidRPr="00213AAB">
        <w:rPr>
          <w:rFonts w:ascii="Calibri" w:eastAsia="Times New Roman" w:hAnsi="Calibri" w:cs="Calibri"/>
          <w:lang w:val="nl-NL"/>
        </w:rPr>
        <w:t>Het aantal PTL die tijdelijke bescherming genieten</w:t>
      </w:r>
    </w:p>
    <w:p w14:paraId="18E3273F" w14:textId="77777777" w:rsidR="00D93E98" w:rsidRPr="00213AAB" w:rsidRDefault="00D93E98" w:rsidP="00D93E98">
      <w:pPr>
        <w:spacing w:after="0" w:line="240" w:lineRule="auto"/>
        <w:ind w:left="720"/>
        <w:rPr>
          <w:rFonts w:ascii="Calibri" w:eastAsia="Times New Roman" w:hAnsi="Calibri" w:cs="Calibri"/>
          <w:lang w:val="nl-NL"/>
        </w:rPr>
      </w:pPr>
    </w:p>
    <w:p w14:paraId="5D655AC0" w14:textId="1141E07E" w:rsidR="00D93E98" w:rsidRDefault="00D93E98" w:rsidP="00D93E98">
      <w:pPr>
        <w:spacing w:after="0" w:line="240" w:lineRule="auto"/>
        <w:rPr>
          <w:rFonts w:ascii="Calibri" w:eastAsia="Calibri" w:hAnsi="Calibri" w:cs="Calibri"/>
          <w:lang w:val="nl-NL"/>
        </w:rPr>
      </w:pPr>
      <w:r w:rsidRPr="00213AAB">
        <w:rPr>
          <w:rFonts w:ascii="Calibri" w:eastAsia="Calibri" w:hAnsi="Calibri" w:cs="Calibri"/>
          <w:lang w:val="nl-NL"/>
        </w:rPr>
        <w:t>De V</w:t>
      </w:r>
      <w:r w:rsidR="000B7838">
        <w:rPr>
          <w:rFonts w:ascii="Calibri" w:eastAsia="Calibri" w:hAnsi="Calibri" w:cs="Calibri"/>
          <w:lang w:val="nl-NL"/>
        </w:rPr>
        <w:t>.</w:t>
      </w:r>
      <w:r w:rsidRPr="00213AAB">
        <w:rPr>
          <w:rFonts w:ascii="Calibri" w:eastAsia="Calibri" w:hAnsi="Calibri" w:cs="Calibri"/>
          <w:lang w:val="nl-NL"/>
        </w:rPr>
        <w:t>I</w:t>
      </w:r>
      <w:r w:rsidR="000B7838">
        <w:rPr>
          <w:rFonts w:ascii="Calibri" w:eastAsia="Calibri" w:hAnsi="Calibri" w:cs="Calibri"/>
          <w:lang w:val="nl-NL"/>
        </w:rPr>
        <w:t>.</w:t>
      </w:r>
      <w:r w:rsidRPr="00213AAB">
        <w:rPr>
          <w:rFonts w:ascii="Calibri" w:eastAsia="Calibri" w:hAnsi="Calibri" w:cs="Calibri"/>
          <w:lang w:val="nl-NL"/>
        </w:rPr>
        <w:t xml:space="preserve"> communiceren niet de “hoedanigheid” van de PTL</w:t>
      </w:r>
      <w:r w:rsidR="000B7838">
        <w:rPr>
          <w:rFonts w:ascii="Calibri" w:eastAsia="Calibri" w:hAnsi="Calibri" w:cs="Calibri"/>
          <w:lang w:val="nl-NL"/>
        </w:rPr>
        <w:t xml:space="preserve"> </w:t>
      </w:r>
      <w:r w:rsidRPr="00213AAB">
        <w:rPr>
          <w:rFonts w:ascii="Calibri" w:eastAsia="Calibri" w:hAnsi="Calibri" w:cs="Calibri"/>
          <w:lang w:val="nl-NL"/>
        </w:rPr>
        <w:t>noch het type PTL</w:t>
      </w:r>
      <w:r>
        <w:rPr>
          <w:rFonts w:ascii="Calibri" w:eastAsia="Calibri" w:hAnsi="Calibri" w:cs="Calibri"/>
          <w:lang w:val="nl-NL"/>
        </w:rPr>
        <w:t xml:space="preserve"> (echtgenoot, kind, </w:t>
      </w:r>
      <w:r w:rsidRPr="002C4A6F">
        <w:rPr>
          <w:rFonts w:ascii="Calibri" w:eastAsia="Calibri" w:hAnsi="Calibri" w:cs="Calibri"/>
          <w:lang w:val="nl-NL"/>
        </w:rPr>
        <w:t>ascendenten,</w:t>
      </w:r>
      <w:r>
        <w:rPr>
          <w:rFonts w:ascii="Calibri" w:eastAsia="Calibri" w:hAnsi="Calibri" w:cs="Calibri"/>
          <w:lang w:val="nl-NL"/>
        </w:rPr>
        <w:t xml:space="preserve"> samenwonende)</w:t>
      </w:r>
      <w:r w:rsidRPr="00213AAB">
        <w:rPr>
          <w:rFonts w:ascii="Calibri" w:eastAsia="Calibri" w:hAnsi="Calibri" w:cs="Calibri"/>
          <w:lang w:val="nl-NL"/>
        </w:rPr>
        <w:t>.</w:t>
      </w:r>
      <w:r>
        <w:rPr>
          <w:rFonts w:ascii="Calibri" w:eastAsia="Calibri" w:hAnsi="Calibri" w:cs="Calibri"/>
          <w:lang w:val="nl-NL"/>
        </w:rPr>
        <w:t xml:space="preserve"> </w:t>
      </w:r>
    </w:p>
    <w:p w14:paraId="145760CD" w14:textId="1ABF788E" w:rsidR="00D93E98" w:rsidRPr="00213AAB" w:rsidRDefault="00D93E98" w:rsidP="00D93E98">
      <w:pPr>
        <w:spacing w:after="0" w:line="240" w:lineRule="auto"/>
        <w:rPr>
          <w:rFonts w:ascii="Calibri" w:eastAsia="Calibri" w:hAnsi="Calibri" w:cs="Calibri"/>
          <w:lang w:val="nl-NL"/>
        </w:rPr>
      </w:pPr>
      <w:r>
        <w:rPr>
          <w:rFonts w:ascii="Calibri" w:eastAsia="Calibri" w:hAnsi="Calibri" w:cs="Calibri"/>
          <w:lang w:val="nl-NL"/>
        </w:rPr>
        <w:t>De tabel</w:t>
      </w:r>
      <w:r w:rsidR="000B7838">
        <w:rPr>
          <w:rFonts w:ascii="Calibri" w:eastAsia="Calibri" w:hAnsi="Calibri" w:cs="Calibri"/>
          <w:lang w:val="nl-NL"/>
        </w:rPr>
        <w:t xml:space="preserve"> </w:t>
      </w:r>
      <w:r>
        <w:rPr>
          <w:rFonts w:ascii="Calibri" w:eastAsia="Calibri" w:hAnsi="Calibri" w:cs="Calibri"/>
          <w:lang w:val="nl-NL"/>
        </w:rPr>
        <w:t>1 hieronder geeft een weergave van de structuur.</w:t>
      </w:r>
    </w:p>
    <w:p w14:paraId="77296545" w14:textId="77777777" w:rsidR="00D93E98" w:rsidRPr="00213AAB" w:rsidRDefault="00D93E98" w:rsidP="00D93E98">
      <w:pPr>
        <w:spacing w:after="0" w:line="240" w:lineRule="auto"/>
        <w:rPr>
          <w:rFonts w:ascii="Calibri" w:eastAsia="Calibri" w:hAnsi="Calibri" w:cs="Calibri"/>
          <w:lang w:val="nl-NL"/>
        </w:rPr>
      </w:pPr>
      <w:r w:rsidRPr="00213AAB">
        <w:rPr>
          <w:rFonts w:ascii="Calibri" w:eastAsia="Calibri" w:hAnsi="Calibri" w:cs="Calibri"/>
          <w:lang w:val="nl-NL"/>
        </w:rPr>
        <w:t> </w:t>
      </w:r>
    </w:p>
    <w:p w14:paraId="0A1F0F3E" w14:textId="3E8095AF" w:rsidR="00D93E98" w:rsidRDefault="00D93E98" w:rsidP="00D93E98">
      <w:pPr>
        <w:rPr>
          <w:lang w:val="nl-NL"/>
        </w:rPr>
      </w:pPr>
      <w:r w:rsidRPr="004629CE">
        <w:rPr>
          <w:lang w:val="nl-NL"/>
        </w:rPr>
        <w:t>Elke</w:t>
      </w:r>
      <w:r>
        <w:rPr>
          <w:lang w:val="nl-NL"/>
        </w:rPr>
        <w:t xml:space="preserve"> maand</w:t>
      </w:r>
      <w:r w:rsidRPr="004629CE">
        <w:rPr>
          <w:lang w:val="nl-NL"/>
        </w:rPr>
        <w:t xml:space="preserve"> komt er per V.I. een Excelbestand toe in de mailbox </w:t>
      </w:r>
      <w:hyperlink r:id="rId11" w:history="1">
        <w:r w:rsidRPr="003E583B">
          <w:rPr>
            <w:rStyle w:val="Hyperlink"/>
            <w:lang w:val="nl-NL"/>
          </w:rPr>
          <w:t>dac-acces@riziv-inami.fgov.be</w:t>
        </w:r>
      </w:hyperlink>
      <w:r w:rsidRPr="004629CE">
        <w:rPr>
          <w:lang w:val="nl-NL"/>
        </w:rPr>
        <w:t xml:space="preserve"> met het statistisch rapport</w:t>
      </w:r>
      <w:r>
        <w:rPr>
          <w:lang w:val="nl-NL"/>
        </w:rPr>
        <w:t xml:space="preserve">. </w:t>
      </w:r>
      <w:r w:rsidRPr="004629CE">
        <w:rPr>
          <w:lang w:val="nl-NL"/>
        </w:rPr>
        <w:t xml:space="preserve">Het RIZIV brengt de data van de verschillende V.I. samen door deze cijfers in te brengen in een template. </w:t>
      </w:r>
    </w:p>
    <w:tbl>
      <w:tblPr>
        <w:tblW w:w="8965" w:type="dxa"/>
        <w:tblCellMar>
          <w:left w:w="70" w:type="dxa"/>
          <w:right w:w="70" w:type="dxa"/>
        </w:tblCellMar>
        <w:tblLook w:val="04A0" w:firstRow="1" w:lastRow="0" w:firstColumn="1" w:lastColumn="0" w:noHBand="0" w:noVBand="1"/>
      </w:tblPr>
      <w:tblGrid>
        <w:gridCol w:w="2652"/>
        <w:gridCol w:w="4193"/>
        <w:gridCol w:w="2120"/>
      </w:tblGrid>
      <w:tr w:rsidR="00D93E98" w:rsidRPr="001206BA" w14:paraId="455C73E2" w14:textId="77777777" w:rsidTr="00B20789">
        <w:trPr>
          <w:trHeight w:val="382"/>
          <w:tblHeader/>
        </w:trPr>
        <w:tc>
          <w:tcPr>
            <w:tcW w:w="8965"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tcPr>
          <w:p w14:paraId="649864B6" w14:textId="77777777" w:rsidR="00D93E98" w:rsidRPr="001206BA"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Tabel 1</w:t>
            </w:r>
          </w:p>
        </w:tc>
      </w:tr>
      <w:tr w:rsidR="00D93E98" w:rsidRPr="001206BA" w14:paraId="5DF5B56C" w14:textId="77777777" w:rsidTr="00B20789">
        <w:trPr>
          <w:trHeight w:val="382"/>
          <w:tblHeader/>
        </w:trPr>
        <w:tc>
          <w:tcPr>
            <w:tcW w:w="265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hideMark/>
          </w:tcPr>
          <w:p w14:paraId="06D66FCF" w14:textId="77777777" w:rsidR="00D93E98" w:rsidRPr="007020E4"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 xml:space="preserve">Code gerechtigde </w:t>
            </w:r>
          </w:p>
        </w:tc>
        <w:tc>
          <w:tcPr>
            <w:tcW w:w="4193" w:type="dxa"/>
            <w:tcBorders>
              <w:top w:val="single" w:sz="4" w:space="0" w:color="auto"/>
              <w:left w:val="nil"/>
              <w:bottom w:val="single" w:sz="4" w:space="0" w:color="auto"/>
              <w:right w:val="single" w:sz="4" w:space="0" w:color="auto"/>
            </w:tcBorders>
            <w:shd w:val="clear" w:color="auto" w:fill="DEEAF6" w:themeFill="accent5" w:themeFillTint="33"/>
            <w:noWrap/>
            <w:hideMark/>
          </w:tcPr>
          <w:p w14:paraId="6B8C0F58"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G</w:t>
            </w:r>
            <w:r w:rsidRPr="001206BA">
              <w:rPr>
                <w:rFonts w:eastAsia="Times New Roman" w:cstheme="minorHAnsi"/>
                <w:lang w:val="nl-NL" w:eastAsia="nl-NL"/>
              </w:rPr>
              <w:t xml:space="preserve">erechtigden </w:t>
            </w:r>
          </w:p>
        </w:tc>
        <w:tc>
          <w:tcPr>
            <w:tcW w:w="2118" w:type="dxa"/>
            <w:tcBorders>
              <w:top w:val="single" w:sz="4" w:space="0" w:color="auto"/>
              <w:left w:val="nil"/>
              <w:bottom w:val="single" w:sz="4" w:space="0" w:color="auto"/>
              <w:right w:val="single" w:sz="4" w:space="0" w:color="auto"/>
            </w:tcBorders>
            <w:shd w:val="clear" w:color="auto" w:fill="DEEAF6" w:themeFill="accent5" w:themeFillTint="33"/>
            <w:noWrap/>
            <w:hideMark/>
          </w:tcPr>
          <w:p w14:paraId="7735972E"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PTL</w:t>
            </w:r>
          </w:p>
        </w:tc>
      </w:tr>
      <w:tr w:rsidR="00D93E98" w:rsidRPr="001206BA" w14:paraId="7BC3AB5A"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363DD7DC"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100/100</w:t>
            </w:r>
          </w:p>
        </w:tc>
        <w:tc>
          <w:tcPr>
            <w:tcW w:w="4193" w:type="dxa"/>
            <w:tcBorders>
              <w:top w:val="nil"/>
              <w:left w:val="nil"/>
              <w:bottom w:val="single" w:sz="4" w:space="0" w:color="auto"/>
              <w:right w:val="single" w:sz="4" w:space="0" w:color="auto"/>
            </w:tcBorders>
            <w:shd w:val="clear" w:color="auto" w:fill="auto"/>
            <w:noWrap/>
            <w:vAlign w:val="bottom"/>
            <w:hideMark/>
          </w:tcPr>
          <w:p w14:paraId="7D8EF4C6"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 </w:t>
            </w: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705158AC" w14:textId="77777777" w:rsidR="00D93E98" w:rsidRPr="007020E4" w:rsidRDefault="00D93E98" w:rsidP="00B20789">
            <w:pPr>
              <w:spacing w:after="0" w:line="240" w:lineRule="auto"/>
              <w:jc w:val="right"/>
              <w:rPr>
                <w:rFonts w:eastAsia="Times New Roman" w:cstheme="minorHAnsi"/>
                <w:lang w:val="nl-NL" w:eastAsia="nl-NL"/>
              </w:rPr>
            </w:pPr>
          </w:p>
        </w:tc>
      </w:tr>
      <w:tr w:rsidR="00D93E98" w:rsidRPr="001206BA" w14:paraId="5E557947"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1C91990E"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101/101</w:t>
            </w:r>
          </w:p>
        </w:tc>
        <w:tc>
          <w:tcPr>
            <w:tcW w:w="4193" w:type="dxa"/>
            <w:tcBorders>
              <w:top w:val="nil"/>
              <w:left w:val="nil"/>
              <w:bottom w:val="single" w:sz="4" w:space="0" w:color="auto"/>
              <w:right w:val="single" w:sz="4" w:space="0" w:color="auto"/>
            </w:tcBorders>
            <w:shd w:val="clear" w:color="auto" w:fill="auto"/>
            <w:noWrap/>
            <w:vAlign w:val="bottom"/>
            <w:hideMark/>
          </w:tcPr>
          <w:p w14:paraId="18A95D38" w14:textId="77777777" w:rsidR="00D93E98" w:rsidRPr="007020E4" w:rsidRDefault="00D93E98" w:rsidP="00B20789">
            <w:pPr>
              <w:spacing w:after="0" w:line="240" w:lineRule="auto"/>
              <w:jc w:val="right"/>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3469EA7C" w14:textId="77777777" w:rsidR="00D93E98" w:rsidRPr="007020E4" w:rsidRDefault="00D93E98" w:rsidP="00B20789">
            <w:pPr>
              <w:spacing w:after="0" w:line="240" w:lineRule="auto"/>
              <w:jc w:val="center"/>
              <w:rPr>
                <w:rFonts w:eastAsia="Times New Roman" w:cstheme="minorHAnsi"/>
                <w:lang w:val="nl-NL" w:eastAsia="nl-NL"/>
              </w:rPr>
            </w:pPr>
          </w:p>
        </w:tc>
      </w:tr>
      <w:tr w:rsidR="00D93E98" w:rsidRPr="001206BA" w14:paraId="40BF065A"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101A77A8"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110/110</w:t>
            </w:r>
          </w:p>
        </w:tc>
        <w:tc>
          <w:tcPr>
            <w:tcW w:w="4193" w:type="dxa"/>
            <w:tcBorders>
              <w:top w:val="nil"/>
              <w:left w:val="nil"/>
              <w:bottom w:val="single" w:sz="4" w:space="0" w:color="auto"/>
              <w:right w:val="single" w:sz="4" w:space="0" w:color="auto"/>
            </w:tcBorders>
            <w:shd w:val="clear" w:color="auto" w:fill="auto"/>
            <w:noWrap/>
            <w:vAlign w:val="bottom"/>
            <w:hideMark/>
          </w:tcPr>
          <w:p w14:paraId="626D19DB"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 </w:t>
            </w: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0E85DEBF" w14:textId="77777777" w:rsidR="00D93E98" w:rsidRPr="007020E4" w:rsidRDefault="00D93E98" w:rsidP="00B20789">
            <w:pPr>
              <w:spacing w:after="0" w:line="240" w:lineRule="auto"/>
              <w:jc w:val="center"/>
              <w:rPr>
                <w:rFonts w:eastAsia="Times New Roman" w:cstheme="minorHAnsi"/>
                <w:lang w:val="nl-NL" w:eastAsia="nl-NL"/>
              </w:rPr>
            </w:pPr>
          </w:p>
        </w:tc>
      </w:tr>
      <w:tr w:rsidR="00D93E98" w:rsidRPr="001206BA" w14:paraId="3D98B46A"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7B6370AD"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111/111</w:t>
            </w:r>
          </w:p>
        </w:tc>
        <w:tc>
          <w:tcPr>
            <w:tcW w:w="4193" w:type="dxa"/>
            <w:tcBorders>
              <w:top w:val="nil"/>
              <w:left w:val="nil"/>
              <w:bottom w:val="single" w:sz="4" w:space="0" w:color="auto"/>
              <w:right w:val="single" w:sz="4" w:space="0" w:color="auto"/>
            </w:tcBorders>
            <w:shd w:val="clear" w:color="auto" w:fill="auto"/>
            <w:noWrap/>
            <w:vAlign w:val="bottom"/>
            <w:hideMark/>
          </w:tcPr>
          <w:p w14:paraId="30E68FB7" w14:textId="77777777" w:rsidR="00D93E98" w:rsidRPr="007020E4" w:rsidRDefault="00D93E98" w:rsidP="00B20789">
            <w:pPr>
              <w:spacing w:after="0" w:line="240" w:lineRule="auto"/>
              <w:jc w:val="right"/>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1824247E" w14:textId="77777777" w:rsidR="00D93E98" w:rsidRPr="007020E4" w:rsidRDefault="00D93E98" w:rsidP="00B20789">
            <w:pPr>
              <w:spacing w:after="0" w:line="240" w:lineRule="auto"/>
              <w:jc w:val="right"/>
              <w:rPr>
                <w:rFonts w:eastAsia="Times New Roman" w:cstheme="minorHAnsi"/>
                <w:lang w:val="nl-NL" w:eastAsia="nl-NL"/>
              </w:rPr>
            </w:pPr>
          </w:p>
        </w:tc>
      </w:tr>
      <w:tr w:rsidR="00D93E98" w:rsidRPr="001206BA" w14:paraId="79AC95ED"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264E1AA7"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121/121</w:t>
            </w:r>
          </w:p>
        </w:tc>
        <w:tc>
          <w:tcPr>
            <w:tcW w:w="4193" w:type="dxa"/>
            <w:tcBorders>
              <w:top w:val="nil"/>
              <w:left w:val="nil"/>
              <w:bottom w:val="single" w:sz="4" w:space="0" w:color="auto"/>
              <w:right w:val="single" w:sz="4" w:space="0" w:color="auto"/>
            </w:tcBorders>
            <w:shd w:val="clear" w:color="auto" w:fill="auto"/>
            <w:noWrap/>
            <w:vAlign w:val="bottom"/>
            <w:hideMark/>
          </w:tcPr>
          <w:p w14:paraId="1D6151D6" w14:textId="77777777" w:rsidR="00D93E98" w:rsidRPr="007020E4" w:rsidRDefault="00D93E98" w:rsidP="00B20789">
            <w:pPr>
              <w:spacing w:after="0" w:line="240" w:lineRule="auto"/>
              <w:jc w:val="right"/>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398D3810" w14:textId="77777777" w:rsidR="00D93E98" w:rsidRPr="007020E4" w:rsidRDefault="00D93E98" w:rsidP="00B20789">
            <w:pPr>
              <w:spacing w:after="0" w:line="240" w:lineRule="auto"/>
              <w:jc w:val="right"/>
              <w:rPr>
                <w:rFonts w:eastAsia="Times New Roman" w:cstheme="minorHAnsi"/>
                <w:lang w:val="nl-NL" w:eastAsia="nl-NL"/>
              </w:rPr>
            </w:pPr>
          </w:p>
        </w:tc>
      </w:tr>
      <w:tr w:rsidR="00D93E98" w:rsidRPr="001206BA" w14:paraId="2D763F50"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6D009650"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131/131</w:t>
            </w:r>
          </w:p>
        </w:tc>
        <w:tc>
          <w:tcPr>
            <w:tcW w:w="4193" w:type="dxa"/>
            <w:tcBorders>
              <w:top w:val="nil"/>
              <w:left w:val="nil"/>
              <w:bottom w:val="single" w:sz="4" w:space="0" w:color="auto"/>
              <w:right w:val="single" w:sz="4" w:space="0" w:color="auto"/>
            </w:tcBorders>
            <w:shd w:val="clear" w:color="auto" w:fill="auto"/>
            <w:noWrap/>
            <w:vAlign w:val="bottom"/>
            <w:hideMark/>
          </w:tcPr>
          <w:p w14:paraId="4A936696"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 </w:t>
            </w: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13D35526" w14:textId="77777777" w:rsidR="00D93E98" w:rsidRPr="007020E4" w:rsidRDefault="00D93E98" w:rsidP="00B20789">
            <w:pPr>
              <w:spacing w:after="0" w:line="240" w:lineRule="auto"/>
              <w:jc w:val="right"/>
              <w:rPr>
                <w:rFonts w:eastAsia="Times New Roman" w:cstheme="minorHAnsi"/>
                <w:lang w:val="nl-NL" w:eastAsia="nl-NL"/>
              </w:rPr>
            </w:pPr>
          </w:p>
        </w:tc>
      </w:tr>
      <w:tr w:rsidR="00D93E98" w:rsidRPr="001206BA" w14:paraId="18BC6A2A"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2C67B5DB"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141/141</w:t>
            </w:r>
          </w:p>
        </w:tc>
        <w:tc>
          <w:tcPr>
            <w:tcW w:w="4193" w:type="dxa"/>
            <w:tcBorders>
              <w:top w:val="nil"/>
              <w:left w:val="nil"/>
              <w:bottom w:val="single" w:sz="4" w:space="0" w:color="auto"/>
              <w:right w:val="single" w:sz="4" w:space="0" w:color="auto"/>
            </w:tcBorders>
            <w:shd w:val="clear" w:color="auto" w:fill="auto"/>
            <w:noWrap/>
            <w:vAlign w:val="bottom"/>
            <w:hideMark/>
          </w:tcPr>
          <w:p w14:paraId="21B86B93"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 </w:t>
            </w: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3B03B826" w14:textId="77777777" w:rsidR="00D93E98" w:rsidRPr="007020E4" w:rsidRDefault="00D93E98" w:rsidP="00B20789">
            <w:pPr>
              <w:spacing w:after="0" w:line="240" w:lineRule="auto"/>
              <w:jc w:val="right"/>
              <w:rPr>
                <w:rFonts w:eastAsia="Times New Roman" w:cstheme="minorHAnsi"/>
                <w:lang w:val="nl-NL" w:eastAsia="nl-NL"/>
              </w:rPr>
            </w:pPr>
          </w:p>
        </w:tc>
      </w:tr>
      <w:tr w:rsidR="00D93E98" w:rsidRPr="001206BA" w14:paraId="1E023C83"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tcPr>
          <w:p w14:paraId="0F41975D" w14:textId="77777777" w:rsidR="00D93E98" w:rsidRPr="001206BA"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151/151</w:t>
            </w:r>
          </w:p>
        </w:tc>
        <w:tc>
          <w:tcPr>
            <w:tcW w:w="4193" w:type="dxa"/>
            <w:tcBorders>
              <w:top w:val="nil"/>
              <w:left w:val="nil"/>
              <w:bottom w:val="single" w:sz="4" w:space="0" w:color="auto"/>
              <w:right w:val="single" w:sz="4" w:space="0" w:color="auto"/>
            </w:tcBorders>
            <w:shd w:val="clear" w:color="auto" w:fill="auto"/>
            <w:noWrap/>
            <w:vAlign w:val="bottom"/>
          </w:tcPr>
          <w:p w14:paraId="625896E9" w14:textId="77777777" w:rsidR="00D93E98" w:rsidRPr="001206BA" w:rsidRDefault="00D93E98" w:rsidP="00B20789">
            <w:pPr>
              <w:spacing w:after="0" w:line="240" w:lineRule="auto"/>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tcPr>
          <w:p w14:paraId="7BA25776" w14:textId="77777777" w:rsidR="00D93E98" w:rsidRPr="001206BA" w:rsidRDefault="00D93E98" w:rsidP="00B20789">
            <w:pPr>
              <w:spacing w:after="0" w:line="240" w:lineRule="auto"/>
              <w:jc w:val="right"/>
              <w:rPr>
                <w:rFonts w:eastAsia="Times New Roman" w:cstheme="minorHAnsi"/>
                <w:lang w:val="nl-NL" w:eastAsia="nl-NL"/>
              </w:rPr>
            </w:pPr>
          </w:p>
        </w:tc>
      </w:tr>
      <w:tr w:rsidR="00D93E98" w:rsidRPr="001206BA" w14:paraId="5E206002"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56D81DC5"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180/307</w:t>
            </w:r>
          </w:p>
        </w:tc>
        <w:tc>
          <w:tcPr>
            <w:tcW w:w="4193" w:type="dxa"/>
            <w:tcBorders>
              <w:top w:val="nil"/>
              <w:left w:val="nil"/>
              <w:bottom w:val="single" w:sz="4" w:space="0" w:color="auto"/>
              <w:right w:val="single" w:sz="4" w:space="0" w:color="auto"/>
            </w:tcBorders>
            <w:shd w:val="clear" w:color="auto" w:fill="auto"/>
            <w:noWrap/>
            <w:vAlign w:val="bottom"/>
            <w:hideMark/>
          </w:tcPr>
          <w:p w14:paraId="3BFAE08A" w14:textId="77777777" w:rsidR="00D93E98" w:rsidRPr="007020E4" w:rsidRDefault="00D93E98" w:rsidP="00B20789">
            <w:pPr>
              <w:spacing w:after="0" w:line="240" w:lineRule="auto"/>
              <w:jc w:val="center"/>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2284DD09"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 </w:t>
            </w:r>
          </w:p>
        </w:tc>
      </w:tr>
      <w:tr w:rsidR="00D93E98" w:rsidRPr="001206BA" w14:paraId="06AD6A30"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1B102058"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lastRenderedPageBreak/>
              <w:t>410/460</w:t>
            </w:r>
          </w:p>
        </w:tc>
        <w:tc>
          <w:tcPr>
            <w:tcW w:w="4193" w:type="dxa"/>
            <w:tcBorders>
              <w:top w:val="nil"/>
              <w:left w:val="nil"/>
              <w:bottom w:val="single" w:sz="4" w:space="0" w:color="auto"/>
              <w:right w:val="single" w:sz="4" w:space="0" w:color="auto"/>
            </w:tcBorders>
            <w:shd w:val="clear" w:color="auto" w:fill="auto"/>
            <w:noWrap/>
            <w:vAlign w:val="bottom"/>
            <w:hideMark/>
          </w:tcPr>
          <w:p w14:paraId="54B58DDC"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 </w:t>
            </w: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54100C1C" w14:textId="77777777" w:rsidR="00D93E98" w:rsidRPr="007020E4" w:rsidRDefault="00D93E98" w:rsidP="00B20789">
            <w:pPr>
              <w:spacing w:after="0" w:line="240" w:lineRule="auto"/>
              <w:jc w:val="right"/>
              <w:rPr>
                <w:rFonts w:eastAsia="Times New Roman" w:cstheme="minorHAnsi"/>
                <w:lang w:val="nl-NL" w:eastAsia="nl-NL"/>
              </w:rPr>
            </w:pPr>
          </w:p>
        </w:tc>
      </w:tr>
      <w:tr w:rsidR="00D93E98" w:rsidRPr="001206BA" w14:paraId="62D7D3D9"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tcPr>
          <w:p w14:paraId="45CF6903" w14:textId="77777777" w:rsidR="00D93E98" w:rsidRPr="001206BA"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411/461</w:t>
            </w:r>
          </w:p>
        </w:tc>
        <w:tc>
          <w:tcPr>
            <w:tcW w:w="4193" w:type="dxa"/>
            <w:tcBorders>
              <w:top w:val="nil"/>
              <w:left w:val="nil"/>
              <w:bottom w:val="single" w:sz="4" w:space="0" w:color="auto"/>
              <w:right w:val="single" w:sz="4" w:space="0" w:color="auto"/>
            </w:tcBorders>
            <w:shd w:val="clear" w:color="auto" w:fill="auto"/>
            <w:noWrap/>
            <w:vAlign w:val="bottom"/>
          </w:tcPr>
          <w:p w14:paraId="40FC6D0F" w14:textId="77777777" w:rsidR="00D93E98" w:rsidRPr="001206BA" w:rsidRDefault="00D93E98" w:rsidP="00B20789">
            <w:pPr>
              <w:spacing w:after="0" w:line="240" w:lineRule="auto"/>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tcPr>
          <w:p w14:paraId="2EF0B18A" w14:textId="77777777" w:rsidR="00D93E98" w:rsidRPr="001206BA" w:rsidRDefault="00D93E98" w:rsidP="00B20789">
            <w:pPr>
              <w:spacing w:after="0" w:line="240" w:lineRule="auto"/>
              <w:jc w:val="right"/>
              <w:rPr>
                <w:rFonts w:eastAsia="Times New Roman" w:cstheme="minorHAnsi"/>
                <w:lang w:val="nl-NL" w:eastAsia="nl-NL"/>
              </w:rPr>
            </w:pPr>
          </w:p>
        </w:tc>
      </w:tr>
      <w:tr w:rsidR="00D93E98" w:rsidRPr="001206BA" w14:paraId="396CBE73"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tcPr>
          <w:p w14:paraId="0CE70812" w14:textId="77777777" w:rsidR="00D93E98" w:rsidRPr="001206BA"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420/460</w:t>
            </w:r>
          </w:p>
        </w:tc>
        <w:tc>
          <w:tcPr>
            <w:tcW w:w="4193" w:type="dxa"/>
            <w:tcBorders>
              <w:top w:val="nil"/>
              <w:left w:val="nil"/>
              <w:bottom w:val="single" w:sz="4" w:space="0" w:color="auto"/>
              <w:right w:val="single" w:sz="4" w:space="0" w:color="auto"/>
            </w:tcBorders>
            <w:shd w:val="clear" w:color="auto" w:fill="auto"/>
            <w:noWrap/>
            <w:vAlign w:val="bottom"/>
          </w:tcPr>
          <w:p w14:paraId="162D6505" w14:textId="77777777" w:rsidR="00D93E98" w:rsidRPr="001206BA" w:rsidRDefault="00D93E98" w:rsidP="00B20789">
            <w:pPr>
              <w:spacing w:after="0" w:line="240" w:lineRule="auto"/>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tcPr>
          <w:p w14:paraId="6689396B" w14:textId="77777777" w:rsidR="00D93E98" w:rsidRPr="001206BA" w:rsidRDefault="00D93E98" w:rsidP="00B20789">
            <w:pPr>
              <w:spacing w:after="0" w:line="240" w:lineRule="auto"/>
              <w:jc w:val="right"/>
              <w:rPr>
                <w:rFonts w:eastAsia="Times New Roman" w:cstheme="minorHAnsi"/>
                <w:lang w:val="nl-NL" w:eastAsia="nl-NL"/>
              </w:rPr>
            </w:pPr>
          </w:p>
        </w:tc>
      </w:tr>
      <w:tr w:rsidR="00D93E98" w:rsidRPr="001206BA" w14:paraId="7799560D"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1BD30FEE" w14:textId="77777777" w:rsidR="00D93E98" w:rsidRPr="007020E4" w:rsidRDefault="00D93E98" w:rsidP="00B20789">
            <w:pPr>
              <w:spacing w:after="0" w:line="240" w:lineRule="auto"/>
              <w:rPr>
                <w:rFonts w:eastAsia="Times New Roman" w:cstheme="minorHAnsi"/>
                <w:lang w:val="nl-NL" w:eastAsia="nl-NL"/>
              </w:rPr>
            </w:pPr>
            <w:r w:rsidRPr="007020E4">
              <w:rPr>
                <w:rFonts w:eastAsia="Times New Roman" w:cstheme="minorHAnsi"/>
                <w:lang w:val="nl-NL" w:eastAsia="nl-NL"/>
              </w:rPr>
              <w:t>4</w:t>
            </w:r>
            <w:r w:rsidRPr="001206BA">
              <w:rPr>
                <w:rFonts w:eastAsia="Times New Roman" w:cstheme="minorHAnsi"/>
                <w:lang w:val="nl-NL" w:eastAsia="nl-NL"/>
              </w:rPr>
              <w:t>2</w:t>
            </w:r>
            <w:r w:rsidRPr="007020E4">
              <w:rPr>
                <w:rFonts w:eastAsia="Times New Roman" w:cstheme="minorHAnsi"/>
                <w:lang w:val="nl-NL" w:eastAsia="nl-NL"/>
              </w:rPr>
              <w:t>1/461</w:t>
            </w:r>
          </w:p>
        </w:tc>
        <w:tc>
          <w:tcPr>
            <w:tcW w:w="4193" w:type="dxa"/>
            <w:tcBorders>
              <w:top w:val="nil"/>
              <w:left w:val="nil"/>
              <w:bottom w:val="single" w:sz="4" w:space="0" w:color="auto"/>
              <w:right w:val="single" w:sz="4" w:space="0" w:color="auto"/>
            </w:tcBorders>
            <w:shd w:val="clear" w:color="auto" w:fill="auto"/>
            <w:noWrap/>
            <w:vAlign w:val="bottom"/>
            <w:hideMark/>
          </w:tcPr>
          <w:p w14:paraId="0B16E240" w14:textId="77777777" w:rsidR="00D93E98" w:rsidRPr="007020E4" w:rsidRDefault="00D93E98" w:rsidP="00B20789">
            <w:pPr>
              <w:spacing w:after="0" w:line="240" w:lineRule="auto"/>
              <w:jc w:val="center"/>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hideMark/>
          </w:tcPr>
          <w:p w14:paraId="07F25AFD" w14:textId="77777777" w:rsidR="00D93E98" w:rsidRPr="007020E4" w:rsidRDefault="00D93E98" w:rsidP="00B20789">
            <w:pPr>
              <w:spacing w:after="0" w:line="240" w:lineRule="auto"/>
              <w:jc w:val="right"/>
              <w:rPr>
                <w:rFonts w:eastAsia="Times New Roman" w:cstheme="minorHAnsi"/>
                <w:lang w:val="nl-NL" w:eastAsia="nl-NL"/>
              </w:rPr>
            </w:pPr>
          </w:p>
        </w:tc>
      </w:tr>
      <w:tr w:rsidR="00D93E98" w:rsidRPr="001206BA" w14:paraId="15803D68"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tcPr>
          <w:p w14:paraId="50872F20" w14:textId="77777777" w:rsidR="00D93E98" w:rsidRPr="001206BA"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430/460</w:t>
            </w:r>
          </w:p>
        </w:tc>
        <w:tc>
          <w:tcPr>
            <w:tcW w:w="4193" w:type="dxa"/>
            <w:tcBorders>
              <w:top w:val="nil"/>
              <w:left w:val="nil"/>
              <w:bottom w:val="single" w:sz="4" w:space="0" w:color="auto"/>
              <w:right w:val="single" w:sz="4" w:space="0" w:color="auto"/>
            </w:tcBorders>
            <w:shd w:val="clear" w:color="auto" w:fill="auto"/>
            <w:noWrap/>
            <w:vAlign w:val="bottom"/>
          </w:tcPr>
          <w:p w14:paraId="6D27C8F2" w14:textId="77777777" w:rsidR="00D93E98" w:rsidRPr="001206BA" w:rsidRDefault="00D93E98" w:rsidP="00B20789">
            <w:pPr>
              <w:spacing w:after="0" w:line="240" w:lineRule="auto"/>
              <w:jc w:val="center"/>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tcPr>
          <w:p w14:paraId="2A54E274" w14:textId="77777777" w:rsidR="00D93E98" w:rsidRPr="001206BA" w:rsidRDefault="00D93E98" w:rsidP="00B20789">
            <w:pPr>
              <w:spacing w:after="0" w:line="240" w:lineRule="auto"/>
              <w:jc w:val="right"/>
              <w:rPr>
                <w:rFonts w:eastAsia="Times New Roman" w:cstheme="minorHAnsi"/>
                <w:lang w:val="nl-NL" w:eastAsia="nl-NL"/>
              </w:rPr>
            </w:pPr>
          </w:p>
        </w:tc>
      </w:tr>
      <w:tr w:rsidR="00D93E98" w:rsidRPr="001206BA" w14:paraId="17816C75"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tcPr>
          <w:p w14:paraId="73C07A45" w14:textId="77777777" w:rsidR="00D93E98" w:rsidRPr="001206BA"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431/461</w:t>
            </w:r>
          </w:p>
        </w:tc>
        <w:tc>
          <w:tcPr>
            <w:tcW w:w="4193" w:type="dxa"/>
            <w:tcBorders>
              <w:top w:val="nil"/>
              <w:left w:val="nil"/>
              <w:bottom w:val="single" w:sz="4" w:space="0" w:color="auto"/>
              <w:right w:val="single" w:sz="4" w:space="0" w:color="auto"/>
            </w:tcBorders>
            <w:shd w:val="clear" w:color="auto" w:fill="auto"/>
            <w:noWrap/>
            <w:vAlign w:val="bottom"/>
          </w:tcPr>
          <w:p w14:paraId="3A1FB1D0" w14:textId="77777777" w:rsidR="00D93E98" w:rsidRPr="001206BA" w:rsidRDefault="00D93E98" w:rsidP="00B20789">
            <w:pPr>
              <w:spacing w:after="0" w:line="240" w:lineRule="auto"/>
              <w:jc w:val="center"/>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tcPr>
          <w:p w14:paraId="6CF53F11" w14:textId="77777777" w:rsidR="00D93E98" w:rsidRPr="001206BA" w:rsidRDefault="00D93E98" w:rsidP="00B20789">
            <w:pPr>
              <w:spacing w:after="0" w:line="240" w:lineRule="auto"/>
              <w:jc w:val="right"/>
              <w:rPr>
                <w:rFonts w:eastAsia="Times New Roman" w:cstheme="minorHAnsi"/>
                <w:lang w:val="nl-NL" w:eastAsia="nl-NL"/>
              </w:rPr>
            </w:pPr>
          </w:p>
        </w:tc>
      </w:tr>
      <w:tr w:rsidR="00D93E98" w:rsidRPr="001206BA" w14:paraId="16EF7480"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tcPr>
          <w:p w14:paraId="5B2A92F4" w14:textId="77777777" w:rsidR="00D93E98" w:rsidRPr="001206BA" w:rsidRDefault="00D93E98" w:rsidP="00B20789">
            <w:pPr>
              <w:spacing w:after="0" w:line="240" w:lineRule="auto"/>
              <w:rPr>
                <w:rFonts w:eastAsia="Times New Roman" w:cstheme="minorHAnsi"/>
                <w:lang w:val="nl-NL" w:eastAsia="nl-NL"/>
              </w:rPr>
            </w:pPr>
            <w:r w:rsidRPr="001206BA">
              <w:rPr>
                <w:rFonts w:eastAsia="Times New Roman" w:cstheme="minorHAnsi"/>
                <w:lang w:val="nl-NL" w:eastAsia="nl-NL"/>
              </w:rPr>
              <w:t>000/000</w:t>
            </w:r>
          </w:p>
        </w:tc>
        <w:tc>
          <w:tcPr>
            <w:tcW w:w="4193" w:type="dxa"/>
            <w:tcBorders>
              <w:top w:val="nil"/>
              <w:left w:val="nil"/>
              <w:bottom w:val="single" w:sz="4" w:space="0" w:color="auto"/>
              <w:right w:val="single" w:sz="4" w:space="0" w:color="auto"/>
            </w:tcBorders>
            <w:shd w:val="clear" w:color="auto" w:fill="auto"/>
            <w:noWrap/>
            <w:vAlign w:val="bottom"/>
          </w:tcPr>
          <w:p w14:paraId="0B547B4D" w14:textId="77777777" w:rsidR="00D93E98" w:rsidRPr="001206BA" w:rsidRDefault="00D93E98" w:rsidP="00B20789">
            <w:pPr>
              <w:spacing w:after="0" w:line="240" w:lineRule="auto"/>
              <w:jc w:val="center"/>
              <w:rPr>
                <w:rFonts w:eastAsia="Times New Roman" w:cstheme="minorHAnsi"/>
                <w:lang w:val="nl-NL" w:eastAsia="nl-NL"/>
              </w:rPr>
            </w:pPr>
          </w:p>
        </w:tc>
        <w:tc>
          <w:tcPr>
            <w:tcW w:w="2118" w:type="dxa"/>
            <w:tcBorders>
              <w:top w:val="nil"/>
              <w:left w:val="nil"/>
              <w:bottom w:val="single" w:sz="4" w:space="0" w:color="auto"/>
              <w:right w:val="single" w:sz="4" w:space="0" w:color="auto"/>
            </w:tcBorders>
            <w:shd w:val="clear" w:color="auto" w:fill="000000" w:themeFill="text1"/>
            <w:noWrap/>
            <w:vAlign w:val="bottom"/>
          </w:tcPr>
          <w:p w14:paraId="430AF896" w14:textId="77777777" w:rsidR="00D93E98" w:rsidRPr="001206BA" w:rsidRDefault="00D93E98" w:rsidP="00B20789">
            <w:pPr>
              <w:spacing w:after="0" w:line="240" w:lineRule="auto"/>
              <w:jc w:val="right"/>
              <w:rPr>
                <w:rFonts w:eastAsia="Times New Roman" w:cstheme="minorHAnsi"/>
                <w:lang w:val="nl-NL" w:eastAsia="nl-NL"/>
              </w:rPr>
            </w:pPr>
          </w:p>
        </w:tc>
      </w:tr>
      <w:tr w:rsidR="00D93E98" w:rsidRPr="001206BA" w14:paraId="2E03660E" w14:textId="77777777" w:rsidTr="00B20789">
        <w:trPr>
          <w:trHeight w:val="382"/>
        </w:trPr>
        <w:tc>
          <w:tcPr>
            <w:tcW w:w="2652" w:type="dxa"/>
            <w:tcBorders>
              <w:top w:val="nil"/>
              <w:left w:val="single" w:sz="4" w:space="0" w:color="auto"/>
              <w:bottom w:val="single" w:sz="4" w:space="0" w:color="auto"/>
              <w:right w:val="single" w:sz="4" w:space="0" w:color="auto"/>
            </w:tcBorders>
            <w:shd w:val="clear" w:color="auto" w:fill="auto"/>
            <w:noWrap/>
            <w:vAlign w:val="bottom"/>
            <w:hideMark/>
          </w:tcPr>
          <w:p w14:paraId="7B551C73" w14:textId="77777777" w:rsidR="00D93E98" w:rsidRPr="007020E4" w:rsidRDefault="00D93E98" w:rsidP="00B20789">
            <w:pPr>
              <w:spacing w:after="0" w:line="240" w:lineRule="auto"/>
              <w:rPr>
                <w:rFonts w:eastAsia="Times New Roman" w:cstheme="minorHAnsi"/>
                <w:b/>
                <w:bCs/>
                <w:lang w:val="nl-NL" w:eastAsia="nl-NL"/>
              </w:rPr>
            </w:pPr>
            <w:r w:rsidRPr="007020E4">
              <w:rPr>
                <w:rFonts w:eastAsia="Times New Roman" w:cstheme="minorHAnsi"/>
                <w:b/>
                <w:bCs/>
                <w:lang w:val="nl-NL" w:eastAsia="nl-NL"/>
              </w:rPr>
              <w:t>Tota</w:t>
            </w:r>
            <w:r w:rsidRPr="001206BA">
              <w:rPr>
                <w:rFonts w:eastAsia="Times New Roman" w:cstheme="minorHAnsi"/>
                <w:b/>
                <w:bCs/>
                <w:lang w:val="nl-NL" w:eastAsia="nl-NL"/>
              </w:rPr>
              <w:t>a</w:t>
            </w:r>
            <w:r w:rsidRPr="007020E4">
              <w:rPr>
                <w:rFonts w:eastAsia="Times New Roman" w:cstheme="minorHAnsi"/>
                <w:b/>
                <w:bCs/>
                <w:lang w:val="nl-NL" w:eastAsia="nl-NL"/>
              </w:rPr>
              <w:t>l</w:t>
            </w:r>
          </w:p>
        </w:tc>
        <w:tc>
          <w:tcPr>
            <w:tcW w:w="4193" w:type="dxa"/>
            <w:tcBorders>
              <w:top w:val="nil"/>
              <w:left w:val="nil"/>
              <w:bottom w:val="single" w:sz="4" w:space="0" w:color="auto"/>
              <w:right w:val="single" w:sz="4" w:space="0" w:color="auto"/>
            </w:tcBorders>
            <w:shd w:val="clear" w:color="auto" w:fill="auto"/>
            <w:noWrap/>
            <w:vAlign w:val="bottom"/>
            <w:hideMark/>
          </w:tcPr>
          <w:p w14:paraId="0B3172B3" w14:textId="77777777" w:rsidR="00D93E98" w:rsidRPr="007020E4" w:rsidRDefault="00D93E98" w:rsidP="00B20789">
            <w:pPr>
              <w:spacing w:after="0" w:line="240" w:lineRule="auto"/>
              <w:jc w:val="right"/>
              <w:rPr>
                <w:rFonts w:eastAsia="Times New Roman" w:cstheme="minorHAnsi"/>
                <w:b/>
                <w:bCs/>
                <w:lang w:val="nl-NL" w:eastAsia="nl-NL"/>
              </w:rPr>
            </w:pPr>
          </w:p>
        </w:tc>
        <w:tc>
          <w:tcPr>
            <w:tcW w:w="2118" w:type="dxa"/>
            <w:tcBorders>
              <w:top w:val="nil"/>
              <w:left w:val="nil"/>
              <w:bottom w:val="single" w:sz="4" w:space="0" w:color="auto"/>
              <w:right w:val="single" w:sz="4" w:space="0" w:color="auto"/>
            </w:tcBorders>
            <w:shd w:val="clear" w:color="auto" w:fill="auto"/>
            <w:noWrap/>
            <w:vAlign w:val="bottom"/>
            <w:hideMark/>
          </w:tcPr>
          <w:p w14:paraId="0309E784" w14:textId="77777777" w:rsidR="00D93E98" w:rsidRPr="007020E4" w:rsidRDefault="00D93E98" w:rsidP="00B20789">
            <w:pPr>
              <w:spacing w:after="0" w:line="240" w:lineRule="auto"/>
              <w:jc w:val="right"/>
              <w:rPr>
                <w:rFonts w:eastAsia="Times New Roman" w:cstheme="minorHAnsi"/>
                <w:b/>
                <w:bCs/>
                <w:lang w:val="nl-NL" w:eastAsia="nl-NL"/>
              </w:rPr>
            </w:pPr>
          </w:p>
        </w:tc>
      </w:tr>
    </w:tbl>
    <w:p w14:paraId="536EFC48" w14:textId="77777777" w:rsidR="00D93E98" w:rsidRDefault="00D93E98" w:rsidP="00D93E98">
      <w:pPr>
        <w:rPr>
          <w:lang w:val="nl-NL"/>
        </w:rPr>
      </w:pPr>
    </w:p>
    <w:p w14:paraId="47816F5F" w14:textId="66FE60B0" w:rsidR="00F22C5C" w:rsidRDefault="000B7838" w:rsidP="000B7838">
      <w:pPr>
        <w:pStyle w:val="ListParagraph"/>
        <w:numPr>
          <w:ilvl w:val="0"/>
          <w:numId w:val="1"/>
        </w:numPr>
        <w:rPr>
          <w:lang w:val="nl-NL"/>
        </w:rPr>
      </w:pPr>
      <w:r>
        <w:rPr>
          <w:lang w:val="nl-NL"/>
        </w:rPr>
        <w:t>I</w:t>
      </w:r>
      <w:r w:rsidRPr="000B7838">
        <w:rPr>
          <w:lang w:val="nl-NL"/>
        </w:rPr>
        <w:t>nwerkingtreding</w:t>
      </w:r>
    </w:p>
    <w:p w14:paraId="1F0B5234" w14:textId="6D2D2261" w:rsidR="000B7838" w:rsidRDefault="000B7838" w:rsidP="000B7838">
      <w:pPr>
        <w:rPr>
          <w:lang w:val="nl-NL"/>
        </w:rPr>
      </w:pPr>
      <w:r>
        <w:rPr>
          <w:lang w:val="nl-NL"/>
        </w:rPr>
        <w:t xml:space="preserve">De omzendbrief treedt in werking bij publicatie. </w:t>
      </w:r>
    </w:p>
    <w:p w14:paraId="778CD6D9" w14:textId="711B4D86" w:rsidR="000B7838" w:rsidRDefault="000B7838" w:rsidP="000B7838">
      <w:pPr>
        <w:rPr>
          <w:lang w:val="nl-NL"/>
        </w:rPr>
      </w:pPr>
    </w:p>
    <w:p w14:paraId="3F79EFE9" w14:textId="43F59C94" w:rsidR="000B7838" w:rsidRDefault="000B7838" w:rsidP="000B7838">
      <w:pPr>
        <w:rPr>
          <w:lang w:val="nl-NL"/>
        </w:rPr>
      </w:pPr>
    </w:p>
    <w:p w14:paraId="4084B8ED" w14:textId="28EA7EF7" w:rsidR="000B7838" w:rsidRDefault="000B7838" w:rsidP="000B7838">
      <w:pPr>
        <w:jc w:val="right"/>
        <w:rPr>
          <w:lang w:val="nl-NL"/>
        </w:rPr>
      </w:pPr>
      <w:r>
        <w:rPr>
          <w:lang w:val="nl-NL"/>
        </w:rPr>
        <w:t xml:space="preserve">Tom </w:t>
      </w:r>
      <w:proofErr w:type="spellStart"/>
      <w:r>
        <w:rPr>
          <w:lang w:val="nl-NL"/>
        </w:rPr>
        <w:t>Verdonck</w:t>
      </w:r>
      <w:proofErr w:type="spellEnd"/>
    </w:p>
    <w:p w14:paraId="4715A392" w14:textId="01007DCC" w:rsidR="000B7838" w:rsidRPr="000B7838" w:rsidRDefault="000B7838" w:rsidP="000B7838">
      <w:pPr>
        <w:jc w:val="right"/>
        <w:rPr>
          <w:lang w:val="nl-NL"/>
        </w:rPr>
      </w:pPr>
      <w:r>
        <w:rPr>
          <w:lang w:val="nl-NL"/>
        </w:rPr>
        <w:t>Directeur-Generaal</w:t>
      </w:r>
    </w:p>
    <w:sectPr w:rsidR="000B7838" w:rsidRPr="000B7838" w:rsidSect="00CD3D79">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jonckheere Yves" w:date="2023-06-27T15:54:00Z" w:initials="YD(">
    <w:p w14:paraId="21149D93" w14:textId="7C283F3E" w:rsidR="00477D7C" w:rsidRPr="00ED1B09" w:rsidRDefault="00477D7C">
      <w:pPr>
        <w:pStyle w:val="CommentText"/>
        <w:rPr>
          <w:lang w:val="nl-NL"/>
        </w:rPr>
      </w:pPr>
      <w:r>
        <w:rPr>
          <w:rStyle w:val="CommentReference"/>
        </w:rPr>
        <w:annotationRef/>
      </w:r>
      <w:r w:rsidRPr="00ED1B09">
        <w:rPr>
          <w:lang w:val="nl-NL"/>
        </w:rPr>
        <w:t>verzekerden (?)</w:t>
      </w:r>
    </w:p>
  </w:comment>
  <w:comment w:id="1" w:author="Dejonckheere Yves" w:date="2023-06-27T15:54:00Z" w:initials="YD(">
    <w:p w14:paraId="2F0F18BF" w14:textId="4D3D199D" w:rsidR="00477D7C" w:rsidRPr="00ED1B09" w:rsidRDefault="00477D7C">
      <w:pPr>
        <w:pStyle w:val="CommentText"/>
        <w:rPr>
          <w:lang w:val="nl-NL"/>
        </w:rPr>
      </w:pPr>
      <w:r>
        <w:rPr>
          <w:rStyle w:val="CommentReference"/>
        </w:rPr>
        <w:annotationRef/>
      </w:r>
      <w:r w:rsidRPr="00ED1B09">
        <w:rPr>
          <w:lang w:val="nl-NL"/>
        </w:rPr>
        <w:t>V.I.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49D93" w15:done="0"/>
  <w15:commentEx w15:paraId="2F0F18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584B1" w16cex:dateUtc="2023-06-27T13:54:00Z"/>
  <w16cex:commentExtensible w16cex:durableId="284584D0" w16cex:dateUtc="2023-06-27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49D93" w16cid:durableId="284584B1"/>
  <w16cid:commentId w16cid:paraId="2F0F18BF" w16cid:durableId="28458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08A8" w14:textId="77777777" w:rsidR="000B7838" w:rsidRDefault="000B7838" w:rsidP="000B7838">
      <w:pPr>
        <w:spacing w:after="0" w:line="240" w:lineRule="auto"/>
      </w:pPr>
      <w:r>
        <w:separator/>
      </w:r>
    </w:p>
  </w:endnote>
  <w:endnote w:type="continuationSeparator" w:id="0">
    <w:p w14:paraId="36FA9B94" w14:textId="77777777" w:rsidR="000B7838" w:rsidRDefault="000B7838" w:rsidP="000B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372073"/>
      <w:docPartObj>
        <w:docPartGallery w:val="Page Numbers (Bottom of Page)"/>
        <w:docPartUnique/>
      </w:docPartObj>
    </w:sdtPr>
    <w:sdtEndPr/>
    <w:sdtContent>
      <w:p w14:paraId="275DF834" w14:textId="5FEA6B1F" w:rsidR="000B7838" w:rsidRDefault="000B7838">
        <w:pPr>
          <w:pStyle w:val="Footer"/>
          <w:jc w:val="right"/>
        </w:pPr>
        <w:r>
          <w:fldChar w:fldCharType="begin"/>
        </w:r>
        <w:r>
          <w:instrText>PAGE   \* MERGEFORMAT</w:instrText>
        </w:r>
        <w:r>
          <w:fldChar w:fldCharType="separate"/>
        </w:r>
        <w:r>
          <w:rPr>
            <w:lang w:val="fr-FR"/>
          </w:rPr>
          <w:t>2</w:t>
        </w:r>
        <w:r>
          <w:fldChar w:fldCharType="end"/>
        </w:r>
      </w:p>
    </w:sdtContent>
  </w:sdt>
  <w:p w14:paraId="43812FB1" w14:textId="77777777" w:rsidR="000B7838" w:rsidRDefault="000B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FEBC" w14:textId="77777777" w:rsidR="000B7838" w:rsidRDefault="000B7838" w:rsidP="000B7838">
      <w:pPr>
        <w:spacing w:after="0" w:line="240" w:lineRule="auto"/>
      </w:pPr>
      <w:r>
        <w:separator/>
      </w:r>
    </w:p>
  </w:footnote>
  <w:footnote w:type="continuationSeparator" w:id="0">
    <w:p w14:paraId="3316C4E9" w14:textId="77777777" w:rsidR="000B7838" w:rsidRDefault="000B7838" w:rsidP="000B7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E3B78"/>
    <w:multiLevelType w:val="hybridMultilevel"/>
    <w:tmpl w:val="93BAADC6"/>
    <w:lvl w:ilvl="0" w:tplc="2FE4C48A">
      <w:start w:val="19"/>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5567BE3"/>
    <w:multiLevelType w:val="hybridMultilevel"/>
    <w:tmpl w:val="4586A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9973597">
    <w:abstractNumId w:val="1"/>
  </w:num>
  <w:num w:numId="2" w16cid:durableId="2183229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jonckheere Yves">
    <w15:presenceInfo w15:providerId="AD" w15:userId="S::yves.dejonckheere@riziv-inami.fgov.be::024d993b-da35-44a8-a656-c2790095c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7"/>
    <w:rsid w:val="000B7838"/>
    <w:rsid w:val="00477D7C"/>
    <w:rsid w:val="007A3A86"/>
    <w:rsid w:val="0087696A"/>
    <w:rsid w:val="00A47A57"/>
    <w:rsid w:val="00C3243A"/>
    <w:rsid w:val="00CD3D79"/>
    <w:rsid w:val="00D93E98"/>
    <w:rsid w:val="00ED1B09"/>
    <w:rsid w:val="00F22C5C"/>
    <w:rsid w:val="00FE7F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44B2"/>
  <w15:chartTrackingRefBased/>
  <w15:docId w15:val="{CF8B0B7F-B8F5-432B-A19B-B4178282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9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98"/>
    <w:pPr>
      <w:ind w:left="720"/>
      <w:contextualSpacing/>
    </w:pPr>
  </w:style>
  <w:style w:type="character" w:styleId="Hyperlink">
    <w:name w:val="Hyperlink"/>
    <w:basedOn w:val="DefaultParagraphFont"/>
    <w:uiPriority w:val="99"/>
    <w:unhideWhenUsed/>
    <w:rsid w:val="00D93E98"/>
    <w:rPr>
      <w:color w:val="0000FF"/>
      <w:u w:val="single"/>
    </w:rPr>
  </w:style>
  <w:style w:type="paragraph" w:styleId="Header">
    <w:name w:val="header"/>
    <w:basedOn w:val="Normal"/>
    <w:link w:val="HeaderChar"/>
    <w:uiPriority w:val="99"/>
    <w:unhideWhenUsed/>
    <w:rsid w:val="000B7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838"/>
    <w:rPr>
      <w:rFonts w:eastAsiaTheme="minorEastAsia"/>
      <w:lang w:val="en-US"/>
    </w:rPr>
  </w:style>
  <w:style w:type="paragraph" w:styleId="Footer">
    <w:name w:val="footer"/>
    <w:basedOn w:val="Normal"/>
    <w:link w:val="FooterChar"/>
    <w:uiPriority w:val="99"/>
    <w:unhideWhenUsed/>
    <w:rsid w:val="000B7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838"/>
    <w:rPr>
      <w:rFonts w:eastAsiaTheme="minorEastAsia"/>
      <w:lang w:val="en-US"/>
    </w:rPr>
  </w:style>
  <w:style w:type="character" w:styleId="CommentReference">
    <w:name w:val="annotation reference"/>
    <w:basedOn w:val="DefaultParagraphFont"/>
    <w:uiPriority w:val="99"/>
    <w:semiHidden/>
    <w:unhideWhenUsed/>
    <w:rsid w:val="00477D7C"/>
    <w:rPr>
      <w:sz w:val="16"/>
      <w:szCs w:val="16"/>
    </w:rPr>
  </w:style>
  <w:style w:type="paragraph" w:styleId="CommentText">
    <w:name w:val="annotation text"/>
    <w:basedOn w:val="Normal"/>
    <w:link w:val="CommentTextChar"/>
    <w:uiPriority w:val="99"/>
    <w:semiHidden/>
    <w:unhideWhenUsed/>
    <w:rsid w:val="00477D7C"/>
    <w:pPr>
      <w:spacing w:line="240" w:lineRule="auto"/>
    </w:pPr>
    <w:rPr>
      <w:sz w:val="20"/>
      <w:szCs w:val="20"/>
    </w:rPr>
  </w:style>
  <w:style w:type="character" w:customStyle="1" w:styleId="CommentTextChar">
    <w:name w:val="Comment Text Char"/>
    <w:basedOn w:val="DefaultParagraphFont"/>
    <w:link w:val="CommentText"/>
    <w:uiPriority w:val="99"/>
    <w:semiHidden/>
    <w:rsid w:val="00477D7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77D7C"/>
    <w:rPr>
      <w:b/>
      <w:bCs/>
    </w:rPr>
  </w:style>
  <w:style w:type="character" w:customStyle="1" w:styleId="CommentSubjectChar">
    <w:name w:val="Comment Subject Char"/>
    <w:basedOn w:val="CommentTextChar"/>
    <w:link w:val="CommentSubject"/>
    <w:uiPriority w:val="99"/>
    <w:semiHidden/>
    <w:rsid w:val="00477D7C"/>
    <w:rPr>
      <w:rFonts w:eastAsiaTheme="minorEastAsia"/>
      <w:b/>
      <w:bCs/>
      <w:sz w:val="20"/>
      <w:szCs w:val="20"/>
      <w:lang w:val="en-US"/>
    </w:rPr>
  </w:style>
  <w:style w:type="paragraph" w:styleId="Revision">
    <w:name w:val="Revision"/>
    <w:hidden/>
    <w:uiPriority w:val="99"/>
    <w:semiHidden/>
    <w:rsid w:val="00ED1B09"/>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c-acces@riziv-inami.fgov.be"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Rapportering m.b.t. het recht op geneeskundige verstrekkingen voor ontheemden uit Oekraïne</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6EEEF57D-5FB6-49C3-99E8-10D961B13AC4}"/>
</file>

<file path=customXml/itemProps2.xml><?xml version="1.0" encoding="utf-8"?>
<ds:datastoreItem xmlns:ds="http://schemas.openxmlformats.org/officeDocument/2006/customXml" ds:itemID="{3C291628-E65A-43DD-859A-B88B400CD752}"/>
</file>

<file path=customXml/itemProps3.xml><?xml version="1.0" encoding="utf-8"?>
<ds:datastoreItem xmlns:ds="http://schemas.openxmlformats.org/officeDocument/2006/customXml" ds:itemID="{EE73B46D-6029-47EA-B354-B5481A0BB6DF}"/>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2023 - Dienst administratieve controle</dc:title>
  <dc:subject/>
  <dc:creator>Simon Noël (RIZIV-INAMI)</dc:creator>
  <cp:keywords/>
  <dc:description/>
  <cp:lastModifiedBy>Felice Peeters (RIZIV-INAMI)</cp:lastModifiedBy>
  <cp:revision>2</cp:revision>
  <dcterms:created xsi:type="dcterms:W3CDTF">2023-07-04T12:06:00Z</dcterms:created>
  <dcterms:modified xsi:type="dcterms:W3CDTF">2023-07-04T12:06:00Z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