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B620" w14:textId="6D596EB6" w:rsidR="00BB093D" w:rsidRDefault="00BB093D" w:rsidP="00013613">
      <w:pPr>
        <w:pStyle w:val="Heading2"/>
      </w:pPr>
      <w:r>
        <w:t xml:space="preserve">Bijlage </w:t>
      </w:r>
      <w:r w:rsidR="007A3E41">
        <w:t>4</w:t>
      </w:r>
      <w:r>
        <w:t xml:space="preserve">: </w:t>
      </w:r>
      <w:r w:rsidRPr="00F73A74">
        <w:t>Vereisten</w:t>
      </w:r>
      <w:r>
        <w:t xml:space="preserve"> voor </w:t>
      </w:r>
      <w:r w:rsidR="007A3E41">
        <w:t xml:space="preserve">het opstellen van een </w:t>
      </w:r>
      <w:r>
        <w:t>SLA</w:t>
      </w:r>
    </w:p>
    <w:p w14:paraId="751D0BE7" w14:textId="50E234DB" w:rsidR="00434443" w:rsidRPr="009B70C9" w:rsidRDefault="00434443" w:rsidP="00013613"/>
    <w:p w14:paraId="0301ACB1" w14:textId="77777777" w:rsidR="00BB093D" w:rsidRDefault="00BB093D" w:rsidP="00013613">
      <w:pPr>
        <w:pStyle w:val="Heading2"/>
      </w:pPr>
      <w:r w:rsidRPr="00F73A74">
        <w:t>Definitie</w:t>
      </w:r>
    </w:p>
    <w:p w14:paraId="724AA537" w14:textId="6A5C2672" w:rsidR="00BB093D" w:rsidRDefault="00BB093D" w:rsidP="007A3E41">
      <w:pPr>
        <w:jc w:val="both"/>
      </w:pPr>
      <w:r>
        <w:t xml:space="preserve">Een Service Level Agreement (SLA) wordt gedefinieerd als een schriftelijk contract dat tussen twee of meer instellingen wordt opgesteld. Het beschrijft alle </w:t>
      </w:r>
      <w:r w:rsidR="0063501D">
        <w:t>vaardigheden</w:t>
      </w:r>
      <w:r>
        <w:t xml:space="preserve"> die deze instellingen delen en legt de verantwoordelijkheden en rechten van elke partij vast.</w:t>
      </w:r>
    </w:p>
    <w:p w14:paraId="34B1218D" w14:textId="33DCAC7E" w:rsidR="00BB093D" w:rsidRDefault="00BB093D" w:rsidP="007A3E41">
      <w:pPr>
        <w:jc w:val="both"/>
      </w:pPr>
      <w:r>
        <w:t>Hier wordt een SLA gedefinieerd als een samenwerkings</w:t>
      </w:r>
      <w:r w:rsidR="007A3E41">
        <w:t>-</w:t>
      </w:r>
      <w:r>
        <w:t xml:space="preserve">SLA tussen een </w:t>
      </w:r>
      <w:r w:rsidR="006263C7">
        <w:t xml:space="preserve">hoog-volume </w:t>
      </w:r>
      <w:r>
        <w:t xml:space="preserve">en een </w:t>
      </w:r>
      <w:r w:rsidR="006263C7">
        <w:t xml:space="preserve">laag-volume </w:t>
      </w:r>
      <w:r>
        <w:t xml:space="preserve">instelling, tussen een </w:t>
      </w:r>
      <w:r w:rsidR="006263C7">
        <w:t xml:space="preserve">hoog-volume instelling </w:t>
      </w:r>
      <w:r>
        <w:t xml:space="preserve">en een samenwerkende instelling met uitbestede </w:t>
      </w:r>
      <w:r w:rsidR="006263C7">
        <w:t>stappen</w:t>
      </w:r>
      <w:r>
        <w:t xml:space="preserve"> of tussen de partners van een feitelijke vereniging. </w:t>
      </w:r>
    </w:p>
    <w:p w14:paraId="5B85731F" w14:textId="6696B2B9" w:rsidR="00B329E2" w:rsidRDefault="006263C7" w:rsidP="007A3E41">
      <w:pPr>
        <w:jc w:val="both"/>
      </w:pPr>
      <w:r>
        <w:t xml:space="preserve">Onder </w:t>
      </w:r>
      <w:r w:rsidR="00BB093D">
        <w:t>SLA-C</w:t>
      </w:r>
      <w:r w:rsidR="007A3E41">
        <w:t>ME</w:t>
      </w:r>
      <w:r w:rsidR="00BB093D">
        <w:t xml:space="preserve"> </w:t>
      </w:r>
      <w:r>
        <w:t>wordt verstaan</w:t>
      </w:r>
      <w:r w:rsidR="00BB093D">
        <w:t xml:space="preserve"> een verplichte SLA afgesloten tussen een </w:t>
      </w:r>
      <w:r>
        <w:t>hoog-volume instelling</w:t>
      </w:r>
      <w:r w:rsidR="00E075DC">
        <w:t xml:space="preserve"> d</w:t>
      </w:r>
      <w:r w:rsidR="00F310DD">
        <w:t>ie</w:t>
      </w:r>
      <w:r w:rsidR="004D3F83">
        <w:t xml:space="preserve"> </w:t>
      </w:r>
      <w:r w:rsidR="00E075DC">
        <w:t xml:space="preserve">geen </w:t>
      </w:r>
      <w:r w:rsidR="00D62851">
        <w:t>C</w:t>
      </w:r>
      <w:r w:rsidR="00E075DC">
        <w:t xml:space="preserve">entrum voor </w:t>
      </w:r>
      <w:r w:rsidR="00D62851">
        <w:t>M</w:t>
      </w:r>
      <w:r w:rsidR="00E075DC">
        <w:t xml:space="preserve">enselijke </w:t>
      </w:r>
      <w:r w:rsidR="00D62851">
        <w:t>E</w:t>
      </w:r>
      <w:r w:rsidR="00E075DC">
        <w:t>rfelijkheid</w:t>
      </w:r>
      <w:r w:rsidR="00D62851">
        <w:t xml:space="preserve"> (CME)</w:t>
      </w:r>
      <w:r w:rsidR="00E075DC">
        <w:t xml:space="preserve"> bevat</w:t>
      </w:r>
      <w:r w:rsidR="00BB093D">
        <w:t xml:space="preserve">, een </w:t>
      </w:r>
      <w:r>
        <w:t>laag-volume instelling</w:t>
      </w:r>
      <w:r w:rsidR="00EE5267">
        <w:t xml:space="preserve">, </w:t>
      </w:r>
      <w:r w:rsidR="00BB093D">
        <w:t xml:space="preserve">een samenwerkende instelling met uitbestede stappen </w:t>
      </w:r>
      <w:r w:rsidR="00EE5267">
        <w:t>of een feitelijke vereniging</w:t>
      </w:r>
      <w:r w:rsidR="00E075DC">
        <w:t>,</w:t>
      </w:r>
      <w:r w:rsidR="00EE5267">
        <w:t xml:space="preserve"> met</w:t>
      </w:r>
      <w:r w:rsidR="00BB093D">
        <w:t xml:space="preserve"> een </w:t>
      </w:r>
      <w:r w:rsidR="007A3E41">
        <w:t>centrum</w:t>
      </w:r>
      <w:r w:rsidR="00BB093D">
        <w:t xml:space="preserve"> voor menselijke </w:t>
      </w:r>
      <w:r>
        <w:t>erfelijkheid</w:t>
      </w:r>
      <w:r w:rsidR="00BB093D">
        <w:t xml:space="preserve">. Een </w:t>
      </w:r>
      <w:r>
        <w:t xml:space="preserve">laag-volume instelling </w:t>
      </w:r>
      <w:r w:rsidR="00BB093D">
        <w:t xml:space="preserve">of een samenwerkende instelling met uitbestede stappen </w:t>
      </w:r>
      <w:r w:rsidR="007A3E41">
        <w:t>die een SLA hebben ondertekend met</w:t>
      </w:r>
      <w:r w:rsidR="00BB093D">
        <w:t xml:space="preserve"> een </w:t>
      </w:r>
      <w:r>
        <w:t>hoog-volume instelling</w:t>
      </w:r>
      <w:r w:rsidR="00BB093D">
        <w:t>, moeten</w:t>
      </w:r>
      <w:r>
        <w:t xml:space="preserve"> </w:t>
      </w:r>
      <w:r w:rsidR="00BB093D">
        <w:t>een SLA-C</w:t>
      </w:r>
      <w:r w:rsidR="007A3E41">
        <w:t>ME</w:t>
      </w:r>
      <w:r w:rsidR="00BB093D">
        <w:t xml:space="preserve"> aangaan met hetzelfde </w:t>
      </w:r>
      <w:r w:rsidR="006E7332">
        <w:t>CME</w:t>
      </w:r>
      <w:r w:rsidR="00EE5267">
        <w:t xml:space="preserve"> als de hoog-volume instelling.</w:t>
      </w:r>
    </w:p>
    <w:p w14:paraId="74FE7C20" w14:textId="77777777" w:rsidR="00BB093D" w:rsidRDefault="00BB093D" w:rsidP="00BB093D"/>
    <w:p w14:paraId="00698B6B" w14:textId="21421955" w:rsidR="00BB093D" w:rsidRDefault="00BB093D" w:rsidP="00013613">
      <w:pPr>
        <w:pStyle w:val="Heading2"/>
      </w:pPr>
      <w:r w:rsidRPr="00013613">
        <w:t>Minim</w:t>
      </w:r>
      <w:r w:rsidR="00013613" w:rsidRPr="00013613">
        <w:t>ale bepalingen</w:t>
      </w:r>
      <w:r>
        <w:t xml:space="preserve"> voor een SLA </w:t>
      </w:r>
    </w:p>
    <w:p w14:paraId="6C163174" w14:textId="744A2139" w:rsidR="00BB093D" w:rsidRDefault="00BB093D" w:rsidP="00BB093D">
      <w:r>
        <w:t xml:space="preserve">De SLA moet minimaal de volgende </w:t>
      </w:r>
      <w:r w:rsidR="00013613">
        <w:t>bepalingen</w:t>
      </w:r>
      <w:r>
        <w:t xml:space="preserve"> bevatten:</w:t>
      </w:r>
    </w:p>
    <w:p w14:paraId="2A742814" w14:textId="2CB326CF" w:rsidR="00BB093D" w:rsidRPr="00F73A74" w:rsidRDefault="00BB093D" w:rsidP="00A16C68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rPr>
          <w:kern w:val="0"/>
          <w14:ligatures w14:val="none"/>
        </w:rPr>
      </w:pPr>
      <w:r>
        <w:t xml:space="preserve">De </w:t>
      </w:r>
      <w:r w:rsidR="0063501D">
        <w:t xml:space="preserve">betrokken </w:t>
      </w:r>
      <w:r w:rsidRPr="00F73A74">
        <w:rPr>
          <w:kern w:val="0"/>
          <w14:ligatures w14:val="none"/>
        </w:rPr>
        <w:t>partijen en hun vertegenwoordigers, inclusief eventuele plaatsvervangers</w:t>
      </w:r>
    </w:p>
    <w:p w14:paraId="45324F92" w14:textId="03A59D50" w:rsidR="00BB093D" w:rsidRPr="00A16C68" w:rsidRDefault="00BB093D" w:rsidP="00A16C68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rPr>
          <w:kern w:val="0"/>
          <w14:ligatures w14:val="none"/>
        </w:rPr>
      </w:pPr>
      <w:r w:rsidRPr="00A16C68">
        <w:rPr>
          <w:kern w:val="0"/>
          <w14:ligatures w14:val="none"/>
        </w:rPr>
        <w:t xml:space="preserve">Het type personeel dat de ondertekenende instellingen delen. </w:t>
      </w:r>
      <w:r w:rsidR="00EF05B0">
        <w:rPr>
          <w:kern w:val="0"/>
          <w14:ligatures w14:val="none"/>
        </w:rPr>
        <w:t xml:space="preserve">De namen van deze personen en het bewijs dat zij voldoen aan de vereisten worden </w:t>
      </w:r>
      <w:r w:rsidRPr="00A16C68">
        <w:rPr>
          <w:kern w:val="0"/>
          <w14:ligatures w14:val="none"/>
        </w:rPr>
        <w:t xml:space="preserve">gedetailleerd beschreven in het </w:t>
      </w:r>
      <w:r w:rsidR="00A16C68">
        <w:rPr>
          <w:kern w:val="0"/>
          <w14:ligatures w14:val="none"/>
        </w:rPr>
        <w:t>kandidatuurformulier</w:t>
      </w:r>
      <w:r w:rsidR="009148EC">
        <w:rPr>
          <w:kern w:val="0"/>
          <w14:ligatures w14:val="none"/>
        </w:rPr>
        <w:t xml:space="preserve"> en moeten NIET in de SLA worden opgenomen.</w:t>
      </w:r>
    </w:p>
    <w:p w14:paraId="362378BE" w14:textId="310543A0" w:rsidR="00BB093D" w:rsidRPr="00A16C68" w:rsidRDefault="002569F7" w:rsidP="00A16C68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rPr>
          <w:kern w:val="0"/>
          <w14:ligatures w14:val="none"/>
        </w:rPr>
      </w:pPr>
      <w:r>
        <w:rPr>
          <w:kern w:val="0"/>
          <w14:ligatures w14:val="none"/>
        </w:rPr>
        <w:t xml:space="preserve">Een afspraak dat een </w:t>
      </w:r>
      <w:r w:rsidR="00BB093D" w:rsidRPr="00A16C68">
        <w:rPr>
          <w:kern w:val="0"/>
          <w14:ligatures w14:val="none"/>
        </w:rPr>
        <w:t xml:space="preserve"> </w:t>
      </w:r>
      <w:r w:rsidR="00A16C68" w:rsidRPr="00A16C68">
        <w:rPr>
          <w:kern w:val="0"/>
          <w14:ligatures w14:val="none"/>
        </w:rPr>
        <w:t>kl</w:t>
      </w:r>
      <w:r w:rsidR="00A16C68">
        <w:rPr>
          <w:kern w:val="0"/>
          <w14:ligatures w14:val="none"/>
        </w:rPr>
        <w:t xml:space="preserve">inisch </w:t>
      </w:r>
      <w:r w:rsidR="00BB093D" w:rsidRPr="00A16C68">
        <w:rPr>
          <w:kern w:val="0"/>
          <w14:ligatures w14:val="none"/>
        </w:rPr>
        <w:t xml:space="preserve">bioloog of </w:t>
      </w:r>
      <w:r w:rsidR="00EE5267">
        <w:rPr>
          <w:kern w:val="0"/>
          <w14:ligatures w14:val="none"/>
        </w:rPr>
        <w:t>anatoom</w:t>
      </w:r>
      <w:r w:rsidR="00BB093D" w:rsidRPr="00A16C68">
        <w:rPr>
          <w:kern w:val="0"/>
          <w14:ligatures w14:val="none"/>
        </w:rPr>
        <w:t xml:space="preserve">patholoog van de </w:t>
      </w:r>
      <w:r w:rsidR="00A16C68">
        <w:rPr>
          <w:kern w:val="0"/>
          <w14:ligatures w14:val="none"/>
        </w:rPr>
        <w:t xml:space="preserve">hoog-volume </w:t>
      </w:r>
      <w:r w:rsidR="00BB093D" w:rsidRPr="00A16C68">
        <w:rPr>
          <w:kern w:val="0"/>
          <w14:ligatures w14:val="none"/>
        </w:rPr>
        <w:t xml:space="preserve">instelling </w:t>
      </w:r>
      <w:r>
        <w:rPr>
          <w:kern w:val="0"/>
          <w14:ligatures w14:val="none"/>
        </w:rPr>
        <w:t xml:space="preserve">aangewezen wordt </w:t>
      </w:r>
      <w:r w:rsidR="00BB093D" w:rsidRPr="00A16C68">
        <w:rPr>
          <w:kern w:val="0"/>
          <w14:ligatures w14:val="none"/>
        </w:rPr>
        <w:t xml:space="preserve">die verantwoordelijk is voor de coördinatie van de punten 5 tot 8, evenals zijn </w:t>
      </w:r>
      <w:bookmarkStart w:id="0" w:name="_Hlk166066424"/>
      <w:r w:rsidR="00BB093D" w:rsidRPr="00A16C68">
        <w:rPr>
          <w:kern w:val="0"/>
          <w14:ligatures w14:val="none"/>
        </w:rPr>
        <w:t>plaatsvervangers en assistenten</w:t>
      </w:r>
      <w:bookmarkEnd w:id="0"/>
      <w:r w:rsidR="00BB093D" w:rsidRPr="00A16C68">
        <w:rPr>
          <w:kern w:val="0"/>
          <w14:ligatures w14:val="none"/>
        </w:rPr>
        <w:t>.</w:t>
      </w:r>
      <w:r w:rsidR="008D7DD5">
        <w:rPr>
          <w:kern w:val="0"/>
          <w14:ligatures w14:val="none"/>
        </w:rPr>
        <w:t xml:space="preserve"> (</w:t>
      </w:r>
      <w:r w:rsidR="008D7DD5" w:rsidRPr="004D3F83">
        <w:rPr>
          <w:i/>
          <w:iCs/>
          <w:kern w:val="0"/>
          <w14:ligatures w14:val="none"/>
        </w:rPr>
        <w:t>de naam van deze persoon dient te worden opgegeven bij de kandidatuurstelling, maar niet in de SLA</w:t>
      </w:r>
      <w:r w:rsidR="008D7DD5">
        <w:rPr>
          <w:kern w:val="0"/>
          <w14:ligatures w14:val="none"/>
        </w:rPr>
        <w:t>)</w:t>
      </w:r>
      <w:r w:rsidR="004D3F83">
        <w:rPr>
          <w:kern w:val="0"/>
          <w14:ligatures w14:val="none"/>
        </w:rPr>
        <w:t>.</w:t>
      </w:r>
    </w:p>
    <w:p w14:paraId="09DBEFA9" w14:textId="397DAA04" w:rsidR="00BB093D" w:rsidRDefault="00BB093D" w:rsidP="00A16C68">
      <w:pPr>
        <w:pStyle w:val="ListParagraph"/>
        <w:numPr>
          <w:ilvl w:val="0"/>
          <w:numId w:val="2"/>
        </w:numPr>
        <w:spacing w:after="200" w:line="276" w:lineRule="auto"/>
        <w:ind w:left="426" w:hanging="273"/>
      </w:pPr>
      <w:r w:rsidRPr="00E47429">
        <w:rPr>
          <w:kern w:val="0"/>
          <w14:ligatures w14:val="none"/>
        </w:rPr>
        <w:t>In h</w:t>
      </w:r>
      <w:r>
        <w:t>et geval van een samenwerkende instelling met uitbestede stappen</w:t>
      </w:r>
      <w:r w:rsidR="00EE5267">
        <w:t xml:space="preserve">, </w:t>
      </w:r>
      <w:r w:rsidR="00E47429">
        <w:t>d</w:t>
      </w:r>
      <w:r>
        <w:t>e verantwoordelijkheden en rechten van elke partij, inclusief de partijen die verantwoordelijk zijn voor de volgende fasen</w:t>
      </w:r>
      <w:r w:rsidR="00EE5267">
        <w:t>:</w:t>
      </w:r>
      <w:r>
        <w:t xml:space="preserve"> </w:t>
      </w:r>
    </w:p>
    <w:p w14:paraId="5585E9AE" w14:textId="4BA7DDCB" w:rsidR="00BB093D" w:rsidRPr="00A16C68" w:rsidRDefault="00BB093D" w:rsidP="00A16C68">
      <w:pPr>
        <w:pStyle w:val="ListParagraph"/>
        <w:spacing w:after="200" w:line="276" w:lineRule="auto"/>
        <w:ind w:left="1134" w:hanging="360"/>
        <w:rPr>
          <w:kern w:val="0"/>
          <w14:ligatures w14:val="none"/>
        </w:rPr>
      </w:pPr>
      <w:r>
        <w:t>a. pre-</w:t>
      </w:r>
      <w:r w:rsidRPr="00A16C68">
        <w:rPr>
          <w:kern w:val="0"/>
          <w14:ligatures w14:val="none"/>
        </w:rPr>
        <w:t xml:space="preserve">analytisch (beheer van </w:t>
      </w:r>
      <w:r w:rsidR="00A16C68" w:rsidRPr="00A16C68">
        <w:rPr>
          <w:kern w:val="0"/>
          <w14:ligatures w14:val="none"/>
        </w:rPr>
        <w:t>sta</w:t>
      </w:r>
      <w:r w:rsidR="00A16C68">
        <w:rPr>
          <w:kern w:val="0"/>
          <w14:ligatures w14:val="none"/>
        </w:rPr>
        <w:t>len</w:t>
      </w:r>
      <w:r w:rsidRPr="00A16C68">
        <w:rPr>
          <w:kern w:val="0"/>
          <w14:ligatures w14:val="none"/>
        </w:rPr>
        <w:t xml:space="preserve"> inclusief routing en registratie). </w:t>
      </w:r>
    </w:p>
    <w:p w14:paraId="0D629666" w14:textId="77777777" w:rsidR="00BB093D" w:rsidRPr="00A16C68" w:rsidRDefault="00BB093D" w:rsidP="00A16C68">
      <w:pPr>
        <w:pStyle w:val="ListParagraph"/>
        <w:spacing w:after="200" w:line="276" w:lineRule="auto"/>
        <w:ind w:left="1134" w:hanging="360"/>
        <w:rPr>
          <w:kern w:val="0"/>
          <w:lang w:val="fr-BE"/>
          <w14:ligatures w14:val="none"/>
        </w:rPr>
      </w:pPr>
      <w:r w:rsidRPr="00A16C68">
        <w:rPr>
          <w:kern w:val="0"/>
          <w:lang w:val="fr-BE"/>
          <w14:ligatures w14:val="none"/>
        </w:rPr>
        <w:t xml:space="preserve">b. </w:t>
      </w:r>
      <w:proofErr w:type="spellStart"/>
      <w:r w:rsidRPr="00A16C68">
        <w:rPr>
          <w:kern w:val="0"/>
          <w:lang w:val="fr-BE"/>
          <w14:ligatures w14:val="none"/>
        </w:rPr>
        <w:t>analytisch</w:t>
      </w:r>
      <w:proofErr w:type="spellEnd"/>
      <w:r w:rsidRPr="00A16C68">
        <w:rPr>
          <w:kern w:val="0"/>
          <w:lang w:val="fr-BE"/>
          <w14:ligatures w14:val="none"/>
        </w:rPr>
        <w:t xml:space="preserve"> (</w:t>
      </w:r>
      <w:proofErr w:type="spellStart"/>
      <w:r w:rsidRPr="00A16C68">
        <w:rPr>
          <w:kern w:val="0"/>
          <w:lang w:val="fr-BE"/>
          <w14:ligatures w14:val="none"/>
        </w:rPr>
        <w:t>wet-bench</w:t>
      </w:r>
      <w:proofErr w:type="spellEnd"/>
      <w:r w:rsidRPr="00A16C68">
        <w:rPr>
          <w:kern w:val="0"/>
          <w:lang w:val="fr-BE"/>
          <w14:ligatures w14:val="none"/>
        </w:rPr>
        <w:t xml:space="preserve"> en </w:t>
      </w:r>
      <w:proofErr w:type="spellStart"/>
      <w:r w:rsidRPr="00A16C68">
        <w:rPr>
          <w:kern w:val="0"/>
          <w:lang w:val="fr-BE"/>
          <w14:ligatures w14:val="none"/>
        </w:rPr>
        <w:t>sequencing</w:t>
      </w:r>
      <w:proofErr w:type="spellEnd"/>
      <w:r w:rsidRPr="00A16C68">
        <w:rPr>
          <w:kern w:val="0"/>
          <w:lang w:val="fr-BE"/>
          <w14:ligatures w14:val="none"/>
        </w:rPr>
        <w:t xml:space="preserve">). </w:t>
      </w:r>
    </w:p>
    <w:p w14:paraId="1A3086E5" w14:textId="25E17903" w:rsidR="00BB093D" w:rsidRDefault="00BB093D" w:rsidP="00A16C68">
      <w:pPr>
        <w:pStyle w:val="ListParagraph"/>
        <w:spacing w:after="200" w:line="276" w:lineRule="auto"/>
        <w:ind w:left="1134" w:hanging="360"/>
      </w:pPr>
      <w:r w:rsidRPr="00A16C68">
        <w:rPr>
          <w:kern w:val="0"/>
          <w:lang w:val="fr-BE"/>
          <w14:ligatures w14:val="none"/>
        </w:rPr>
        <w:t>c. post-</w:t>
      </w:r>
      <w:proofErr w:type="spellStart"/>
      <w:r w:rsidRPr="00A16C68">
        <w:rPr>
          <w:kern w:val="0"/>
          <w:lang w:val="fr-BE"/>
          <w14:ligatures w14:val="none"/>
        </w:rPr>
        <w:t>analytisch</w:t>
      </w:r>
      <w:proofErr w:type="spellEnd"/>
      <w:r>
        <w:t xml:space="preserve"> (</w:t>
      </w:r>
      <w:r w:rsidR="00A16C68">
        <w:t>dry-</w:t>
      </w:r>
      <w:proofErr w:type="spellStart"/>
      <w:r w:rsidR="00A16C68">
        <w:t>bench</w:t>
      </w:r>
      <w:proofErr w:type="spellEnd"/>
      <w:r>
        <w:t xml:space="preserve"> en resultaatvalidatie). </w:t>
      </w:r>
    </w:p>
    <w:p w14:paraId="52B3CFBD" w14:textId="3BFB2A8B" w:rsidR="00BB093D" w:rsidRDefault="00BB093D" w:rsidP="00CC1971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jc w:val="both"/>
      </w:pPr>
      <w:r>
        <w:t>De</w:t>
      </w:r>
      <w:r w:rsidR="009148EC">
        <w:t xml:space="preserve"> modaliteiten</w:t>
      </w:r>
      <w:r>
        <w:t xml:space="preserve"> van de </w:t>
      </w:r>
      <w:r w:rsidR="00EE5267">
        <w:t>opleiding</w:t>
      </w:r>
      <w:r>
        <w:t xml:space="preserve">, supervisie en </w:t>
      </w:r>
      <w:r w:rsidR="009148EC">
        <w:t>de garantie</w:t>
      </w:r>
      <w:r>
        <w:t xml:space="preserve"> van de competentie van de</w:t>
      </w:r>
      <w:r w:rsidR="00A16C68">
        <w:t xml:space="preserve"> laag-volume</w:t>
      </w:r>
      <w:r>
        <w:t xml:space="preserve"> instelling of de samenwerkende instelling met </w:t>
      </w:r>
      <w:r w:rsidR="00A16C68">
        <w:t xml:space="preserve">uitbestede </w:t>
      </w:r>
      <w:r>
        <w:t>stappen</w:t>
      </w:r>
      <w:r w:rsidR="009148EC">
        <w:t xml:space="preserve"> door de hoog-volume instelling.</w:t>
      </w:r>
    </w:p>
    <w:p w14:paraId="372191B7" w14:textId="00122821" w:rsidR="00BB093D" w:rsidRDefault="007B1660" w:rsidP="00CC1971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jc w:val="both"/>
      </w:pPr>
      <w:r>
        <w:t xml:space="preserve">De </w:t>
      </w:r>
      <w:r w:rsidR="00F310DD">
        <w:t>organisatie</w:t>
      </w:r>
      <w:r>
        <w:t xml:space="preserve"> van een</w:t>
      </w:r>
      <w:r w:rsidRPr="007B1660">
        <w:t xml:space="preserve"> Technisch Overleg</w:t>
      </w:r>
      <w:r w:rsidR="003D5424">
        <w:t xml:space="preserve"> d</w:t>
      </w:r>
      <w:r w:rsidR="00F310DD">
        <w:t>at</w:t>
      </w:r>
      <w:r w:rsidR="003D5424">
        <w:t xml:space="preserve"> minstens één keer per maand plaats</w:t>
      </w:r>
      <w:r w:rsidR="00F310DD">
        <w:t xml:space="preserve"> </w:t>
      </w:r>
      <w:r w:rsidR="003D5424">
        <w:t>heeft</w:t>
      </w:r>
      <w:r w:rsidRPr="007B1660">
        <w:t xml:space="preserve">, </w:t>
      </w:r>
      <w:r>
        <w:t>bestaande uit</w:t>
      </w:r>
      <w:r w:rsidRPr="007B1660">
        <w:t xml:space="preserve"> </w:t>
      </w:r>
      <w:r w:rsidR="00614065">
        <w:t>minstens de anatoompatholoog en klinisch bioloog</w:t>
      </w:r>
      <w:r w:rsidRPr="007B1660">
        <w:t xml:space="preserve"> van de laag-volume instelling, de coördinator van de hoog-volume instelling en de erkende klinisch geneticus-coördinator</w:t>
      </w:r>
      <w:r w:rsidR="003D5424">
        <w:t xml:space="preserve"> </w:t>
      </w:r>
      <w:r w:rsidRPr="007B1660">
        <w:t>of zijn afgevaardigde</w:t>
      </w:r>
      <w:r w:rsidR="003D5424">
        <w:t xml:space="preserve"> voor de</w:t>
      </w:r>
      <w:r w:rsidR="003D5424" w:rsidRPr="00CC1971">
        <w:t xml:space="preserve"> bespreking van </w:t>
      </w:r>
      <w:r w:rsidR="003D5424">
        <w:t xml:space="preserve">de opvolging van </w:t>
      </w:r>
      <w:proofErr w:type="spellStart"/>
      <w:r w:rsidR="003D5424" w:rsidRPr="00CC1971">
        <w:t>biomerker</w:t>
      </w:r>
      <w:proofErr w:type="spellEnd"/>
      <w:r w:rsidR="004D3F83">
        <w:t xml:space="preserve"> </w:t>
      </w:r>
      <w:r w:rsidR="003D5424" w:rsidRPr="00CC1971">
        <w:t>varianten die mogelijks erfelijk bepaald zijn</w:t>
      </w:r>
      <w:r>
        <w:t xml:space="preserve">. </w:t>
      </w:r>
      <w:bookmarkStart w:id="1" w:name="_Hlk163718149"/>
      <w:r w:rsidR="003D5424">
        <w:t>Dit Technisch Overleg is een aanvulling op de MOC en bespreekt niet alleen de analyse en interpretatie van specifieke gevallen, maar voorziet ook de supervisie en verificatie van de competentie</w:t>
      </w:r>
      <w:bookmarkEnd w:id="1"/>
      <w:r w:rsidR="00614065">
        <w:t>s</w:t>
      </w:r>
      <w:r w:rsidR="00BB093D">
        <w:t>.</w:t>
      </w:r>
    </w:p>
    <w:p w14:paraId="3092647A" w14:textId="346E1CF4" w:rsidR="00BB093D" w:rsidRDefault="00BB093D" w:rsidP="00CC1971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jc w:val="both"/>
      </w:pPr>
      <w:r>
        <w:lastRenderedPageBreak/>
        <w:t xml:space="preserve">De wijze waarop </w:t>
      </w:r>
      <w:r w:rsidR="00CC1971">
        <w:t>de gevallen</w:t>
      </w:r>
      <w:r>
        <w:t xml:space="preserve"> </w:t>
      </w:r>
      <w:r w:rsidR="00AC67DE">
        <w:t xml:space="preserve">die een grondigere analyse vereisen, </w:t>
      </w:r>
      <w:r w:rsidR="00A60BCF">
        <w:t xml:space="preserve">worden </w:t>
      </w:r>
      <w:r w:rsidR="00CC1971">
        <w:t>geselecteerd/</w:t>
      </w:r>
      <w:r w:rsidR="00AC67DE">
        <w:t>door</w:t>
      </w:r>
      <w:r w:rsidR="00A60BCF">
        <w:t xml:space="preserve">verwezen naar </w:t>
      </w:r>
      <w:r w:rsidR="00BF45E0">
        <w:t>dit</w:t>
      </w:r>
      <w:r w:rsidR="00D9474F" w:rsidRPr="00D9474F">
        <w:t xml:space="preserve"> </w:t>
      </w:r>
      <w:r w:rsidR="00D9474F">
        <w:t>Technisch Overleg.</w:t>
      </w:r>
      <w:r w:rsidR="00BF45E0">
        <w:t xml:space="preserve"> </w:t>
      </w:r>
    </w:p>
    <w:p w14:paraId="558E1848" w14:textId="326845CD" w:rsidR="00BB093D" w:rsidRPr="00F25EDB" w:rsidRDefault="00BB093D" w:rsidP="00CC1971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jc w:val="both"/>
      </w:pPr>
      <w:r w:rsidRPr="00F25EDB">
        <w:t xml:space="preserve">Bevestiging dat de laag-volume instelling of samenwerkende instelling met uitbestede stappen verantwoordelijk is voor het opstellen van een rapport voor elk geanalyseerd </w:t>
      </w:r>
      <w:r w:rsidR="00AC67DE" w:rsidRPr="00F25EDB">
        <w:t>staal</w:t>
      </w:r>
      <w:r w:rsidRPr="00F25EDB">
        <w:t xml:space="preserve"> en het </w:t>
      </w:r>
      <w:r w:rsidR="00CC1971" w:rsidRPr="00F25EDB">
        <w:t>voorleggen</w:t>
      </w:r>
      <w:r w:rsidRPr="00F25EDB">
        <w:t xml:space="preserve"> ervan </w:t>
      </w:r>
      <w:r w:rsidR="00CC1971" w:rsidRPr="00F25EDB">
        <w:t>aan</w:t>
      </w:r>
      <w:r w:rsidRPr="00F25EDB">
        <w:t xml:space="preserve"> de voorschrijver.</w:t>
      </w:r>
    </w:p>
    <w:p w14:paraId="35EFAA9D" w14:textId="0513CBDF" w:rsidR="00FB3969" w:rsidRPr="00F25EDB" w:rsidRDefault="00FB3969" w:rsidP="00CC1971">
      <w:pPr>
        <w:pStyle w:val="ListParagraph"/>
        <w:numPr>
          <w:ilvl w:val="0"/>
          <w:numId w:val="2"/>
        </w:numPr>
        <w:spacing w:after="200" w:line="276" w:lineRule="auto"/>
        <w:ind w:left="426" w:hanging="273"/>
        <w:jc w:val="both"/>
      </w:pPr>
      <w:r w:rsidRPr="00F25EDB">
        <w:rPr>
          <w:kern w:val="0"/>
          <w14:ligatures w14:val="none"/>
        </w:rPr>
        <w:t>In h</w:t>
      </w:r>
      <w:r w:rsidRPr="00F25EDB">
        <w:t xml:space="preserve">et geval van een samenwerkende instelling met uitbestede stappen, de </w:t>
      </w:r>
      <w:r w:rsidRPr="00F25EDB">
        <w:rPr>
          <w:i/>
          <w:iCs/>
        </w:rPr>
        <w:t>turn-</w:t>
      </w:r>
      <w:proofErr w:type="spellStart"/>
      <w:r w:rsidRPr="00F25EDB">
        <w:rPr>
          <w:i/>
          <w:iCs/>
        </w:rPr>
        <w:t>around</w:t>
      </w:r>
      <w:proofErr w:type="spellEnd"/>
      <w:r w:rsidRPr="00F25EDB">
        <w:rPr>
          <w:i/>
          <w:iCs/>
        </w:rPr>
        <w:t>-time</w:t>
      </w:r>
      <w:r w:rsidRPr="00F25EDB">
        <w:t xml:space="preserve"> van de deelprocessen en de verantwoordelijkheid van elk van beide instellingen om de totale </w:t>
      </w:r>
      <w:r w:rsidRPr="00F25EDB">
        <w:rPr>
          <w:i/>
          <w:iCs/>
        </w:rPr>
        <w:t>turn-</w:t>
      </w:r>
      <w:proofErr w:type="spellStart"/>
      <w:r w:rsidRPr="00F25EDB">
        <w:rPr>
          <w:i/>
          <w:iCs/>
        </w:rPr>
        <w:t>around</w:t>
      </w:r>
      <w:proofErr w:type="spellEnd"/>
      <w:r w:rsidRPr="00F25EDB">
        <w:rPr>
          <w:i/>
          <w:iCs/>
        </w:rPr>
        <w:t>-time</w:t>
      </w:r>
      <w:r w:rsidRPr="00F25EDB">
        <w:t xml:space="preserve"> te garanderen.</w:t>
      </w:r>
    </w:p>
    <w:p w14:paraId="2015B1BA" w14:textId="1FC1D115" w:rsidR="009B70C9" w:rsidRPr="00F25EDB" w:rsidRDefault="009B70C9" w:rsidP="00BB093D"/>
    <w:p w14:paraId="3046FC04" w14:textId="05D94D6C" w:rsidR="00BB093D" w:rsidRPr="00F25EDB" w:rsidRDefault="00BB093D" w:rsidP="009258D5">
      <w:pPr>
        <w:pStyle w:val="Heading2"/>
        <w:tabs>
          <w:tab w:val="left" w:pos="8080"/>
        </w:tabs>
        <w:jc w:val="both"/>
      </w:pPr>
      <w:r w:rsidRPr="00F25EDB">
        <w:t>Minim</w:t>
      </w:r>
      <w:r w:rsidR="00FF118D" w:rsidRPr="00F25EDB">
        <w:t>ale bepalingen</w:t>
      </w:r>
      <w:r w:rsidRPr="00F25EDB">
        <w:t xml:space="preserve"> voor een SLA-C</w:t>
      </w:r>
      <w:r w:rsidR="00CC1971" w:rsidRPr="00F25EDB">
        <w:t>ME</w:t>
      </w:r>
    </w:p>
    <w:p w14:paraId="2E3EF57A" w14:textId="1ECA4DE6" w:rsidR="00BB093D" w:rsidRPr="00F25EDB" w:rsidRDefault="00BB093D" w:rsidP="009258D5">
      <w:pPr>
        <w:tabs>
          <w:tab w:val="left" w:pos="8080"/>
        </w:tabs>
        <w:jc w:val="both"/>
      </w:pPr>
      <w:r w:rsidRPr="00F25EDB">
        <w:t>De SLA-C</w:t>
      </w:r>
      <w:r w:rsidR="00CC1971" w:rsidRPr="00F25EDB">
        <w:t>ME</w:t>
      </w:r>
      <w:r w:rsidRPr="00F25EDB">
        <w:t xml:space="preserve"> moet minimaal de volgende </w:t>
      </w:r>
      <w:r w:rsidR="00AC67DE" w:rsidRPr="00F25EDB">
        <w:t>bepalingen</w:t>
      </w:r>
      <w:r w:rsidRPr="00F25EDB">
        <w:t xml:space="preserve"> bevatten:</w:t>
      </w:r>
    </w:p>
    <w:p w14:paraId="405C22DC" w14:textId="2531A998" w:rsidR="00BB093D" w:rsidRPr="00F25EDB" w:rsidRDefault="00BB093D" w:rsidP="009258D5">
      <w:pPr>
        <w:pStyle w:val="ListParagraph"/>
        <w:numPr>
          <w:ilvl w:val="0"/>
          <w:numId w:val="4"/>
        </w:numPr>
        <w:tabs>
          <w:tab w:val="left" w:pos="8080"/>
        </w:tabs>
        <w:spacing w:after="200" w:line="276" w:lineRule="auto"/>
        <w:ind w:left="426" w:hanging="280"/>
        <w:jc w:val="both"/>
      </w:pPr>
      <w:r w:rsidRPr="00F25EDB">
        <w:t xml:space="preserve">De </w:t>
      </w:r>
      <w:r w:rsidR="00954383" w:rsidRPr="00F25EDB">
        <w:t xml:space="preserve">betrokken </w:t>
      </w:r>
      <w:r w:rsidRPr="00F25EDB">
        <w:t>partijen en hun vertegenwoordigers, inclusief eventuele plaatsvervangers</w:t>
      </w:r>
      <w:r w:rsidR="00AA2D0F" w:rsidRPr="00F25EDB">
        <w:t>.</w:t>
      </w:r>
    </w:p>
    <w:p w14:paraId="29B22E16" w14:textId="77BAEF9D" w:rsidR="00BB093D" w:rsidRPr="00F25EDB" w:rsidRDefault="00D63E5B" w:rsidP="009258D5">
      <w:pPr>
        <w:pStyle w:val="ListParagraph"/>
        <w:numPr>
          <w:ilvl w:val="0"/>
          <w:numId w:val="4"/>
        </w:numPr>
        <w:tabs>
          <w:tab w:val="left" w:pos="8080"/>
        </w:tabs>
        <w:spacing w:after="200" w:line="276" w:lineRule="auto"/>
        <w:ind w:left="426" w:hanging="280"/>
        <w:jc w:val="both"/>
      </w:pPr>
      <w:r w:rsidRPr="00F25EDB">
        <w:rPr>
          <w:kern w:val="0"/>
          <w14:ligatures w14:val="none"/>
        </w:rPr>
        <w:t>Een afspraak dat een erkend klinisch geneticus</w:t>
      </w:r>
      <w:r w:rsidR="005A56F5" w:rsidRPr="00F25EDB">
        <w:rPr>
          <w:kern w:val="0"/>
          <w14:ligatures w14:val="none"/>
        </w:rPr>
        <w:t>-coördinator</w:t>
      </w:r>
      <w:r w:rsidR="00F23821" w:rsidRPr="00F25EDB">
        <w:rPr>
          <w:kern w:val="0"/>
          <w14:ligatures w14:val="none"/>
        </w:rPr>
        <w:t>, die wordt aangewezen door het Diensthoofd van het Centrum voor Menselijke Erfelijkheid,</w:t>
      </w:r>
      <w:r w:rsidR="00217F35" w:rsidRPr="00F25EDB">
        <w:rPr>
          <w:kern w:val="0"/>
          <w14:ligatures w14:val="none"/>
        </w:rPr>
        <w:t xml:space="preserve"> </w:t>
      </w:r>
      <w:r w:rsidRPr="00F25EDB">
        <w:rPr>
          <w:kern w:val="0"/>
          <w14:ligatures w14:val="none"/>
        </w:rPr>
        <w:t xml:space="preserve">de samenwerking coördineert </w:t>
      </w:r>
      <w:r w:rsidRPr="00F25EDB">
        <w:t>tussen de medewerkers van het Centrum Menselijke Erfelijkheid (CME) en het team dat de NGS uitvoert en interpreteert.</w:t>
      </w:r>
      <w:r w:rsidR="00371922" w:rsidRPr="00F25EDB">
        <w:t xml:space="preserve"> </w:t>
      </w:r>
      <w:r w:rsidR="00371922" w:rsidRPr="00F25EDB">
        <w:rPr>
          <w:kern w:val="0"/>
          <w14:ligatures w14:val="none"/>
        </w:rPr>
        <w:t>(</w:t>
      </w:r>
      <w:r w:rsidR="00371922" w:rsidRPr="00F25EDB">
        <w:rPr>
          <w:i/>
          <w:iCs/>
          <w:kern w:val="0"/>
          <w14:ligatures w14:val="none"/>
        </w:rPr>
        <w:t>de naam van deze persoon dient te worden opgegeven bij de kandidatuurstelling, maar niet in de SLA</w:t>
      </w:r>
      <w:r w:rsidR="00371922" w:rsidRPr="00F25EDB">
        <w:rPr>
          <w:kern w:val="0"/>
          <w14:ligatures w14:val="none"/>
        </w:rPr>
        <w:t>)</w:t>
      </w:r>
    </w:p>
    <w:p w14:paraId="1BB73469" w14:textId="77777777" w:rsidR="00F23821" w:rsidRPr="00F25EDB" w:rsidRDefault="002A25B7" w:rsidP="009258D5">
      <w:pPr>
        <w:pStyle w:val="ListParagraph"/>
        <w:numPr>
          <w:ilvl w:val="0"/>
          <w:numId w:val="4"/>
        </w:numPr>
        <w:tabs>
          <w:tab w:val="left" w:pos="8080"/>
        </w:tabs>
        <w:spacing w:after="200" w:line="276" w:lineRule="auto"/>
        <w:ind w:left="426" w:hanging="280"/>
        <w:jc w:val="both"/>
      </w:pPr>
      <w:r w:rsidRPr="00F25EDB">
        <w:t xml:space="preserve">Het </w:t>
      </w:r>
      <w:r w:rsidR="00F23821" w:rsidRPr="00F25EDB">
        <w:t xml:space="preserve">Diensthoofd van het </w:t>
      </w:r>
      <w:r w:rsidRPr="00F25EDB">
        <w:t xml:space="preserve">CME kan ook desgevallend </w:t>
      </w:r>
      <w:r w:rsidR="004816BC" w:rsidRPr="00F25EDB">
        <w:t xml:space="preserve">deze taak </w:t>
      </w:r>
      <w:r w:rsidR="00F23821" w:rsidRPr="00F25EDB">
        <w:t xml:space="preserve">van geneticus-coördinator </w:t>
      </w:r>
      <w:r w:rsidR="004816BC" w:rsidRPr="00F25EDB">
        <w:t xml:space="preserve">delegeren naar </w:t>
      </w:r>
      <w:r w:rsidRPr="00F25EDB">
        <w:t>een medisch oncoloog of een andere arts-specialist met ervaring in de tumorgenetica als afgevaardigde v</w:t>
      </w:r>
      <w:r w:rsidR="00F23821" w:rsidRPr="00F25EDB">
        <w:t>oor</w:t>
      </w:r>
      <w:r w:rsidRPr="00F25EDB">
        <w:t xml:space="preserve"> het CME. </w:t>
      </w:r>
    </w:p>
    <w:p w14:paraId="01A0720E" w14:textId="2A6A49C5" w:rsidR="002A25B7" w:rsidRPr="00F25EDB" w:rsidRDefault="002A25B7" w:rsidP="009258D5">
      <w:pPr>
        <w:pStyle w:val="ListParagraph"/>
        <w:numPr>
          <w:ilvl w:val="0"/>
          <w:numId w:val="4"/>
        </w:numPr>
        <w:tabs>
          <w:tab w:val="left" w:pos="8080"/>
        </w:tabs>
        <w:spacing w:after="200" w:line="276" w:lineRule="auto"/>
        <w:ind w:left="426" w:hanging="280"/>
        <w:jc w:val="both"/>
      </w:pPr>
      <w:r w:rsidRPr="00F25EDB">
        <w:t xml:space="preserve">De rol van de </w:t>
      </w:r>
      <w:r w:rsidR="00F23821" w:rsidRPr="00F25EDB">
        <w:t>klinisch geneticus-coördinator of de afgevaardigde</w:t>
      </w:r>
      <w:r w:rsidR="00234DC8" w:rsidRPr="00F25EDB">
        <w:t xml:space="preserve"> </w:t>
      </w:r>
      <w:r w:rsidRPr="00F25EDB">
        <w:t xml:space="preserve">in de analyse en interpretatie van de </w:t>
      </w:r>
      <w:r w:rsidR="005A4780" w:rsidRPr="00F25EDB">
        <w:t>mutaties</w:t>
      </w:r>
      <w:r w:rsidRPr="00F25EDB">
        <w:t xml:space="preserve"> met bewezen erfelijke impact en/of het doorverwijzen van patiënten voor kiembaananalyse naar het CME wordt vastgelegd</w:t>
      </w:r>
      <w:r w:rsidR="00457982" w:rsidRPr="00F25EDB">
        <w:t xml:space="preserve"> in deze SLA</w:t>
      </w:r>
      <w:r w:rsidRPr="00F25EDB">
        <w:t>.</w:t>
      </w:r>
    </w:p>
    <w:p w14:paraId="4288DE39" w14:textId="79A91559" w:rsidR="00E26D6D" w:rsidRPr="00F25EDB" w:rsidRDefault="00E26D6D" w:rsidP="009258D5">
      <w:pPr>
        <w:pStyle w:val="ListParagraph"/>
        <w:numPr>
          <w:ilvl w:val="0"/>
          <w:numId w:val="4"/>
        </w:numPr>
        <w:tabs>
          <w:tab w:val="left" w:pos="8080"/>
        </w:tabs>
        <w:spacing w:after="200" w:line="276" w:lineRule="auto"/>
        <w:ind w:left="426" w:hanging="280"/>
        <w:jc w:val="both"/>
      </w:pPr>
      <w:r w:rsidRPr="00F25EDB">
        <w:t xml:space="preserve">Bevestiging dat </w:t>
      </w:r>
      <w:r w:rsidR="00457982" w:rsidRPr="00F25EDB">
        <w:t>de</w:t>
      </w:r>
      <w:r w:rsidRPr="00F25EDB">
        <w:t xml:space="preserve"> </w:t>
      </w:r>
      <w:r w:rsidR="003541A4" w:rsidRPr="00F25EDB">
        <w:t xml:space="preserve">klinisch </w:t>
      </w:r>
      <w:r w:rsidRPr="00F25EDB">
        <w:t>geneticus</w:t>
      </w:r>
      <w:bookmarkStart w:id="2" w:name="_Hlk163719282"/>
      <w:r w:rsidR="00457982" w:rsidRPr="00F25EDB">
        <w:t>-</w:t>
      </w:r>
      <w:r w:rsidR="00F310DD" w:rsidRPr="00F25EDB">
        <w:t>coördinator</w:t>
      </w:r>
      <w:r w:rsidR="00457982" w:rsidRPr="00F25EDB">
        <w:t xml:space="preserve"> of de afgevaardigde</w:t>
      </w:r>
      <w:r w:rsidR="00F310DD" w:rsidRPr="00F25EDB">
        <w:t xml:space="preserve"> </w:t>
      </w:r>
      <w:bookmarkEnd w:id="2"/>
      <w:r w:rsidRPr="00F25EDB">
        <w:t>beschikbaar is</w:t>
      </w:r>
      <w:r w:rsidR="00457982" w:rsidRPr="00F25EDB">
        <w:t xml:space="preserve">, binnen een aanvaardbaar tijdsinterval na het uitvoeren van de </w:t>
      </w:r>
      <w:proofErr w:type="spellStart"/>
      <w:r w:rsidR="00457982" w:rsidRPr="00F25EDB">
        <w:t>tumorsequencing</w:t>
      </w:r>
      <w:proofErr w:type="spellEnd"/>
      <w:r w:rsidR="00457982" w:rsidRPr="00F25EDB">
        <w:t>,</w:t>
      </w:r>
      <w:r w:rsidRPr="00F25EDB">
        <w:t xml:space="preserve"> om alle </w:t>
      </w:r>
      <w:r w:rsidR="004B6411" w:rsidRPr="00F25EDB">
        <w:t xml:space="preserve">geselecteerde </w:t>
      </w:r>
      <w:r w:rsidR="00F310DD" w:rsidRPr="00F25EDB">
        <w:t>casussen</w:t>
      </w:r>
      <w:r w:rsidRPr="00F25EDB">
        <w:t xml:space="preserve"> </w:t>
      </w:r>
      <w:r w:rsidR="00460DD1" w:rsidRPr="00F25EDB">
        <w:t xml:space="preserve">te bespreken en te besluiten tot al dan niet uitvoeren van kiembaan genetische </w:t>
      </w:r>
      <w:proofErr w:type="spellStart"/>
      <w:r w:rsidR="00460DD1" w:rsidRPr="00F25EDB">
        <w:t>testing</w:t>
      </w:r>
      <w:proofErr w:type="spellEnd"/>
      <w:r w:rsidR="00460DD1" w:rsidRPr="00F25EDB">
        <w:t xml:space="preserve"> en genetische counseling</w:t>
      </w:r>
      <w:r w:rsidR="00AD2BA6" w:rsidRPr="00F25EDB">
        <w:t>. Deze bespreking dient</w:t>
      </w:r>
      <w:r w:rsidR="00460DD1" w:rsidRPr="00F25EDB">
        <w:t xml:space="preserve"> niet noodzakelijk </w:t>
      </w:r>
      <w:r w:rsidR="00014980" w:rsidRPr="00F25EDB">
        <w:t>binnen dezelfde termijn als die voor</w:t>
      </w:r>
      <w:r w:rsidR="00460DD1" w:rsidRPr="00F25EDB">
        <w:t xml:space="preserve"> de MOC bespreking van het kanker-behandelingstraject</w:t>
      </w:r>
      <w:r w:rsidR="00014980" w:rsidRPr="00F25EDB">
        <w:t xml:space="preserve"> te vallen</w:t>
      </w:r>
      <w:r w:rsidRPr="00F25EDB">
        <w:t>.</w:t>
      </w:r>
    </w:p>
    <w:p w14:paraId="6D0BB296" w14:textId="3B35E1AF" w:rsidR="00BB093D" w:rsidRDefault="00BB093D" w:rsidP="009258D5">
      <w:pPr>
        <w:pStyle w:val="ListParagraph"/>
        <w:numPr>
          <w:ilvl w:val="0"/>
          <w:numId w:val="4"/>
        </w:numPr>
        <w:tabs>
          <w:tab w:val="left" w:pos="8080"/>
        </w:tabs>
        <w:spacing w:after="200" w:line="276" w:lineRule="auto"/>
        <w:ind w:left="426" w:hanging="280"/>
        <w:jc w:val="both"/>
      </w:pPr>
      <w:r>
        <w:t xml:space="preserve">De </w:t>
      </w:r>
      <w:r w:rsidR="000507D5">
        <w:t>wijze</w:t>
      </w:r>
      <w:r>
        <w:t xml:space="preserve"> waarop de gevallen </w:t>
      </w:r>
      <w:r w:rsidR="00EA17D7">
        <w:t xml:space="preserve">binnen redelijke termijn </w:t>
      </w:r>
      <w:r w:rsidR="00DB7E1D">
        <w:t xml:space="preserve">worden geselecteerd </w:t>
      </w:r>
      <w:r w:rsidR="00460DD1">
        <w:rPr>
          <w:kern w:val="0"/>
          <w14:ligatures w14:val="none"/>
        </w:rPr>
        <w:t xml:space="preserve">voor adequate follow-up inzake mogelijke kiemlijn oorsprong van een gedetecteerde variant. Deze </w:t>
      </w:r>
      <w:r w:rsidR="00260B43">
        <w:rPr>
          <w:kern w:val="0"/>
          <w14:ligatures w14:val="none"/>
        </w:rPr>
        <w:t>procedure</w:t>
      </w:r>
      <w:r w:rsidR="00460DD1">
        <w:rPr>
          <w:kern w:val="0"/>
          <w14:ligatures w14:val="none"/>
        </w:rPr>
        <w:t xml:space="preserve"> dient voorgeschreven te zijn </w:t>
      </w:r>
      <w:r w:rsidR="00F629B4">
        <w:rPr>
          <w:kern w:val="0"/>
          <w14:ligatures w14:val="none"/>
        </w:rPr>
        <w:t>op basis van de meest recente</w:t>
      </w:r>
      <w:r w:rsidR="00460DD1">
        <w:rPr>
          <w:kern w:val="0"/>
          <w14:ligatures w14:val="none"/>
        </w:rPr>
        <w:t xml:space="preserve"> internationale consensus aanbevelingen zoals de </w:t>
      </w:r>
      <w:bookmarkStart w:id="3" w:name="_Hlk165039107"/>
      <w:r w:rsidR="00460DD1">
        <w:rPr>
          <w:kern w:val="0"/>
          <w14:ligatures w14:val="none"/>
        </w:rPr>
        <w:t>“</w:t>
      </w:r>
      <w:r w:rsidR="00460DD1" w:rsidRPr="00457982">
        <w:rPr>
          <w:i/>
          <w:iCs/>
          <w:kern w:val="0"/>
          <w14:ligatures w14:val="none"/>
        </w:rPr>
        <w:t xml:space="preserve">ESMO </w:t>
      </w:r>
      <w:proofErr w:type="spellStart"/>
      <w:r w:rsidR="00460DD1" w:rsidRPr="00457982">
        <w:rPr>
          <w:i/>
          <w:iCs/>
          <w:kern w:val="0"/>
          <w14:ligatures w14:val="none"/>
        </w:rPr>
        <w:t>recommendations</w:t>
      </w:r>
      <w:proofErr w:type="spellEnd"/>
      <w:r w:rsidR="00460DD1" w:rsidRPr="00457982">
        <w:rPr>
          <w:i/>
          <w:iCs/>
          <w:kern w:val="0"/>
          <w14:ligatures w14:val="none"/>
        </w:rPr>
        <w:t xml:space="preserve"> </w:t>
      </w:r>
      <w:proofErr w:type="spellStart"/>
      <w:r w:rsidR="00460DD1" w:rsidRPr="00457982">
        <w:rPr>
          <w:i/>
          <w:iCs/>
          <w:kern w:val="0"/>
          <w14:ligatures w14:val="none"/>
        </w:rPr>
        <w:t>for</w:t>
      </w:r>
      <w:proofErr w:type="spellEnd"/>
      <w:r w:rsidR="00460DD1" w:rsidRPr="00457982">
        <w:rPr>
          <w:i/>
          <w:iCs/>
          <w:kern w:val="0"/>
          <w14:ligatures w14:val="none"/>
        </w:rPr>
        <w:t xml:space="preserve"> </w:t>
      </w:r>
      <w:proofErr w:type="spellStart"/>
      <w:r w:rsidR="00460DD1" w:rsidRPr="00457982">
        <w:rPr>
          <w:i/>
          <w:iCs/>
          <w:kern w:val="0"/>
          <w14:ligatures w14:val="none"/>
        </w:rPr>
        <w:t>germline-focused</w:t>
      </w:r>
      <w:proofErr w:type="spellEnd"/>
      <w:r w:rsidR="00460DD1" w:rsidRPr="00457982">
        <w:rPr>
          <w:i/>
          <w:iCs/>
          <w:kern w:val="0"/>
          <w14:ligatures w14:val="none"/>
        </w:rPr>
        <w:t xml:space="preserve"> analysis of </w:t>
      </w:r>
      <w:proofErr w:type="spellStart"/>
      <w:r w:rsidR="00460DD1" w:rsidRPr="00457982">
        <w:rPr>
          <w:i/>
          <w:iCs/>
          <w:kern w:val="0"/>
          <w14:ligatures w14:val="none"/>
        </w:rPr>
        <w:t>tumour-only</w:t>
      </w:r>
      <w:proofErr w:type="spellEnd"/>
      <w:r w:rsidR="00460DD1" w:rsidRPr="00457982">
        <w:rPr>
          <w:i/>
          <w:iCs/>
          <w:kern w:val="0"/>
          <w14:ligatures w14:val="none"/>
        </w:rPr>
        <w:t xml:space="preserve"> </w:t>
      </w:r>
      <w:proofErr w:type="spellStart"/>
      <w:r w:rsidR="00460DD1" w:rsidRPr="00457982">
        <w:rPr>
          <w:i/>
          <w:iCs/>
          <w:kern w:val="0"/>
          <w14:ligatures w14:val="none"/>
        </w:rPr>
        <w:t>sequencing</w:t>
      </w:r>
      <w:proofErr w:type="spellEnd"/>
      <w:r w:rsidR="00460DD1">
        <w:rPr>
          <w:kern w:val="0"/>
          <w14:ligatures w14:val="none"/>
        </w:rPr>
        <w:t xml:space="preserve">” </w:t>
      </w:r>
      <w:bookmarkEnd w:id="3"/>
      <w:r w:rsidR="00660A61" w:rsidRPr="00660A61">
        <w:t>.</w:t>
      </w:r>
    </w:p>
    <w:p w14:paraId="7066A964" w14:textId="66419059" w:rsidR="00C24D53" w:rsidRPr="00EA17D7" w:rsidRDefault="00F629B4" w:rsidP="009258D5">
      <w:pPr>
        <w:pStyle w:val="ListParagraph"/>
        <w:numPr>
          <w:ilvl w:val="0"/>
          <w:numId w:val="4"/>
        </w:numPr>
        <w:tabs>
          <w:tab w:val="left" w:pos="8080"/>
        </w:tabs>
        <w:spacing w:after="200" w:line="276" w:lineRule="auto"/>
        <w:ind w:left="426" w:hanging="280"/>
        <w:jc w:val="both"/>
      </w:pPr>
      <w:r>
        <w:t xml:space="preserve">Bevestiging van deelname van de </w:t>
      </w:r>
      <w:r w:rsidR="00F310DD">
        <w:t xml:space="preserve">klinisch </w:t>
      </w:r>
      <w:r>
        <w:t xml:space="preserve">geneticus-coördinator </w:t>
      </w:r>
      <w:r w:rsidR="00F310DD">
        <w:t xml:space="preserve">of </w:t>
      </w:r>
      <w:r w:rsidR="00260B43">
        <w:t xml:space="preserve">de </w:t>
      </w:r>
      <w:r w:rsidR="00F310DD">
        <w:t xml:space="preserve">afgevaardigde </w:t>
      </w:r>
      <w:r>
        <w:t>aan het Technisch Overleg, dat minstens maandelijks plaatsvindt.</w:t>
      </w:r>
      <w:r w:rsidR="00EA17D7">
        <w:t xml:space="preserve"> </w:t>
      </w:r>
    </w:p>
    <w:p w14:paraId="61D7DCD2" w14:textId="77777777" w:rsidR="006E20C6" w:rsidRPr="00457982" w:rsidRDefault="006E20C6" w:rsidP="009258D5">
      <w:pPr>
        <w:jc w:val="both"/>
        <w:rPr>
          <w:lang w:val="nl-BE"/>
        </w:rPr>
      </w:pPr>
    </w:p>
    <w:p w14:paraId="5560A694" w14:textId="5C72AE85" w:rsidR="00BB093D" w:rsidRDefault="00BB093D" w:rsidP="009258D5">
      <w:pPr>
        <w:pStyle w:val="Heading2"/>
        <w:jc w:val="both"/>
      </w:pPr>
      <w:r>
        <w:t xml:space="preserve">Voorwaarden met betrekking tot </w:t>
      </w:r>
      <w:r w:rsidR="00126FD2">
        <w:t xml:space="preserve">het </w:t>
      </w:r>
      <w:r w:rsidR="00600D3B">
        <w:t>opstellen</w:t>
      </w:r>
      <w:r>
        <w:t xml:space="preserve"> en communic</w:t>
      </w:r>
      <w:r w:rsidR="00126FD2">
        <w:t>eren</w:t>
      </w:r>
      <w:r>
        <w:t xml:space="preserve"> </w:t>
      </w:r>
      <w:r w:rsidR="00126FD2">
        <w:t>van de SLA</w:t>
      </w:r>
    </w:p>
    <w:p w14:paraId="77E34CD6" w14:textId="77777777" w:rsidR="00BB093D" w:rsidRDefault="00BB093D" w:rsidP="009258D5">
      <w:pPr>
        <w:jc w:val="both"/>
      </w:pPr>
      <w:r>
        <w:t>Het staat de instellingen vrij om aanvullende bepalingen op te stellen met betrekking tot gedelegeerde bevoegdheden en de controle daarop.</w:t>
      </w:r>
    </w:p>
    <w:p w14:paraId="66079C1C" w14:textId="13E7CD4F" w:rsidR="00BB093D" w:rsidRDefault="00BB093D" w:rsidP="009258D5">
      <w:pPr>
        <w:jc w:val="both"/>
      </w:pPr>
      <w:r>
        <w:lastRenderedPageBreak/>
        <w:t>De verschillende soorten SLA mogen in één document worden gecombineerd, op voorwaarde dat de vereisten van elke SLA duidelijk worden aangegeven.</w:t>
      </w:r>
    </w:p>
    <w:p w14:paraId="5564E84B" w14:textId="09486E08" w:rsidR="00BB093D" w:rsidRDefault="00126FD2" w:rsidP="009258D5">
      <w:pPr>
        <w:jc w:val="both"/>
      </w:pPr>
      <w:r>
        <w:t>Aanpassingen aan</w:t>
      </w:r>
      <w:r w:rsidR="00BB093D">
        <w:t xml:space="preserve"> de SLA, gedateerd en ondertekend door de verschillende betrokken partijen, word</w:t>
      </w:r>
      <w:r w:rsidR="00926FC2">
        <w:t>en</w:t>
      </w:r>
      <w:r w:rsidR="00BB093D">
        <w:t xml:space="preserve"> vóór 1 juli van elk jaar naar het </w:t>
      </w:r>
      <w:r w:rsidR="004F45E5">
        <w:t>RIZIV</w:t>
      </w:r>
      <w:r w:rsidR="00BB093D">
        <w:t xml:space="preserve"> gestuurd.</w:t>
      </w:r>
    </w:p>
    <w:sectPr w:rsidR="00BB093D" w:rsidSect="00D41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232F"/>
    <w:multiLevelType w:val="hybridMultilevel"/>
    <w:tmpl w:val="ECE82F4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41D7"/>
    <w:multiLevelType w:val="hybridMultilevel"/>
    <w:tmpl w:val="ECE82F4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8374A"/>
    <w:multiLevelType w:val="hybridMultilevel"/>
    <w:tmpl w:val="1AB4D2B0"/>
    <w:lvl w:ilvl="0" w:tplc="AEFC70C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4719"/>
    <w:multiLevelType w:val="hybridMultilevel"/>
    <w:tmpl w:val="9BE66A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B5C85"/>
    <w:multiLevelType w:val="hybridMultilevel"/>
    <w:tmpl w:val="BFCEB3BE"/>
    <w:lvl w:ilvl="0" w:tplc="8634DF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A2054"/>
    <w:multiLevelType w:val="hybridMultilevel"/>
    <w:tmpl w:val="0308B9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37B8"/>
    <w:multiLevelType w:val="hybridMultilevel"/>
    <w:tmpl w:val="ECE82F42"/>
    <w:lvl w:ilvl="0" w:tplc="0D1A1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A4AA1"/>
    <w:multiLevelType w:val="hybridMultilevel"/>
    <w:tmpl w:val="F1501792"/>
    <w:lvl w:ilvl="0" w:tplc="250EF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5475"/>
    <w:multiLevelType w:val="hybridMultilevel"/>
    <w:tmpl w:val="241A5610"/>
    <w:lvl w:ilvl="0" w:tplc="5C84C0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173418">
    <w:abstractNumId w:val="5"/>
  </w:num>
  <w:num w:numId="2" w16cid:durableId="638414641">
    <w:abstractNumId w:val="6"/>
  </w:num>
  <w:num w:numId="3" w16cid:durableId="301007262">
    <w:abstractNumId w:val="1"/>
  </w:num>
  <w:num w:numId="4" w16cid:durableId="123811189">
    <w:abstractNumId w:val="0"/>
  </w:num>
  <w:num w:numId="5" w16cid:durableId="876236290">
    <w:abstractNumId w:val="7"/>
  </w:num>
  <w:num w:numId="6" w16cid:durableId="1329476919">
    <w:abstractNumId w:val="8"/>
  </w:num>
  <w:num w:numId="7" w16cid:durableId="113134603">
    <w:abstractNumId w:val="2"/>
  </w:num>
  <w:num w:numId="8" w16cid:durableId="1526333981">
    <w:abstractNumId w:val="2"/>
  </w:num>
  <w:num w:numId="9" w16cid:durableId="2099207360">
    <w:abstractNumId w:val="4"/>
  </w:num>
  <w:num w:numId="10" w16cid:durableId="1788044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lUT27go4767ay/egjkUgc5W3affki9rz1OdheppbyP8yufC/61HjWHdopQ8dwOzs3rbLpaZhqI5gP+8XZeUEGA==" w:salt="8Ds6DQravMt7D6dglmqDJ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3D"/>
    <w:rsid w:val="00005903"/>
    <w:rsid w:val="0001118D"/>
    <w:rsid w:val="00013613"/>
    <w:rsid w:val="00014980"/>
    <w:rsid w:val="00024D7F"/>
    <w:rsid w:val="000507D5"/>
    <w:rsid w:val="000A5E0E"/>
    <w:rsid w:val="000D13C9"/>
    <w:rsid w:val="00126FD2"/>
    <w:rsid w:val="00142BC5"/>
    <w:rsid w:val="00171F05"/>
    <w:rsid w:val="001B48D6"/>
    <w:rsid w:val="001F6D04"/>
    <w:rsid w:val="002020CA"/>
    <w:rsid w:val="00217F35"/>
    <w:rsid w:val="002263D0"/>
    <w:rsid w:val="00234DC8"/>
    <w:rsid w:val="002569F7"/>
    <w:rsid w:val="00260B43"/>
    <w:rsid w:val="00261DAE"/>
    <w:rsid w:val="002A25B7"/>
    <w:rsid w:val="002D2E24"/>
    <w:rsid w:val="003541A4"/>
    <w:rsid w:val="00371922"/>
    <w:rsid w:val="003772C5"/>
    <w:rsid w:val="003A6492"/>
    <w:rsid w:val="003D5424"/>
    <w:rsid w:val="003D6CF7"/>
    <w:rsid w:val="00424E6F"/>
    <w:rsid w:val="00434443"/>
    <w:rsid w:val="00457982"/>
    <w:rsid w:val="00460DD1"/>
    <w:rsid w:val="004816BC"/>
    <w:rsid w:val="004B6411"/>
    <w:rsid w:val="004B6A29"/>
    <w:rsid w:val="004D3F83"/>
    <w:rsid w:val="004F45E5"/>
    <w:rsid w:val="005232C6"/>
    <w:rsid w:val="005320FC"/>
    <w:rsid w:val="00533C39"/>
    <w:rsid w:val="005A4780"/>
    <w:rsid w:val="005A56F5"/>
    <w:rsid w:val="005C7550"/>
    <w:rsid w:val="00600D3B"/>
    <w:rsid w:val="00614065"/>
    <w:rsid w:val="006263C7"/>
    <w:rsid w:val="0063501D"/>
    <w:rsid w:val="00635C2E"/>
    <w:rsid w:val="00660A61"/>
    <w:rsid w:val="00661F0A"/>
    <w:rsid w:val="00671AD8"/>
    <w:rsid w:val="006C6B05"/>
    <w:rsid w:val="006E20C6"/>
    <w:rsid w:val="006E7332"/>
    <w:rsid w:val="006F1FB5"/>
    <w:rsid w:val="006F5810"/>
    <w:rsid w:val="00727E96"/>
    <w:rsid w:val="007A3E41"/>
    <w:rsid w:val="007A5021"/>
    <w:rsid w:val="007A7069"/>
    <w:rsid w:val="007B1660"/>
    <w:rsid w:val="007C0FB1"/>
    <w:rsid w:val="007C23CA"/>
    <w:rsid w:val="008602A3"/>
    <w:rsid w:val="008A660F"/>
    <w:rsid w:val="008D7DD5"/>
    <w:rsid w:val="009148EC"/>
    <w:rsid w:val="0092308A"/>
    <w:rsid w:val="009258D5"/>
    <w:rsid w:val="00926FC2"/>
    <w:rsid w:val="0092759A"/>
    <w:rsid w:val="00954383"/>
    <w:rsid w:val="009774C0"/>
    <w:rsid w:val="0098602D"/>
    <w:rsid w:val="009B0ABB"/>
    <w:rsid w:val="009B70C9"/>
    <w:rsid w:val="00A16C68"/>
    <w:rsid w:val="00A2394E"/>
    <w:rsid w:val="00A60BCF"/>
    <w:rsid w:val="00AA2D0F"/>
    <w:rsid w:val="00AC67DE"/>
    <w:rsid w:val="00AD2BA6"/>
    <w:rsid w:val="00AE7C8D"/>
    <w:rsid w:val="00B329E2"/>
    <w:rsid w:val="00B4420B"/>
    <w:rsid w:val="00B745F6"/>
    <w:rsid w:val="00BA34B0"/>
    <w:rsid w:val="00BB093D"/>
    <w:rsid w:val="00BF45E0"/>
    <w:rsid w:val="00BF64A4"/>
    <w:rsid w:val="00C00771"/>
    <w:rsid w:val="00C150F4"/>
    <w:rsid w:val="00C24D53"/>
    <w:rsid w:val="00C64A99"/>
    <w:rsid w:val="00CC1971"/>
    <w:rsid w:val="00CE01CD"/>
    <w:rsid w:val="00CE0C3A"/>
    <w:rsid w:val="00D41DA9"/>
    <w:rsid w:val="00D61097"/>
    <w:rsid w:val="00D62851"/>
    <w:rsid w:val="00D63E5B"/>
    <w:rsid w:val="00D9474F"/>
    <w:rsid w:val="00DA4EC4"/>
    <w:rsid w:val="00DB10FE"/>
    <w:rsid w:val="00DB7E1D"/>
    <w:rsid w:val="00DE5EDB"/>
    <w:rsid w:val="00E075DC"/>
    <w:rsid w:val="00E26D6D"/>
    <w:rsid w:val="00E47429"/>
    <w:rsid w:val="00EA17D7"/>
    <w:rsid w:val="00EE5267"/>
    <w:rsid w:val="00EF05B0"/>
    <w:rsid w:val="00F23821"/>
    <w:rsid w:val="00F25EDB"/>
    <w:rsid w:val="00F310DD"/>
    <w:rsid w:val="00F629B4"/>
    <w:rsid w:val="00F639BA"/>
    <w:rsid w:val="00F73A74"/>
    <w:rsid w:val="00FA1CF6"/>
    <w:rsid w:val="00FB3969"/>
    <w:rsid w:val="00FE585C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0826"/>
  <w15:chartTrackingRefBased/>
  <w15:docId w15:val="{8400E785-8656-4D9E-9F2A-FC86A79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3613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1361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16C68"/>
  </w:style>
  <w:style w:type="paragraph" w:styleId="Revision">
    <w:name w:val="Revision"/>
    <w:hidden/>
    <w:uiPriority w:val="99"/>
    <w:semiHidden/>
    <w:rsid w:val="00F73A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1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60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8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5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5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97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17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5132</Characters>
  <Application>Microsoft Office Word</Application>
  <DocSecurity>8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 Smet (RIZIV-INAMI)</dc:creator>
  <cp:keywords/>
  <dc:description/>
  <cp:lastModifiedBy>Koen De Smet (RIZIV-INAMI)</cp:lastModifiedBy>
  <cp:revision>23</cp:revision>
  <dcterms:created xsi:type="dcterms:W3CDTF">2024-04-11T11:51:00Z</dcterms:created>
  <dcterms:modified xsi:type="dcterms:W3CDTF">2024-05-27T14:38:00Z</dcterms:modified>
</cp:coreProperties>
</file>