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5960" w14:textId="2124DC9E" w:rsidR="000F2092" w:rsidRPr="00433612" w:rsidRDefault="00E557F2" w:rsidP="0042101E">
      <w:pPr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</w:pPr>
      <w:r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  <w:t>Procedure voor de p</w:t>
      </w:r>
      <w:r w:rsidR="000D204A" w:rsidRPr="00433612"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  <w:t>ortefeuille</w:t>
      </w:r>
      <w:r w:rsidR="0002689F" w:rsidRPr="00433612"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  <w:t xml:space="preserve"> </w:t>
      </w:r>
      <w:r w:rsidR="000D204A" w:rsidRPr="00433612"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  <w:t xml:space="preserve">overdracht tussen </w:t>
      </w:r>
      <w:r w:rsidR="00EE5C84"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  <w:t>ondernemingen</w:t>
      </w:r>
      <w:r w:rsidR="00D3188B"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  <w:t xml:space="preserve"> verantwoordelijk voor </w:t>
      </w:r>
      <w:proofErr w:type="spellStart"/>
      <w:r w:rsidR="00D3188B"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  <w:t>radiofarmaceutische</w:t>
      </w:r>
      <w:proofErr w:type="spellEnd"/>
      <w:r w:rsidR="00D3188B"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  <w:t xml:space="preserve"> producten</w:t>
      </w:r>
    </w:p>
    <w:p w14:paraId="7F409D66" w14:textId="77777777" w:rsidR="000F2092" w:rsidRPr="00433612" w:rsidRDefault="000F2092" w:rsidP="0042101E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6CE356FA" w14:textId="77777777" w:rsidR="00433612" w:rsidRDefault="00433612" w:rsidP="0042101E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nl-BE"/>
        </w:rPr>
      </w:pPr>
    </w:p>
    <w:p w14:paraId="688C97A6" w14:textId="378DD23E" w:rsidR="000F2092" w:rsidRPr="00940DB0" w:rsidRDefault="000F2092" w:rsidP="0042101E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Dit is de procedure die moet worden gevolgd wanneer een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onderneming verantwoordelijk voor radio-farmaceutische producten 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een deel van zijn portefeuille overdraagt aan een ander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e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onderneming verantwoordelijk voor radio-farmaceutische producten.</w:t>
      </w:r>
    </w:p>
    <w:p w14:paraId="74A2AB9F" w14:textId="77777777" w:rsidR="000F2092" w:rsidRPr="00940DB0" w:rsidRDefault="000F2092" w:rsidP="0042101E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Onder portefeuilleoverdracht verstaan wij de overdracht van verantwoordelijkheden aan het RIZIV (terugbetalingsvoorwaarden, besparingsmaatregelen, belastingen, enz.)</w:t>
      </w:r>
    </w:p>
    <w:p w14:paraId="1F9ED751" w14:textId="77777777" w:rsidR="008A65E0" w:rsidRPr="00940DB0" w:rsidRDefault="000F2092" w:rsidP="0042101E">
      <w:pPr>
        <w:pStyle w:val="Lijstalinea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Stuur ons per kerende post een brief naar </w:t>
      </w:r>
      <w:hyperlink r:id="rId9" w:history="1">
        <w:r w:rsidR="0077155C" w:rsidRPr="00940DB0">
          <w:rPr>
            <w:rStyle w:val="Hyperlink"/>
            <w:rFonts w:asciiTheme="minorHAnsi" w:eastAsiaTheme="minorHAnsi" w:hAnsiTheme="minorHAnsi" w:cstheme="minorHAnsi"/>
            <w:sz w:val="20"/>
            <w:szCs w:val="20"/>
            <w:lang w:val="nl-BE"/>
          </w:rPr>
          <w:t>CTGCRM.database@riziv-inami.fgov.be</w:t>
        </w:r>
      </w:hyperlink>
      <w:r w:rsidR="00433612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, ondertekend door de verschillende partijen.</w:t>
      </w:r>
    </w:p>
    <w:p w14:paraId="2BB70F46" w14:textId="77777777" w:rsidR="008A65E0" w:rsidRPr="00940DB0" w:rsidRDefault="008A65E0" w:rsidP="0042101E">
      <w:pPr>
        <w:pStyle w:val="Lijstalinea"/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28D1C9E5" w14:textId="77777777" w:rsidR="000F2092" w:rsidRPr="00940DB0" w:rsidRDefault="00FA3D10" w:rsidP="0042101E">
      <w:pPr>
        <w:pStyle w:val="Lijstalinea"/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D</w:t>
      </w:r>
      <w:r w:rsidR="000F2092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eze brief dient de volgende informatie 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te bevatten</w:t>
      </w:r>
      <w:r w:rsidR="000F2092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:</w:t>
      </w:r>
    </w:p>
    <w:p w14:paraId="133B2B63" w14:textId="77777777" w:rsidR="00433612" w:rsidRPr="00940DB0" w:rsidRDefault="000F2092" w:rsidP="0042101E">
      <w:pPr>
        <w:pStyle w:val="Lijstalinea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 </w:t>
      </w:r>
      <w:r w:rsidRPr="00940DB0">
        <w:rPr>
          <w:rFonts w:asciiTheme="minorHAnsi" w:eastAsiaTheme="minorHAnsi" w:hAnsiTheme="minorHAnsi" w:cstheme="minorHAnsi"/>
          <w:b/>
          <w:sz w:val="20"/>
          <w:szCs w:val="20"/>
          <w:lang w:val="nl-BE"/>
        </w:rPr>
        <w:t>namen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van de betrokken ondernemingen </w:t>
      </w:r>
    </w:p>
    <w:p w14:paraId="5FFC3C98" w14:textId="77777777" w:rsidR="00433612" w:rsidRPr="00940DB0" w:rsidRDefault="000F2092" w:rsidP="0042101E">
      <w:pPr>
        <w:pStyle w:val="Lijstalinea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 </w:t>
      </w:r>
      <w:r w:rsidRPr="00940DB0">
        <w:rPr>
          <w:rFonts w:asciiTheme="minorHAnsi" w:eastAsiaTheme="minorHAnsi" w:hAnsiTheme="minorHAnsi" w:cstheme="minorHAnsi"/>
          <w:b/>
          <w:sz w:val="20"/>
          <w:szCs w:val="20"/>
          <w:lang w:val="nl-BE"/>
        </w:rPr>
        <w:t>datum van de overdracht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van de verantwoordelijkheid aan het RIZIV</w:t>
      </w:r>
    </w:p>
    <w:p w14:paraId="6AAD85EF" w14:textId="3C9529C8" w:rsidR="00433612" w:rsidRPr="00940DB0" w:rsidRDefault="000F2092" w:rsidP="0042101E">
      <w:pPr>
        <w:pStyle w:val="Lijstalinea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Indien deze overdracht ook een overdracht van de houder van de vergunning voor het in de handel brengen (VHB) is, zendt u ons een kopie van de VHB-documenten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. Dit is enkel van toepassing op </w:t>
      </w:r>
      <w:proofErr w:type="spellStart"/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radiofarmaceutische</w:t>
      </w:r>
      <w:proofErr w:type="spellEnd"/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specialiteiten.</w:t>
      </w:r>
    </w:p>
    <w:p w14:paraId="1DF7FF30" w14:textId="411C9F5A" w:rsidR="000F2092" w:rsidRPr="00940DB0" w:rsidRDefault="000F2092" w:rsidP="0042101E">
      <w:pPr>
        <w:pStyle w:val="Lijstalinea"/>
        <w:spacing w:after="20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Indien de houder van de vergunning voor het in de handel brengen een ander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e onderneming 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is, moet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deze onderneming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de brief eveneens onderteken</w:t>
      </w:r>
      <w:r w:rsidR="00433612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en en een "</w:t>
      </w:r>
      <w:proofErr w:type="spellStart"/>
      <w:r w:rsidR="00433612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delegation</w:t>
      </w:r>
      <w:proofErr w:type="spellEnd"/>
      <w:r w:rsidR="00433612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of power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" ten aanzien van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de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verantwoordelijke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onderneming</w:t>
      </w:r>
      <w:r w:rsidR="00FA3D10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aan onze diensten overmaken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.</w:t>
      </w:r>
    </w:p>
    <w:p w14:paraId="4E05945A" w14:textId="77777777" w:rsidR="00433612" w:rsidRPr="00940DB0" w:rsidRDefault="00433612" w:rsidP="0042101E">
      <w:pPr>
        <w:pStyle w:val="Lijstalinea"/>
        <w:spacing w:after="20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47191836" w14:textId="23AD4D5F" w:rsidR="000F2092" w:rsidRPr="00940DB0" w:rsidRDefault="000F2092" w:rsidP="0042101E">
      <w:pPr>
        <w:pStyle w:val="Lijstalinea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Indien de nieuwe verantwoordelijke onderneming nog </w:t>
      </w:r>
      <w:r w:rsidR="008A65E0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niet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bij onze diensten bekend is, moet zij ons een verbintenisformulier toezenden overeenkomstig artikel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12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van het Koninklijk Besluit van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22.05.2014.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</w:t>
      </w:r>
    </w:p>
    <w:p w14:paraId="28C2AF74" w14:textId="77777777" w:rsidR="008A65E0" w:rsidRPr="00940DB0" w:rsidRDefault="008A65E0" w:rsidP="0042101E">
      <w:pPr>
        <w:pStyle w:val="Lijstalinea"/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4FD1B4D4" w14:textId="77777777" w:rsidR="000F2092" w:rsidRPr="00940DB0" w:rsidRDefault="000F2092" w:rsidP="0042101E">
      <w:pPr>
        <w:pStyle w:val="Lijstalinea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Tegelijk met de toezending van dit </w:t>
      </w:r>
      <w:r w:rsidR="008A65E0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verbintenisformulier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moet de nieuwe onderneming ook de nodige stappen ondernemen om toegang te krijgen tot onze </w:t>
      </w:r>
      <w:proofErr w:type="spellStart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webtoepassingen</w:t>
      </w:r>
      <w:proofErr w:type="spellEnd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(dit punt is niet van toepassing indien het een onderneming betreft die reeds toegang heeft tot onze </w:t>
      </w:r>
      <w:proofErr w:type="spellStart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webtoepassingen</w:t>
      </w:r>
      <w:proofErr w:type="spellEnd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):</w:t>
      </w:r>
    </w:p>
    <w:p w14:paraId="3B1311FE" w14:textId="77777777" w:rsidR="00F24F91" w:rsidRPr="00940DB0" w:rsidRDefault="00F24F91" w:rsidP="0042101E">
      <w:pPr>
        <w:pStyle w:val="Lijstalinea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65A6031B" w14:textId="77777777" w:rsidR="00F24F91" w:rsidRPr="00940DB0" w:rsidRDefault="00F24F91" w:rsidP="0042101E">
      <w:pPr>
        <w:pStyle w:val="Lijstalinea"/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2CD207BD" w14:textId="775A266B" w:rsidR="00F24F91" w:rsidRPr="00940DB0" w:rsidRDefault="000F2092" w:rsidP="0042101E">
      <w:pPr>
        <w:pStyle w:val="Lijstalinea"/>
        <w:numPr>
          <w:ilvl w:val="0"/>
          <w:numId w:val="3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Beschikken over een </w:t>
      </w:r>
      <w:r w:rsidR="008A65E0" w:rsidRPr="00940DB0">
        <w:rPr>
          <w:rFonts w:asciiTheme="minorHAnsi" w:eastAsiaTheme="minorHAnsi" w:hAnsiTheme="minorHAnsi" w:cstheme="minorHAnsi"/>
          <w:b/>
          <w:sz w:val="20"/>
          <w:szCs w:val="20"/>
          <w:lang w:val="nl-BE"/>
        </w:rPr>
        <w:t>KBO</w:t>
      </w:r>
      <w:r w:rsidRPr="00940DB0">
        <w:rPr>
          <w:rFonts w:asciiTheme="minorHAnsi" w:eastAsiaTheme="minorHAnsi" w:hAnsiTheme="minorHAnsi" w:cstheme="minorHAnsi"/>
          <w:b/>
          <w:sz w:val="20"/>
          <w:szCs w:val="20"/>
          <w:lang w:val="nl-BE"/>
        </w:rPr>
        <w:t>-nummer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(beschikbaar op de website van </w:t>
      </w:r>
      <w:r w:rsidR="00255ECE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Kruispuntbank) en 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dit aan ons meedelen</w:t>
      </w:r>
      <w:r w:rsidR="00C74D6C">
        <w:rPr>
          <w:rFonts w:asciiTheme="minorHAnsi" w:eastAsiaTheme="minorHAnsi" w:hAnsiTheme="minorHAnsi" w:cstheme="minorHAnsi"/>
          <w:sz w:val="20"/>
          <w:szCs w:val="20"/>
          <w:lang w:val="nl-BE"/>
        </w:rPr>
        <w:t>.</w:t>
      </w:r>
    </w:p>
    <w:p w14:paraId="107FAAD7" w14:textId="77777777" w:rsidR="00F24F91" w:rsidRPr="00940DB0" w:rsidRDefault="00255ECE" w:rsidP="0042101E">
      <w:pPr>
        <w:pStyle w:val="Lijstalinea"/>
        <w:numPr>
          <w:ilvl w:val="0"/>
          <w:numId w:val="3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Een </w:t>
      </w:r>
      <w:r w:rsidRPr="00940DB0">
        <w:rPr>
          <w:rFonts w:asciiTheme="minorHAnsi" w:eastAsiaTheme="minorHAnsi" w:hAnsiTheme="minorHAnsi" w:cstheme="minorHAnsi"/>
          <w:b/>
          <w:sz w:val="20"/>
          <w:szCs w:val="20"/>
          <w:lang w:val="nl-BE"/>
        </w:rPr>
        <w:t>hoofdtoegang beheerder aan</w:t>
      </w:r>
      <w:r w:rsidR="000F2092" w:rsidRPr="00940DB0">
        <w:rPr>
          <w:rFonts w:asciiTheme="minorHAnsi" w:eastAsiaTheme="minorHAnsi" w:hAnsiTheme="minorHAnsi" w:cstheme="minorHAnsi"/>
          <w:b/>
          <w:sz w:val="20"/>
          <w:szCs w:val="20"/>
          <w:lang w:val="nl-BE"/>
        </w:rPr>
        <w:t>wijzen</w:t>
      </w:r>
      <w:r w:rsidR="000F2092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(meestal de algemeen directeur of een persoon die in de statuten als de wettelijke vertegenwoordiger van de onderneming wordt beschouwd)</w:t>
      </w:r>
    </w:p>
    <w:p w14:paraId="309938DA" w14:textId="6574F5F2" w:rsidR="00F24F91" w:rsidRDefault="00F24F91" w:rsidP="0042101E">
      <w:pPr>
        <w:pStyle w:val="Lijstalinea"/>
        <w:numPr>
          <w:ilvl w:val="0"/>
          <w:numId w:val="3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855D36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Deze hoofdbeheerder wijst vervolgens de </w:t>
      </w:r>
      <w:r w:rsidRPr="00855D36">
        <w:rPr>
          <w:rFonts w:asciiTheme="minorHAnsi" w:eastAsiaTheme="minorHAnsi" w:hAnsiTheme="minorHAnsi" w:cstheme="minorHAnsi"/>
          <w:b/>
          <w:sz w:val="20"/>
          <w:szCs w:val="20"/>
          <w:lang w:val="nl-BE"/>
        </w:rPr>
        <w:t>gebruikers</w:t>
      </w:r>
      <w:r w:rsidRPr="00855D36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of personen aan die toegang zullen hebben tot onze toepassingen </w:t>
      </w:r>
    </w:p>
    <w:p w14:paraId="530C3980" w14:textId="77777777" w:rsidR="00855D36" w:rsidRPr="00855D36" w:rsidRDefault="00855D36" w:rsidP="0042101E">
      <w:pPr>
        <w:pStyle w:val="Lijstalinea"/>
        <w:spacing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0126DED6" w14:textId="6827A40E" w:rsidR="00F24F91" w:rsidRPr="00940DB0" w:rsidRDefault="00F24F91" w:rsidP="0042101E">
      <w:pPr>
        <w:pStyle w:val="Lijstalinea"/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 twee bovengenoemde stappen b) en c) worden uitgevoerd via de CSAM-website (sociale zekerheid), waartoe wij geen toegang hebben en waarmee wij geen contact hebben, zodat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ondernemingen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in geval van een probleem zelf contact dienen op te nemen met de CSAM-helpdesk (info@csam.be ).</w:t>
      </w:r>
    </w:p>
    <w:p w14:paraId="4B3F70D6" w14:textId="77777777" w:rsidR="00F24F91" w:rsidRPr="00940DB0" w:rsidRDefault="00F24F91" w:rsidP="0042101E">
      <w:pPr>
        <w:pStyle w:val="Lijstalinea"/>
        <w:spacing w:after="200" w:line="276" w:lineRule="auto"/>
        <w:ind w:left="1440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5BD8AB51" w14:textId="25A6C30D" w:rsidR="00F24F91" w:rsidRPr="00940DB0" w:rsidRDefault="00F24F91" w:rsidP="0042101E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Het CSAM-platform en onze </w:t>
      </w:r>
      <w:proofErr w:type="spellStart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webtoepassingen</w:t>
      </w:r>
      <w:proofErr w:type="spellEnd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zijn twee afzonderlijke platforms en er is geen uitwisseling van gegevens tussen deze twee entiteiten. De link wordt alleen gelegd op basis van het KBO-nummer. Wees dus voorzichtig als er een fout zit in het nummer dat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 onderneming 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ons stuurt en de stappen die bij CSAM worden genomen.</w:t>
      </w:r>
    </w:p>
    <w:p w14:paraId="2231251C" w14:textId="77777777" w:rsidR="00F24F91" w:rsidRPr="00940DB0" w:rsidRDefault="00F24F91" w:rsidP="0042101E">
      <w:pPr>
        <w:pStyle w:val="Lijstalinea"/>
        <w:spacing w:line="276" w:lineRule="auto"/>
        <w:ind w:left="1440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52695F1D" w14:textId="0995890A" w:rsidR="00F24F91" w:rsidRPr="00940DB0" w:rsidRDefault="00F24F91" w:rsidP="0042101E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Het is ook belangrijk op te merken dat wanneer de door de hoofdtoegangsbeheerder aangewezen persoon niet langer deel uitmaakt van het bedrijf in kwestie, het aan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 onderneming 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is om op CSAM-niveau de nodige stappen te ondernemen om de toegang tot onze </w:t>
      </w:r>
      <w:proofErr w:type="spellStart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webtoepassingen</w:t>
      </w:r>
      <w:proofErr w:type="spellEnd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in te trekken en zijn gegevens in onze </w:t>
      </w:r>
      <w:proofErr w:type="spellStart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webtoepassingen</w:t>
      </w:r>
      <w:proofErr w:type="spellEnd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aan te passen.</w:t>
      </w:r>
    </w:p>
    <w:p w14:paraId="2F72C15D" w14:textId="77777777" w:rsidR="00F24F91" w:rsidRPr="00940DB0" w:rsidRDefault="00F24F91" w:rsidP="0042101E">
      <w:pPr>
        <w:pStyle w:val="Lijstalinea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6070E0DA" w14:textId="77777777" w:rsidR="00F24F91" w:rsidRPr="00940DB0" w:rsidRDefault="00F24F91" w:rsidP="0042101E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In geval van wijziging van de hoofdtoegangsbeheerder is het de persoon die de nieuwe functie zal uitoefenen die contact moet opnemen met de CSAM om de gegevens aan te passen.</w:t>
      </w:r>
    </w:p>
    <w:p w14:paraId="656F03C1" w14:textId="77777777" w:rsidR="00F24F91" w:rsidRPr="00940DB0" w:rsidRDefault="00F24F91" w:rsidP="0042101E">
      <w:pPr>
        <w:pStyle w:val="Lijstalinea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6EEFE6EA" w14:textId="7034799C" w:rsidR="00F24F91" w:rsidRPr="00940DB0" w:rsidRDefault="00F24F91" w:rsidP="0042101E">
      <w:pPr>
        <w:pStyle w:val="Lijstalinea"/>
        <w:numPr>
          <w:ilvl w:val="0"/>
          <w:numId w:val="3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Aangezien elk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e onderneming 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verantwoordelijk is voor het beheer van zijn contactpersonen via onze </w:t>
      </w:r>
      <w:proofErr w:type="spellStart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webtoepassingen</w:t>
      </w:r>
      <w:proofErr w:type="spellEnd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(wij hebben geen toegang meer tot dit beheer), moeten zij, zodra de bovenstaande stappen zijn voltooid, deze gegevens komen bijwerken.</w:t>
      </w:r>
    </w:p>
    <w:p w14:paraId="047A9D1E" w14:textId="77777777" w:rsidR="00F24F91" w:rsidRPr="00940DB0" w:rsidRDefault="00F24F91" w:rsidP="0042101E">
      <w:pPr>
        <w:pStyle w:val="Lijstalinea"/>
        <w:spacing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6EEA2FFC" w14:textId="31AC5E77" w:rsidR="00F24F91" w:rsidRPr="00940DB0" w:rsidRDefault="00F24F91" w:rsidP="0042101E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Indien de portefeuilleoverdracht helaas betrekking heeft op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producten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</w:t>
      </w:r>
      <w:r w:rsidR="00F6043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waarvoor aanvragen lopende zijn bij de </w:t>
      </w:r>
      <w:r w:rsidR="00971E3F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TRRI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en </w:t>
      </w:r>
      <w:r w:rsidR="00F60430">
        <w:rPr>
          <w:rFonts w:asciiTheme="minorHAnsi" w:eastAsiaTheme="minorHAnsi" w:hAnsiTheme="minorHAnsi" w:cstheme="minorHAnsi"/>
          <w:sz w:val="20"/>
          <w:szCs w:val="20"/>
          <w:lang w:val="nl-BE"/>
        </w:rPr>
        <w:t>de onderneming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nog geen toegang heeft tot onze </w:t>
      </w:r>
      <w:proofErr w:type="spellStart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webtoepassingen</w:t>
      </w:r>
      <w:proofErr w:type="spellEnd"/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(buitenlands kantoor), zal het ons </w:t>
      </w:r>
      <w:r w:rsidRPr="00940DB0">
        <w:rPr>
          <w:rFonts w:asciiTheme="minorHAnsi" w:eastAsiaTheme="minorHAnsi" w:hAnsiTheme="minorHAnsi" w:cstheme="minorHAnsi"/>
          <w:b/>
          <w:sz w:val="20"/>
          <w:szCs w:val="20"/>
          <w:lang w:val="nl-BE"/>
        </w:rPr>
        <w:t>één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contactpersoon moeten opgeve</w:t>
      </w:r>
      <w:r w:rsidR="003529AA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n aan wie deze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dossiers zullen worden toegewezen.</w:t>
      </w:r>
    </w:p>
    <w:p w14:paraId="293FB735" w14:textId="77777777" w:rsidR="000F2092" w:rsidRPr="00940DB0" w:rsidRDefault="000F2092" w:rsidP="0042101E">
      <w:pPr>
        <w:pStyle w:val="Lijstalinea"/>
        <w:spacing w:line="276" w:lineRule="auto"/>
        <w:ind w:left="1440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In deze uitzonderlijke gevallen kunnen wij onze IT-afdeling om hulp vragen om een contactpersoon aan het bedrijf toe te voegen.</w:t>
      </w:r>
    </w:p>
    <w:p w14:paraId="0C642C05" w14:textId="77777777" w:rsidR="000F2092" w:rsidRPr="00940DB0" w:rsidRDefault="000F2092" w:rsidP="0042101E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79F98565" w14:textId="416CB2CD" w:rsidR="000F2092" w:rsidRPr="00940DB0" w:rsidRDefault="000F2092" w:rsidP="0042101E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747F5BC4" w14:textId="0867A852" w:rsidR="000F2092" w:rsidRPr="00940DB0" w:rsidRDefault="000F2092" w:rsidP="0042101E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nl-NL"/>
        </w:rPr>
      </w:pP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Meer informatie over de verschillende procedures is voor </w:t>
      </w:r>
      <w:r w:rsidR="007D5BCB"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ondernemingen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beschikbaar op onze website</w:t>
      </w:r>
      <w:r w:rsidR="0042101E">
        <w:rPr>
          <w:rFonts w:asciiTheme="minorHAnsi" w:eastAsiaTheme="minorHAnsi" w:hAnsiTheme="minorHAnsi" w:cstheme="minorHAnsi"/>
          <w:sz w:val="20"/>
          <w:szCs w:val="20"/>
          <w:lang w:val="nl-BE"/>
        </w:rPr>
        <w:t>.</w:t>
      </w:r>
    </w:p>
    <w:sectPr w:rsidR="000F2092" w:rsidRPr="00940D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D6F"/>
    <w:multiLevelType w:val="hybridMultilevel"/>
    <w:tmpl w:val="326828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2172"/>
    <w:multiLevelType w:val="hybridMultilevel"/>
    <w:tmpl w:val="688AD9A2"/>
    <w:lvl w:ilvl="0" w:tplc="EC16B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81DE8"/>
    <w:multiLevelType w:val="hybridMultilevel"/>
    <w:tmpl w:val="65C6E1E0"/>
    <w:lvl w:ilvl="0" w:tplc="80E426B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867FD7"/>
    <w:multiLevelType w:val="hybridMultilevel"/>
    <w:tmpl w:val="DA36CC9E"/>
    <w:lvl w:ilvl="0" w:tplc="7EBC96C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0144CB"/>
    <w:multiLevelType w:val="hybridMultilevel"/>
    <w:tmpl w:val="8ABE0590"/>
    <w:lvl w:ilvl="0" w:tplc="51161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61623">
    <w:abstractNumId w:val="0"/>
  </w:num>
  <w:num w:numId="2" w16cid:durableId="209194311">
    <w:abstractNumId w:val="1"/>
  </w:num>
  <w:num w:numId="3" w16cid:durableId="694424278">
    <w:abstractNumId w:val="4"/>
  </w:num>
  <w:num w:numId="4" w16cid:durableId="528686729">
    <w:abstractNumId w:val="2"/>
  </w:num>
  <w:num w:numId="5" w16cid:durableId="89929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92"/>
    <w:rsid w:val="0002689F"/>
    <w:rsid w:val="00043CC1"/>
    <w:rsid w:val="000D204A"/>
    <w:rsid w:val="000F2092"/>
    <w:rsid w:val="00157DAC"/>
    <w:rsid w:val="001F2F90"/>
    <w:rsid w:val="00255ECE"/>
    <w:rsid w:val="002D5FF0"/>
    <w:rsid w:val="003529AA"/>
    <w:rsid w:val="003711B7"/>
    <w:rsid w:val="0039153C"/>
    <w:rsid w:val="0041558B"/>
    <w:rsid w:val="0042101E"/>
    <w:rsid w:val="00433612"/>
    <w:rsid w:val="00450E0A"/>
    <w:rsid w:val="00465B74"/>
    <w:rsid w:val="00517C91"/>
    <w:rsid w:val="0077155C"/>
    <w:rsid w:val="007D5BCB"/>
    <w:rsid w:val="00855D36"/>
    <w:rsid w:val="008A65E0"/>
    <w:rsid w:val="008F264E"/>
    <w:rsid w:val="00940DB0"/>
    <w:rsid w:val="00971E3F"/>
    <w:rsid w:val="00C74D6C"/>
    <w:rsid w:val="00D055FD"/>
    <w:rsid w:val="00D3188B"/>
    <w:rsid w:val="00E557F2"/>
    <w:rsid w:val="00EE5C84"/>
    <w:rsid w:val="00F24F91"/>
    <w:rsid w:val="00F60430"/>
    <w:rsid w:val="00FA3D10"/>
    <w:rsid w:val="00FA59A5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34BD4"/>
  <w15:chartTrackingRefBased/>
  <w15:docId w15:val="{A1970D08-B8D2-49AE-ABEC-630D73D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65E0"/>
    <w:pPr>
      <w:ind w:left="720"/>
      <w:contextualSpacing/>
    </w:pPr>
  </w:style>
  <w:style w:type="character" w:styleId="Hyperlink">
    <w:name w:val="Hyperlink"/>
    <w:basedOn w:val="Standaardalinea-lettertype"/>
    <w:rsid w:val="00255ECE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rsid w:val="003711B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711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711B7"/>
    <w:rPr>
      <w:rFonts w:ascii="Arial" w:hAnsi="Arial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711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711B7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TGCRM.database@riziv-inami.fgov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2023-08-20T22:00:00+00:00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bee880b80df19d336cca8271043d98d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c822d1d53ca01298b6854169f36c9f1a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Summary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59AE4-EF7D-4B83-B099-44BFFBC37A4A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F93246-2F17-4E67-939F-8773489999F8}"/>
</file>

<file path=customXml/itemProps3.xml><?xml version="1.0" encoding="utf-8"?>
<ds:datastoreItem xmlns:ds="http://schemas.openxmlformats.org/officeDocument/2006/customXml" ds:itemID="{D99A8007-2806-4C29-AC60-8887493B58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677352-D941-4265-BCE3-71861D8CB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3542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Portefeuille overdracht tussen bedrijven</vt:lpstr>
      <vt:lpstr>Portefeuille overdracht tussen bedrijven</vt:lpstr>
      <vt:lpstr/>
    </vt:vector>
  </TitlesOfParts>
  <Company>RIZIV-INAMI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voor de portefeuille overdracht tussen ondernemingen verantwoordelijk voor radiofarmaceutische producten</dc:title>
  <dc:subject/>
  <dc:creator>Lisbeth Van Steenberge (RIZIV-INAMI)</dc:creator>
  <cp:keywords/>
  <dc:description/>
  <cp:lastModifiedBy>Els Verstuyft (RIZIV-INAMI)</cp:lastModifiedBy>
  <cp:revision>12</cp:revision>
  <dcterms:created xsi:type="dcterms:W3CDTF">2023-03-13T07:36:00Z</dcterms:created>
  <dcterms:modified xsi:type="dcterms:W3CDTF">2023-08-18T11:21:00Z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3535400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