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70" w:rsidRPr="00A666DF" w:rsidRDefault="001F2DF4" w:rsidP="00F71A70">
      <w:pPr>
        <w:pStyle w:val="Titre"/>
        <w:jc w:val="both"/>
        <w:rPr>
          <w:color w:val="auto"/>
          <w:sz w:val="28"/>
          <w:szCs w:val="28"/>
          <w:lang w:val="fr-BE"/>
        </w:rPr>
      </w:pPr>
      <w:bookmarkStart w:id="0" w:name="_GoBack"/>
      <w:bookmarkEnd w:id="0"/>
      <w:r w:rsidRPr="00A666DF">
        <w:rPr>
          <w:color w:val="auto"/>
          <w:sz w:val="28"/>
          <w:szCs w:val="28"/>
          <w:lang w:val="fr-BE"/>
        </w:rPr>
        <w:t>Annexe 3 :</w:t>
      </w:r>
    </w:p>
    <w:p w:rsidR="00D73E03" w:rsidRPr="00A666DF" w:rsidRDefault="00402EA5" w:rsidP="00F71A70">
      <w:pPr>
        <w:pStyle w:val="Titre"/>
        <w:jc w:val="both"/>
        <w:rPr>
          <w:color w:val="auto"/>
          <w:sz w:val="28"/>
          <w:szCs w:val="28"/>
          <w:lang w:val="fr-BE"/>
        </w:rPr>
      </w:pPr>
      <w:r w:rsidRPr="00A666DF">
        <w:rPr>
          <w:color w:val="auto"/>
          <w:sz w:val="28"/>
          <w:szCs w:val="28"/>
          <w:lang w:val="fr-BE"/>
        </w:rPr>
        <w:t xml:space="preserve">Détermination du nombre </w:t>
      </w:r>
      <w:r w:rsidR="00D73E03" w:rsidRPr="00A666DF">
        <w:rPr>
          <w:color w:val="auto"/>
          <w:sz w:val="28"/>
          <w:szCs w:val="28"/>
          <w:lang w:val="fr-BE"/>
        </w:rPr>
        <w:t>maximum de prestations facturables par centre de référence</w:t>
      </w:r>
      <w:r w:rsidR="00F71A70" w:rsidRPr="00A666DF">
        <w:rPr>
          <w:color w:val="auto"/>
          <w:sz w:val="28"/>
          <w:szCs w:val="28"/>
          <w:lang w:val="fr-BE"/>
        </w:rPr>
        <w:t xml:space="preserve"> </w:t>
      </w:r>
      <w:r w:rsidR="00D73E03" w:rsidRPr="00A666DF">
        <w:rPr>
          <w:color w:val="auto"/>
          <w:sz w:val="28"/>
          <w:szCs w:val="28"/>
          <w:lang w:val="fr-BE"/>
        </w:rPr>
        <w:t>et respect du budget total</w:t>
      </w:r>
    </w:p>
    <w:p w:rsidR="00D73E03" w:rsidRPr="00A666DF" w:rsidRDefault="001F2DF4" w:rsidP="00F71A70">
      <w:pPr>
        <w:jc w:val="both"/>
        <w:rPr>
          <w:lang w:val="fr-BE"/>
        </w:rPr>
      </w:pPr>
      <w:r w:rsidRPr="00A666DF">
        <w:rPr>
          <w:lang w:val="fr-BE"/>
        </w:rPr>
        <w:t xml:space="preserve">Le budget annuel total réservé pour le financement des conventions avec les centres de l’hémophilie s’élève à 1.348.000 euros. </w:t>
      </w:r>
      <w:r w:rsidR="00D73E03" w:rsidRPr="00A666DF">
        <w:rPr>
          <w:lang w:val="fr-BE"/>
        </w:rPr>
        <w:t>Dans ce budget, un montant maximum de 75.000 euros est réservé pour le financement du registre. Le budget total disponible pour l</w:t>
      </w:r>
      <w:r w:rsidR="00B60851" w:rsidRPr="00A666DF">
        <w:rPr>
          <w:lang w:val="fr-BE"/>
        </w:rPr>
        <w:t>’ensemble des</w:t>
      </w:r>
      <w:r w:rsidR="00D73E03" w:rsidRPr="00A666DF">
        <w:rPr>
          <w:lang w:val="fr-BE"/>
        </w:rPr>
        <w:t xml:space="preserve"> centres est donc égal à 1.273.000 euros.</w:t>
      </w:r>
    </w:p>
    <w:p w:rsidR="00D73E03" w:rsidRPr="00A666DF" w:rsidRDefault="00D73E03" w:rsidP="00F71A70">
      <w:pPr>
        <w:jc w:val="both"/>
        <w:rPr>
          <w:lang w:val="fr-BE"/>
        </w:rPr>
      </w:pPr>
      <w:r w:rsidRPr="00A666DF">
        <w:rPr>
          <w:lang w:val="fr-BE"/>
        </w:rPr>
        <w:t xml:space="preserve">Le nombre de patients qui remplissent les conditions pour bénéficier d’une prise en charge dans le cadre de la convention (art. 3) a été estimé à 650, sur la base des données épidémiologiques disponibles. </w:t>
      </w:r>
      <w:r w:rsidR="00B60851" w:rsidRPr="00A666DF">
        <w:rPr>
          <w:lang w:val="fr-BE"/>
        </w:rPr>
        <w:t>À c</w:t>
      </w:r>
      <w:r w:rsidRPr="00A666DF">
        <w:rPr>
          <w:lang w:val="fr-BE"/>
        </w:rPr>
        <w:t xml:space="preserve">haque patient correspond à une prestation annuelle. Le nombre maximum de </w:t>
      </w:r>
      <w:r w:rsidR="00345F62" w:rsidRPr="00A666DF">
        <w:rPr>
          <w:lang w:val="fr-BE"/>
        </w:rPr>
        <w:t>prestations</w:t>
      </w:r>
      <w:r w:rsidRPr="00A666DF">
        <w:rPr>
          <w:lang w:val="fr-BE"/>
        </w:rPr>
        <w:t xml:space="preserve"> </w:t>
      </w:r>
      <w:r w:rsidR="00BB5B52" w:rsidRPr="00A666DF">
        <w:rPr>
          <w:lang w:val="fr-BE"/>
        </w:rPr>
        <w:t>facturable par</w:t>
      </w:r>
      <w:r w:rsidRPr="00A666DF">
        <w:rPr>
          <w:lang w:val="fr-BE"/>
        </w:rPr>
        <w:t xml:space="preserve"> le centre de coordination national est fixé à 200 par la convention. Les 450 patients restant devraient se répartir entre les centres de référence.</w:t>
      </w:r>
    </w:p>
    <w:p w:rsidR="00D73E03" w:rsidRPr="00A666DF" w:rsidRDefault="00345F62" w:rsidP="00F71A70">
      <w:pPr>
        <w:jc w:val="both"/>
        <w:rPr>
          <w:lang w:val="fr-BE"/>
        </w:rPr>
      </w:pPr>
      <w:r w:rsidRPr="00A666DF">
        <w:rPr>
          <w:lang w:val="fr-BE"/>
        </w:rPr>
        <w:t>La convention avec les centres de référence prévoit également de limiter le nombre de prestations par centre</w:t>
      </w:r>
      <w:r w:rsidR="00506B3B" w:rsidRPr="00A666DF">
        <w:rPr>
          <w:lang w:val="fr-BE"/>
        </w:rPr>
        <w:t xml:space="preserve"> (article 23)</w:t>
      </w:r>
      <w:r w:rsidRPr="00A666DF">
        <w:rPr>
          <w:lang w:val="fr-BE"/>
        </w:rPr>
        <w:t>.</w:t>
      </w:r>
      <w:r w:rsidR="00506B3B" w:rsidRPr="00A666DF">
        <w:rPr>
          <w:lang w:val="fr-BE"/>
        </w:rPr>
        <w:t xml:space="preserve"> Pour chaque centre sélectionné, le nombre maximum de prestations annuelles </w:t>
      </w:r>
      <w:r w:rsidR="00C15B01" w:rsidRPr="00A666DF">
        <w:rPr>
          <w:lang w:val="fr-BE"/>
        </w:rPr>
        <w:t>fact</w:t>
      </w:r>
      <w:r w:rsidR="00C15B01" w:rsidRPr="00A666DF">
        <w:rPr>
          <w:lang w:val="fr-BE"/>
        </w:rPr>
        <w:t>u</w:t>
      </w:r>
      <w:r w:rsidR="00C15B01" w:rsidRPr="00A666DF">
        <w:rPr>
          <w:lang w:val="fr-BE"/>
        </w:rPr>
        <w:t xml:space="preserve">rables sera déterminé </w:t>
      </w:r>
      <w:r w:rsidR="00B60851" w:rsidRPr="00A666DF">
        <w:rPr>
          <w:lang w:val="fr-BE"/>
        </w:rPr>
        <w:t xml:space="preserve">à l’issue de la procédure de sélection, </w:t>
      </w:r>
      <w:r w:rsidR="00C15B01" w:rsidRPr="00A666DF">
        <w:rPr>
          <w:lang w:val="fr-BE"/>
        </w:rPr>
        <w:t>de la manière suivante :</w:t>
      </w:r>
    </w:p>
    <w:p w:rsidR="00BB5B52" w:rsidRPr="00A666DF" w:rsidRDefault="00C15B01" w:rsidP="00F71A70">
      <w:pPr>
        <w:jc w:val="both"/>
        <w:rPr>
          <w:lang w:val="fr-BE"/>
        </w:rPr>
      </w:pPr>
      <w:r w:rsidRPr="00A666DF">
        <w:rPr>
          <w:lang w:val="fr-BE"/>
        </w:rPr>
        <w:t xml:space="preserve">Le nombre </w:t>
      </w:r>
      <w:r w:rsidR="00F96892" w:rsidRPr="00A666DF">
        <w:rPr>
          <w:lang w:val="fr-BE"/>
        </w:rPr>
        <w:t>total</w:t>
      </w:r>
      <w:r w:rsidRPr="00A666DF">
        <w:rPr>
          <w:lang w:val="fr-BE"/>
        </w:rPr>
        <w:t xml:space="preserve"> de patients </w:t>
      </w:r>
      <w:r w:rsidR="00F96892" w:rsidRPr="00A666DF">
        <w:rPr>
          <w:lang w:val="fr-BE"/>
        </w:rPr>
        <w:t xml:space="preserve">des centres de référence </w:t>
      </w:r>
      <w:r w:rsidRPr="00A666DF">
        <w:rPr>
          <w:lang w:val="fr-BE"/>
        </w:rPr>
        <w:t>sera calculé sur base</w:t>
      </w:r>
      <w:r w:rsidR="00BB5B52" w:rsidRPr="00A666DF">
        <w:rPr>
          <w:lang w:val="fr-BE"/>
        </w:rPr>
        <w:t xml:space="preserve"> des dossiers de candidature, en additionnant les nombres de patients en 2013, mentionnés par les centres sélectionnés (</w:t>
      </w:r>
      <w:r w:rsidR="001F2DF4" w:rsidRPr="00A666DF">
        <w:rPr>
          <w:lang w:val="fr-BE"/>
        </w:rPr>
        <w:t>partie E</w:t>
      </w:r>
      <w:r w:rsidR="00BB5B52" w:rsidRPr="00A666DF">
        <w:rPr>
          <w:lang w:val="fr-BE"/>
        </w:rPr>
        <w:t xml:space="preserve"> du dossier de candidature).</w:t>
      </w:r>
    </w:p>
    <w:p w:rsidR="00871B07" w:rsidRPr="00A666DF" w:rsidRDefault="00C15B01" w:rsidP="00F71A70">
      <w:pPr>
        <w:pStyle w:val="Paragraphedeliste"/>
        <w:numPr>
          <w:ilvl w:val="0"/>
          <w:numId w:val="5"/>
        </w:numPr>
        <w:jc w:val="both"/>
        <w:rPr>
          <w:lang w:val="fr-BE"/>
        </w:rPr>
      </w:pPr>
      <w:r w:rsidRPr="00A666DF">
        <w:rPr>
          <w:lang w:val="fr-BE"/>
        </w:rPr>
        <w:t xml:space="preserve">Si ce nombre est égal à 450 (± </w:t>
      </w:r>
      <w:r w:rsidR="001F2DF4" w:rsidRPr="00A666DF">
        <w:rPr>
          <w:lang w:val="fr-BE"/>
        </w:rPr>
        <w:t>10</w:t>
      </w:r>
      <w:r w:rsidRPr="00A666DF">
        <w:rPr>
          <w:lang w:val="fr-BE"/>
        </w:rPr>
        <w:t>), le nombre maximum de prestations facturable</w:t>
      </w:r>
      <w:r w:rsidR="00F96892" w:rsidRPr="00A666DF">
        <w:rPr>
          <w:lang w:val="fr-BE"/>
        </w:rPr>
        <w:t>s inscrit dans la convention</w:t>
      </w:r>
      <w:r w:rsidRPr="00A666DF">
        <w:rPr>
          <w:lang w:val="fr-BE"/>
        </w:rPr>
        <w:t>, pour chaque centre, sera identique au nombre de patients qu’il a traités en 2013.</w:t>
      </w:r>
    </w:p>
    <w:p w:rsidR="00871B07" w:rsidRPr="00A666DF" w:rsidRDefault="00C15B01" w:rsidP="00F71A70">
      <w:pPr>
        <w:pStyle w:val="Paragraphedeliste"/>
        <w:numPr>
          <w:ilvl w:val="0"/>
          <w:numId w:val="5"/>
        </w:numPr>
        <w:jc w:val="both"/>
        <w:rPr>
          <w:lang w:val="fr-BE"/>
        </w:rPr>
      </w:pPr>
      <w:r w:rsidRPr="00A666DF">
        <w:rPr>
          <w:lang w:val="fr-BE"/>
        </w:rPr>
        <w:t xml:space="preserve">Si ce nombre est inférieur à </w:t>
      </w:r>
      <w:r w:rsidR="00FA7E88" w:rsidRPr="00A666DF">
        <w:rPr>
          <w:lang w:val="fr-BE"/>
        </w:rPr>
        <w:t>44</w:t>
      </w:r>
      <w:r w:rsidR="001F2DF4" w:rsidRPr="00A666DF">
        <w:rPr>
          <w:lang w:val="fr-BE"/>
        </w:rPr>
        <w:t>0</w:t>
      </w:r>
      <w:r w:rsidR="00AC26DC" w:rsidRPr="00A666DF">
        <w:rPr>
          <w:lang w:val="fr-BE"/>
        </w:rPr>
        <w:t>, le nombre maximum de prestations facturable</w:t>
      </w:r>
      <w:r w:rsidR="00F96892" w:rsidRPr="00A666DF">
        <w:rPr>
          <w:lang w:val="fr-BE"/>
        </w:rPr>
        <w:t>s</w:t>
      </w:r>
      <w:r w:rsidR="00AC26DC" w:rsidRPr="00A666DF">
        <w:rPr>
          <w:lang w:val="fr-BE"/>
        </w:rPr>
        <w:t xml:space="preserve">, pour chaque centre, sera augmenté </w:t>
      </w:r>
      <w:r w:rsidR="00FA761D" w:rsidRPr="00A666DF">
        <w:rPr>
          <w:lang w:val="fr-BE"/>
        </w:rPr>
        <w:t xml:space="preserve">en proportion du pourcentage de </w:t>
      </w:r>
      <w:r w:rsidR="00B017AE" w:rsidRPr="00A666DF">
        <w:rPr>
          <w:lang w:val="fr-BE"/>
        </w:rPr>
        <w:t>sous-capacité</w:t>
      </w:r>
      <w:r w:rsidR="00FA7E88" w:rsidRPr="00A666DF">
        <w:rPr>
          <w:lang w:val="fr-BE"/>
        </w:rPr>
        <w:t xml:space="preserve">, pour atteindre le total </w:t>
      </w:r>
      <w:r w:rsidR="002707DD" w:rsidRPr="00A666DF">
        <w:rPr>
          <w:lang w:val="fr-BE"/>
        </w:rPr>
        <w:t xml:space="preserve">global </w:t>
      </w:r>
      <w:r w:rsidR="00FA7E88" w:rsidRPr="00A666DF">
        <w:rPr>
          <w:lang w:val="fr-BE"/>
        </w:rPr>
        <w:t>de 450.</w:t>
      </w:r>
    </w:p>
    <w:p w:rsidR="00FA7E88" w:rsidRPr="00A666DF" w:rsidRDefault="00FA7E88" w:rsidP="00F71A70">
      <w:pPr>
        <w:pStyle w:val="Paragraphedeliste"/>
        <w:numPr>
          <w:ilvl w:val="0"/>
          <w:numId w:val="5"/>
        </w:numPr>
        <w:jc w:val="both"/>
        <w:rPr>
          <w:lang w:val="fr-BE"/>
        </w:rPr>
      </w:pPr>
      <w:r w:rsidRPr="00A666DF">
        <w:rPr>
          <w:lang w:val="fr-BE"/>
        </w:rPr>
        <w:t>Si ce nombre est supérieur à 4</w:t>
      </w:r>
      <w:r w:rsidR="001F2DF4" w:rsidRPr="00A666DF">
        <w:rPr>
          <w:lang w:val="fr-BE"/>
        </w:rPr>
        <w:t>60</w:t>
      </w:r>
      <w:r w:rsidRPr="00A666DF">
        <w:rPr>
          <w:lang w:val="fr-BE"/>
        </w:rPr>
        <w:t xml:space="preserve">, le nombre maximum de prestations facturables, pour chaque centre, sera diminué </w:t>
      </w:r>
      <w:r w:rsidR="00FA761D" w:rsidRPr="00A666DF">
        <w:rPr>
          <w:lang w:val="fr-BE"/>
        </w:rPr>
        <w:t>en proportion du pourcentage de dépassement</w:t>
      </w:r>
      <w:r w:rsidRPr="00A666DF">
        <w:rPr>
          <w:lang w:val="fr-BE"/>
        </w:rPr>
        <w:t xml:space="preserve">, </w:t>
      </w:r>
      <w:r w:rsidR="002707DD" w:rsidRPr="00A666DF">
        <w:rPr>
          <w:lang w:val="fr-BE"/>
        </w:rPr>
        <w:t>jusqu’au</w:t>
      </w:r>
      <w:r w:rsidRPr="00A666DF">
        <w:rPr>
          <w:lang w:val="fr-BE"/>
        </w:rPr>
        <w:t xml:space="preserve"> total </w:t>
      </w:r>
      <w:r w:rsidR="002707DD" w:rsidRPr="00A666DF">
        <w:rPr>
          <w:lang w:val="fr-BE"/>
        </w:rPr>
        <w:t xml:space="preserve">global </w:t>
      </w:r>
      <w:r w:rsidRPr="00A666DF">
        <w:rPr>
          <w:lang w:val="fr-BE"/>
        </w:rPr>
        <w:t>de 450.</w:t>
      </w:r>
    </w:p>
    <w:p w:rsidR="00AB66D7" w:rsidRPr="00A666DF" w:rsidRDefault="00AB66D7" w:rsidP="00F71A70">
      <w:pPr>
        <w:jc w:val="both"/>
        <w:rPr>
          <w:lang w:val="fr-BE"/>
        </w:rPr>
      </w:pPr>
      <w:r w:rsidRPr="00A666DF">
        <w:rPr>
          <w:lang w:val="fr-BE"/>
        </w:rPr>
        <w:t>Dans ces calculs,</w:t>
      </w:r>
    </w:p>
    <w:p w:rsidR="00475150" w:rsidRPr="00A666DF" w:rsidRDefault="00475150" w:rsidP="001F2DF4">
      <w:pPr>
        <w:pStyle w:val="Paragraphedeliste"/>
        <w:numPr>
          <w:ilvl w:val="0"/>
          <w:numId w:val="6"/>
        </w:numPr>
        <w:spacing w:before="0" w:beforeAutospacing="0" w:after="0" w:afterAutospacing="0"/>
        <w:jc w:val="both"/>
        <w:rPr>
          <w:lang w:val="fr-BE"/>
        </w:rPr>
      </w:pPr>
      <w:r w:rsidRPr="00A666DF">
        <w:rPr>
          <w:lang w:val="fr-BE"/>
        </w:rPr>
        <w:t>Les centres qui ne sont pas sélectionnés ne s</w:t>
      </w:r>
      <w:r w:rsidR="002508A0" w:rsidRPr="00A666DF">
        <w:rPr>
          <w:lang w:val="fr-BE"/>
        </w:rPr>
        <w:t>er</w:t>
      </w:r>
      <w:r w:rsidRPr="00A666DF">
        <w:rPr>
          <w:lang w:val="fr-BE"/>
        </w:rPr>
        <w:t>ont pas pris en compte.</w:t>
      </w:r>
    </w:p>
    <w:p w:rsidR="00475150" w:rsidRPr="00A666DF" w:rsidRDefault="002508A0" w:rsidP="001F2DF4">
      <w:pPr>
        <w:pStyle w:val="Paragraphedeliste"/>
        <w:numPr>
          <w:ilvl w:val="0"/>
          <w:numId w:val="6"/>
        </w:numPr>
        <w:spacing w:before="0" w:beforeAutospacing="0" w:after="0" w:afterAutospacing="0"/>
        <w:jc w:val="both"/>
        <w:rPr>
          <w:lang w:val="fr-BE"/>
        </w:rPr>
      </w:pPr>
      <w:r w:rsidRPr="00A666DF">
        <w:rPr>
          <w:lang w:val="fr-BE"/>
        </w:rPr>
        <w:t xml:space="preserve">Les </w:t>
      </w:r>
      <w:r w:rsidR="000F2782" w:rsidRPr="00A666DF">
        <w:rPr>
          <w:lang w:val="fr-BE"/>
        </w:rPr>
        <w:t xml:space="preserve">résultats </w:t>
      </w:r>
      <w:r w:rsidR="0013399A" w:rsidRPr="00A666DF">
        <w:rPr>
          <w:lang w:val="fr-BE"/>
        </w:rPr>
        <w:t>exprimant une augmentation ou une diminution du nombre</w:t>
      </w:r>
      <w:r w:rsidR="000F2782" w:rsidRPr="00A666DF">
        <w:rPr>
          <w:lang w:val="fr-BE"/>
        </w:rPr>
        <w:t xml:space="preserve"> de patients </w:t>
      </w:r>
      <w:r w:rsidR="00C64344" w:rsidRPr="00A666DF">
        <w:rPr>
          <w:lang w:val="fr-BE"/>
        </w:rPr>
        <w:t xml:space="preserve">qui ne sont pas des entiers </w:t>
      </w:r>
      <w:r w:rsidRPr="00A666DF">
        <w:rPr>
          <w:lang w:val="fr-BE"/>
        </w:rPr>
        <w:t>ser</w:t>
      </w:r>
      <w:r w:rsidR="00475150" w:rsidRPr="00A666DF">
        <w:rPr>
          <w:lang w:val="fr-BE"/>
        </w:rPr>
        <w:t>ont arrondis à la valeur entière la plus proche.</w:t>
      </w:r>
    </w:p>
    <w:p w:rsidR="00475150" w:rsidRPr="00A666DF" w:rsidRDefault="002508A0" w:rsidP="001F2DF4">
      <w:pPr>
        <w:pStyle w:val="Paragraphedeliste"/>
        <w:numPr>
          <w:ilvl w:val="0"/>
          <w:numId w:val="6"/>
        </w:numPr>
        <w:spacing w:before="0" w:beforeAutospacing="0" w:after="0" w:afterAutospacing="0"/>
        <w:jc w:val="both"/>
        <w:rPr>
          <w:lang w:val="fr-BE"/>
        </w:rPr>
      </w:pPr>
      <w:r w:rsidRPr="00A666DF">
        <w:rPr>
          <w:lang w:val="fr-BE"/>
        </w:rPr>
        <w:t>Le</w:t>
      </w:r>
      <w:r w:rsidR="00475150" w:rsidRPr="00A666DF">
        <w:rPr>
          <w:lang w:val="fr-BE"/>
        </w:rPr>
        <w:t xml:space="preserve"> nom</w:t>
      </w:r>
      <w:r w:rsidRPr="00A666DF">
        <w:rPr>
          <w:lang w:val="fr-BE"/>
        </w:rPr>
        <w:t>bre de prestations facturables par un centre sélectionné ne sera jamais ramené à une valeur inférieure à 50.</w:t>
      </w:r>
    </w:p>
    <w:p w:rsidR="00EB56ED" w:rsidRPr="00A666DF" w:rsidRDefault="00EB56ED" w:rsidP="00EB56ED">
      <w:pPr>
        <w:jc w:val="both"/>
        <w:rPr>
          <w:lang w:val="fr-BE"/>
        </w:rPr>
      </w:pPr>
      <w:r w:rsidRPr="00A666DF">
        <w:rPr>
          <w:lang w:val="fr-BE"/>
        </w:rPr>
        <w:t>Après application de cette procédure, il reste théoriquement possible que le nombre de patients soit to</w:t>
      </w:r>
      <w:r w:rsidRPr="00A666DF">
        <w:rPr>
          <w:lang w:val="fr-BE"/>
        </w:rPr>
        <w:t>u</w:t>
      </w:r>
      <w:r w:rsidRPr="00A666DF">
        <w:rPr>
          <w:lang w:val="fr-BE"/>
        </w:rPr>
        <w:t>jours supérieur à 650. Exemple : 200 patients dans le centre de coordination national et 50 patients dans 10 centres de référence. Le prix des prestations du centre de coordination national et des centres de référence sera alors réduit. Le pourcentage de réduction du prix sera calculé comme suit :</w:t>
      </w:r>
    </w:p>
    <w:p w:rsidR="00EB56ED" w:rsidRPr="00A666DF" w:rsidRDefault="00EB56ED" w:rsidP="00EB56ED">
      <w:pPr>
        <w:spacing w:before="0" w:beforeAutospacing="0" w:after="0" w:afterAutospacing="0"/>
        <w:ind w:left="426"/>
        <w:jc w:val="both"/>
        <w:rPr>
          <w:lang w:val="fr-BE"/>
        </w:rPr>
      </w:pPr>
      <w:r w:rsidRPr="00A666DF">
        <w:rPr>
          <w:lang w:val="fr-BE"/>
        </w:rPr>
        <w:t>B</w:t>
      </w:r>
      <w:r w:rsidRPr="00A666DF">
        <w:rPr>
          <w:vertAlign w:val="subscript"/>
          <w:lang w:val="fr-BE"/>
        </w:rPr>
        <w:t>d</w:t>
      </w:r>
      <w:r w:rsidRPr="00A666DF">
        <w:rPr>
          <w:lang w:val="fr-BE"/>
        </w:rPr>
        <w:t xml:space="preserve"> = </w:t>
      </w:r>
      <w:proofErr w:type="spellStart"/>
      <w:r w:rsidRPr="00A666DF">
        <w:rPr>
          <w:lang w:val="fr-BE"/>
        </w:rPr>
        <w:t>B</w:t>
      </w:r>
      <w:r w:rsidRPr="00A666DF">
        <w:rPr>
          <w:vertAlign w:val="subscript"/>
          <w:lang w:val="fr-BE"/>
        </w:rPr>
        <w:t>t</w:t>
      </w:r>
      <w:proofErr w:type="spellEnd"/>
      <w:r w:rsidRPr="00A666DF">
        <w:rPr>
          <w:lang w:val="fr-BE"/>
        </w:rPr>
        <w:t xml:space="preserve"> – R</w:t>
      </w:r>
    </w:p>
    <w:p w:rsidR="00EB56ED" w:rsidRPr="00A666DF" w:rsidRDefault="00EB56ED" w:rsidP="00EB56ED">
      <w:pPr>
        <w:spacing w:before="0" w:beforeAutospacing="0" w:after="0" w:afterAutospacing="0"/>
        <w:ind w:left="426"/>
        <w:jc w:val="both"/>
        <w:rPr>
          <w:lang w:val="fr-BE"/>
        </w:rPr>
      </w:pPr>
      <w:r w:rsidRPr="00A666DF">
        <w:rPr>
          <w:lang w:val="fr-BE"/>
        </w:rPr>
        <w:t>(B</w:t>
      </w:r>
      <w:r w:rsidRPr="00A666DF">
        <w:rPr>
          <w:vertAlign w:val="subscript"/>
          <w:lang w:val="fr-BE"/>
        </w:rPr>
        <w:t>d</w:t>
      </w:r>
      <w:r w:rsidRPr="00A666DF">
        <w:rPr>
          <w:lang w:val="fr-BE"/>
        </w:rPr>
        <w:t xml:space="preserve"> = budget disponible, </w:t>
      </w:r>
      <w:proofErr w:type="spellStart"/>
      <w:r w:rsidRPr="00A666DF">
        <w:rPr>
          <w:lang w:val="fr-BE"/>
        </w:rPr>
        <w:t>B</w:t>
      </w:r>
      <w:r w:rsidRPr="00A666DF">
        <w:rPr>
          <w:vertAlign w:val="subscript"/>
          <w:lang w:val="fr-BE"/>
        </w:rPr>
        <w:t>t</w:t>
      </w:r>
      <w:proofErr w:type="spellEnd"/>
      <w:r w:rsidRPr="00A666DF">
        <w:rPr>
          <w:lang w:val="fr-BE"/>
        </w:rPr>
        <w:t xml:space="preserve"> = budget total, R = coût du registre)</w:t>
      </w:r>
    </w:p>
    <w:p w:rsidR="00EB56ED" w:rsidRPr="00A666DF" w:rsidRDefault="00EB56ED" w:rsidP="00EB56ED">
      <w:pPr>
        <w:spacing w:before="0" w:beforeAutospacing="0" w:after="0" w:afterAutospacing="0"/>
        <w:ind w:left="426"/>
        <w:jc w:val="both"/>
        <w:rPr>
          <w:lang w:val="fr-BE"/>
        </w:rPr>
      </w:pPr>
    </w:p>
    <w:p w:rsidR="00EB56ED" w:rsidRPr="00A666DF" w:rsidRDefault="00EB56ED" w:rsidP="00EB56ED">
      <w:pPr>
        <w:spacing w:before="0" w:beforeAutospacing="0" w:after="0" w:afterAutospacing="0"/>
        <w:ind w:left="426"/>
        <w:jc w:val="both"/>
        <w:rPr>
          <w:lang w:val="fr-BE"/>
        </w:rPr>
      </w:pPr>
      <w:r w:rsidRPr="00A666DF">
        <w:rPr>
          <w:lang w:val="fr-BE"/>
        </w:rPr>
        <w:t>C</w:t>
      </w:r>
      <w:r w:rsidRPr="00A666DF">
        <w:rPr>
          <w:vertAlign w:val="subscript"/>
          <w:lang w:val="fr-BE"/>
        </w:rPr>
        <w:t>1</w:t>
      </w:r>
      <w:r w:rsidRPr="00A666DF">
        <w:rPr>
          <w:lang w:val="fr-BE"/>
        </w:rPr>
        <w:t xml:space="preserve"> = P</w:t>
      </w:r>
      <w:r w:rsidRPr="00A666DF">
        <w:rPr>
          <w:vertAlign w:val="subscript"/>
          <w:lang w:val="fr-BE"/>
        </w:rPr>
        <w:t>1</w:t>
      </w:r>
      <w:r w:rsidRPr="00A666DF">
        <w:rPr>
          <w:lang w:val="fr-BE"/>
        </w:rPr>
        <w:t>N</w:t>
      </w:r>
      <w:r w:rsidRPr="00A666DF">
        <w:rPr>
          <w:vertAlign w:val="subscript"/>
          <w:lang w:val="fr-BE"/>
        </w:rPr>
        <w:t>1</w:t>
      </w:r>
      <w:r w:rsidRPr="00A666DF">
        <w:rPr>
          <w:lang w:val="fr-BE"/>
        </w:rPr>
        <w:t xml:space="preserve"> et C</w:t>
      </w:r>
      <w:r w:rsidRPr="00A666DF">
        <w:rPr>
          <w:vertAlign w:val="subscript"/>
          <w:lang w:val="fr-BE"/>
        </w:rPr>
        <w:t>2</w:t>
      </w:r>
      <w:r w:rsidRPr="00A666DF">
        <w:rPr>
          <w:lang w:val="fr-BE"/>
        </w:rPr>
        <w:t xml:space="preserve"> = P</w:t>
      </w:r>
      <w:r w:rsidRPr="00A666DF">
        <w:rPr>
          <w:vertAlign w:val="subscript"/>
          <w:lang w:val="fr-BE"/>
        </w:rPr>
        <w:t>2</w:t>
      </w:r>
      <w:r w:rsidRPr="00A666DF">
        <w:rPr>
          <w:lang w:val="fr-BE"/>
        </w:rPr>
        <w:t>N</w:t>
      </w:r>
      <w:r w:rsidRPr="00A666DF">
        <w:rPr>
          <w:vertAlign w:val="subscript"/>
          <w:lang w:val="fr-BE"/>
        </w:rPr>
        <w:t>2</w:t>
      </w:r>
    </w:p>
    <w:p w:rsidR="00EB56ED" w:rsidRPr="00A666DF" w:rsidRDefault="00EB56ED" w:rsidP="00EB56ED">
      <w:pPr>
        <w:spacing w:before="0" w:beforeAutospacing="0" w:after="0" w:afterAutospacing="0"/>
        <w:ind w:left="426"/>
        <w:jc w:val="both"/>
        <w:rPr>
          <w:lang w:val="fr-BE"/>
        </w:rPr>
      </w:pPr>
      <w:r w:rsidRPr="00A666DF">
        <w:rPr>
          <w:lang w:val="fr-BE"/>
        </w:rPr>
        <w:lastRenderedPageBreak/>
        <w:t>(C</w:t>
      </w:r>
      <w:r w:rsidRPr="00A666DF">
        <w:rPr>
          <w:vertAlign w:val="subscript"/>
          <w:lang w:val="fr-BE"/>
        </w:rPr>
        <w:t>1</w:t>
      </w:r>
      <w:r w:rsidRPr="00A666DF">
        <w:rPr>
          <w:lang w:val="fr-BE"/>
        </w:rPr>
        <w:t xml:space="preserve"> = coût du centre de coordination national (CCN) ; P</w:t>
      </w:r>
      <w:r w:rsidRPr="00A666DF">
        <w:rPr>
          <w:vertAlign w:val="subscript"/>
          <w:lang w:val="fr-BE"/>
        </w:rPr>
        <w:t>1</w:t>
      </w:r>
      <w:r w:rsidRPr="00A666DF">
        <w:rPr>
          <w:lang w:val="fr-BE"/>
        </w:rPr>
        <w:t xml:space="preserve"> = prix de la prestation du CCN ; N</w:t>
      </w:r>
      <w:r w:rsidRPr="00A666DF">
        <w:rPr>
          <w:vertAlign w:val="subscript"/>
          <w:lang w:val="fr-BE"/>
        </w:rPr>
        <w:t>1</w:t>
      </w:r>
      <w:r w:rsidRPr="00A666DF">
        <w:rPr>
          <w:lang w:val="fr-BE"/>
        </w:rPr>
        <w:t xml:space="preserve"> = nombre de patients du CCN ; C</w:t>
      </w:r>
      <w:r w:rsidRPr="00A666DF">
        <w:rPr>
          <w:vertAlign w:val="subscript"/>
          <w:lang w:val="fr-BE"/>
        </w:rPr>
        <w:t>2</w:t>
      </w:r>
      <w:r w:rsidRPr="00A666DF">
        <w:rPr>
          <w:lang w:val="fr-BE"/>
        </w:rPr>
        <w:t xml:space="preserve"> = coût total des centres de référence (CR) ; P</w:t>
      </w:r>
      <w:r w:rsidRPr="00A666DF">
        <w:rPr>
          <w:vertAlign w:val="subscript"/>
          <w:lang w:val="fr-BE"/>
        </w:rPr>
        <w:t>2</w:t>
      </w:r>
      <w:r w:rsidRPr="00A666DF">
        <w:rPr>
          <w:lang w:val="fr-BE"/>
        </w:rPr>
        <w:t xml:space="preserve"> = prix de la prestation des CR ; N</w:t>
      </w:r>
      <w:r w:rsidRPr="00A666DF">
        <w:rPr>
          <w:vertAlign w:val="subscript"/>
          <w:lang w:val="fr-BE"/>
        </w:rPr>
        <w:t>2</w:t>
      </w:r>
      <w:r w:rsidRPr="00A666DF">
        <w:rPr>
          <w:lang w:val="fr-BE"/>
        </w:rPr>
        <w:t xml:space="preserve"> = somme des nombres de patients des CR)</w:t>
      </w:r>
    </w:p>
    <w:p w:rsidR="00EB56ED" w:rsidRPr="00A666DF" w:rsidRDefault="00EB56ED" w:rsidP="00EB56ED">
      <w:pPr>
        <w:spacing w:before="0" w:beforeAutospacing="0" w:after="0" w:afterAutospacing="0"/>
        <w:ind w:left="426"/>
        <w:jc w:val="both"/>
        <w:rPr>
          <w:lang w:val="fr-BE"/>
        </w:rPr>
      </w:pPr>
    </w:p>
    <w:p w:rsidR="00EB56ED" w:rsidRPr="00A666DF" w:rsidRDefault="00EB56ED" w:rsidP="00EB56ED">
      <w:pPr>
        <w:spacing w:before="0" w:beforeAutospacing="0" w:after="0" w:afterAutospacing="0"/>
        <w:ind w:left="426"/>
        <w:jc w:val="both"/>
        <w:rPr>
          <w:lang w:val="fr-BE"/>
        </w:rPr>
      </w:pPr>
      <w:r w:rsidRPr="00A666DF">
        <w:rPr>
          <w:lang w:val="fr-BE"/>
        </w:rPr>
        <w:t>C</w:t>
      </w:r>
      <w:r w:rsidRPr="00A666DF">
        <w:rPr>
          <w:vertAlign w:val="subscript"/>
          <w:lang w:val="fr-BE"/>
        </w:rPr>
        <w:t>t</w:t>
      </w:r>
      <w:r w:rsidRPr="00A666DF">
        <w:rPr>
          <w:lang w:val="fr-BE"/>
        </w:rPr>
        <w:t xml:space="preserve"> = C</w:t>
      </w:r>
      <w:r w:rsidRPr="00A666DF">
        <w:rPr>
          <w:vertAlign w:val="subscript"/>
          <w:lang w:val="fr-BE"/>
        </w:rPr>
        <w:t>1</w:t>
      </w:r>
      <w:r w:rsidRPr="00A666DF">
        <w:rPr>
          <w:lang w:val="fr-BE"/>
        </w:rPr>
        <w:t xml:space="preserve"> + C</w:t>
      </w:r>
      <w:r w:rsidRPr="00A666DF">
        <w:rPr>
          <w:vertAlign w:val="subscript"/>
          <w:lang w:val="fr-BE"/>
        </w:rPr>
        <w:t>2</w:t>
      </w:r>
    </w:p>
    <w:p w:rsidR="00EB56ED" w:rsidRPr="00A666DF" w:rsidRDefault="00EB56ED" w:rsidP="00EB56ED">
      <w:pPr>
        <w:spacing w:before="0" w:beforeAutospacing="0" w:after="0" w:afterAutospacing="0"/>
        <w:ind w:left="426"/>
        <w:jc w:val="both"/>
        <w:rPr>
          <w:lang w:val="fr-BE"/>
        </w:rPr>
      </w:pPr>
      <w:r w:rsidRPr="00A666DF">
        <w:rPr>
          <w:lang w:val="fr-BE"/>
        </w:rPr>
        <w:t>(C</w:t>
      </w:r>
      <w:r w:rsidRPr="00A666DF">
        <w:rPr>
          <w:vertAlign w:val="subscript"/>
          <w:lang w:val="fr-BE"/>
        </w:rPr>
        <w:t>t</w:t>
      </w:r>
      <w:r w:rsidRPr="00A666DF">
        <w:rPr>
          <w:lang w:val="fr-BE"/>
        </w:rPr>
        <w:t xml:space="preserve"> = coût total)</w:t>
      </w:r>
    </w:p>
    <w:p w:rsidR="00EB56ED" w:rsidRPr="00A666DF" w:rsidRDefault="00EB56ED" w:rsidP="00EB56ED">
      <w:pPr>
        <w:spacing w:before="0" w:beforeAutospacing="0" w:after="0" w:afterAutospacing="0"/>
        <w:ind w:left="426"/>
        <w:jc w:val="both"/>
        <w:rPr>
          <w:lang w:val="fr-BE"/>
        </w:rPr>
      </w:pPr>
    </w:p>
    <w:p w:rsidR="00EB56ED" w:rsidRPr="00A666DF" w:rsidRDefault="00EB56ED" w:rsidP="00EB56ED">
      <w:pPr>
        <w:spacing w:before="0" w:beforeAutospacing="0" w:after="0" w:afterAutospacing="0"/>
        <w:ind w:left="426"/>
        <w:jc w:val="both"/>
        <w:rPr>
          <w:lang w:val="fr-BE"/>
        </w:rPr>
      </w:pPr>
      <w:proofErr w:type="spellStart"/>
      <w:r w:rsidRPr="00A666DF">
        <w:rPr>
          <w:lang w:val="fr-BE"/>
        </w:rPr>
        <w:t>D</w:t>
      </w:r>
      <w:r w:rsidRPr="00A666DF">
        <w:rPr>
          <w:vertAlign w:val="subscript"/>
          <w:lang w:val="fr-BE"/>
        </w:rPr>
        <w:t>t</w:t>
      </w:r>
      <w:proofErr w:type="spellEnd"/>
      <w:r w:rsidRPr="00A666DF">
        <w:rPr>
          <w:lang w:val="fr-BE"/>
        </w:rPr>
        <w:t xml:space="preserve"> = C</w:t>
      </w:r>
      <w:r w:rsidRPr="00A666DF">
        <w:rPr>
          <w:vertAlign w:val="subscript"/>
          <w:lang w:val="fr-BE"/>
        </w:rPr>
        <w:t>t</w:t>
      </w:r>
      <w:r w:rsidRPr="00A666DF">
        <w:rPr>
          <w:lang w:val="fr-BE"/>
        </w:rPr>
        <w:t xml:space="preserve"> - B</w:t>
      </w:r>
      <w:r w:rsidRPr="00A666DF">
        <w:rPr>
          <w:vertAlign w:val="subscript"/>
          <w:lang w:val="fr-BE"/>
        </w:rPr>
        <w:t>d</w:t>
      </w:r>
    </w:p>
    <w:p w:rsidR="00EB56ED" w:rsidRPr="00A666DF" w:rsidRDefault="00EB56ED" w:rsidP="00EB56ED">
      <w:pPr>
        <w:spacing w:before="0" w:beforeAutospacing="0" w:after="0" w:afterAutospacing="0"/>
        <w:ind w:left="426"/>
        <w:jc w:val="both"/>
        <w:rPr>
          <w:lang w:val="fr-BE"/>
        </w:rPr>
      </w:pPr>
      <w:r w:rsidRPr="00A666DF">
        <w:rPr>
          <w:lang w:val="fr-BE"/>
        </w:rPr>
        <w:t>(</w:t>
      </w:r>
      <w:proofErr w:type="spellStart"/>
      <w:r w:rsidRPr="00A666DF">
        <w:rPr>
          <w:lang w:val="fr-BE"/>
        </w:rPr>
        <w:t>D</w:t>
      </w:r>
      <w:r w:rsidRPr="00A666DF">
        <w:rPr>
          <w:vertAlign w:val="subscript"/>
          <w:lang w:val="fr-BE"/>
        </w:rPr>
        <w:t>t</w:t>
      </w:r>
      <w:proofErr w:type="spellEnd"/>
      <w:r w:rsidRPr="00A666DF">
        <w:rPr>
          <w:lang w:val="fr-BE"/>
        </w:rPr>
        <w:t xml:space="preserve"> = différence totale entre le coût et le budget disponible) </w:t>
      </w:r>
    </w:p>
    <w:p w:rsidR="00EB56ED" w:rsidRPr="00A666DF" w:rsidRDefault="00EB56ED" w:rsidP="00EB56ED">
      <w:pPr>
        <w:spacing w:before="0" w:beforeAutospacing="0" w:after="0" w:afterAutospacing="0"/>
        <w:ind w:left="426"/>
        <w:jc w:val="both"/>
        <w:rPr>
          <w:lang w:val="fr-BE"/>
        </w:rPr>
      </w:pPr>
    </w:p>
    <w:p w:rsidR="00EB56ED" w:rsidRPr="00A666DF" w:rsidRDefault="00EB56ED" w:rsidP="00EB56ED">
      <w:pPr>
        <w:spacing w:before="0" w:beforeAutospacing="0" w:after="0" w:afterAutospacing="0"/>
        <w:ind w:left="426"/>
        <w:jc w:val="both"/>
        <w:rPr>
          <w:lang w:val="fr-BE"/>
        </w:rPr>
      </w:pPr>
      <w:r w:rsidRPr="00A666DF">
        <w:rPr>
          <w:lang w:val="fr-BE"/>
        </w:rPr>
        <w:t>PC</w:t>
      </w:r>
      <w:r w:rsidRPr="00A666DF">
        <w:rPr>
          <w:vertAlign w:val="subscript"/>
          <w:lang w:val="fr-BE"/>
        </w:rPr>
        <w:t>1</w:t>
      </w:r>
      <w:r w:rsidRPr="00A666DF">
        <w:rPr>
          <w:lang w:val="fr-BE"/>
        </w:rPr>
        <w:t xml:space="preserve"> = C</w:t>
      </w:r>
      <w:r w:rsidR="000612D3" w:rsidRPr="00A666DF">
        <w:rPr>
          <w:vertAlign w:val="subscript"/>
          <w:lang w:val="fr-BE"/>
        </w:rPr>
        <w:t>1</w:t>
      </w:r>
      <w:r w:rsidRPr="00A666DF">
        <w:rPr>
          <w:lang w:val="fr-BE"/>
        </w:rPr>
        <w:t xml:space="preserve"> / C</w:t>
      </w:r>
      <w:r w:rsidR="00AA3AEA" w:rsidRPr="00A666DF">
        <w:rPr>
          <w:vertAlign w:val="subscript"/>
          <w:lang w:val="fr-BE"/>
        </w:rPr>
        <w:t>t</w:t>
      </w:r>
      <w:r w:rsidRPr="00A666DF">
        <w:rPr>
          <w:lang w:val="fr-BE"/>
        </w:rPr>
        <w:t xml:space="preserve"> et PC</w:t>
      </w:r>
      <w:r w:rsidRPr="00A666DF">
        <w:rPr>
          <w:vertAlign w:val="subscript"/>
          <w:lang w:val="fr-BE"/>
        </w:rPr>
        <w:t>2</w:t>
      </w:r>
      <w:r w:rsidRPr="00A666DF">
        <w:rPr>
          <w:lang w:val="fr-BE"/>
        </w:rPr>
        <w:t xml:space="preserve"> = C</w:t>
      </w:r>
      <w:r w:rsidR="00AA3AEA" w:rsidRPr="00A666DF">
        <w:rPr>
          <w:vertAlign w:val="subscript"/>
          <w:lang w:val="fr-BE"/>
        </w:rPr>
        <w:t>2</w:t>
      </w:r>
      <w:r w:rsidRPr="00A666DF">
        <w:rPr>
          <w:lang w:val="fr-BE"/>
        </w:rPr>
        <w:t xml:space="preserve"> / C</w:t>
      </w:r>
      <w:r w:rsidR="00AA3AEA" w:rsidRPr="00A666DF">
        <w:rPr>
          <w:vertAlign w:val="subscript"/>
          <w:lang w:val="fr-BE"/>
        </w:rPr>
        <w:t>t</w:t>
      </w:r>
    </w:p>
    <w:p w:rsidR="00EB56ED" w:rsidRPr="00A666DF" w:rsidRDefault="00EB56ED" w:rsidP="00EB56ED">
      <w:pPr>
        <w:spacing w:before="0" w:beforeAutospacing="0" w:after="0" w:afterAutospacing="0"/>
        <w:ind w:left="426"/>
        <w:jc w:val="both"/>
        <w:rPr>
          <w:lang w:val="fr-BE"/>
        </w:rPr>
      </w:pPr>
      <w:r w:rsidRPr="00A666DF">
        <w:rPr>
          <w:lang w:val="fr-BE"/>
        </w:rPr>
        <w:t>(PC</w:t>
      </w:r>
      <w:r w:rsidRPr="00A666DF">
        <w:rPr>
          <w:vertAlign w:val="subscript"/>
          <w:lang w:val="fr-BE"/>
        </w:rPr>
        <w:t>1</w:t>
      </w:r>
      <w:r w:rsidRPr="00A666DF">
        <w:rPr>
          <w:lang w:val="fr-BE"/>
        </w:rPr>
        <w:t xml:space="preserve"> = proportion du coût du CCN dans le coût total ; PC</w:t>
      </w:r>
      <w:r w:rsidRPr="00A666DF">
        <w:rPr>
          <w:vertAlign w:val="subscript"/>
          <w:lang w:val="fr-BE"/>
        </w:rPr>
        <w:t>2</w:t>
      </w:r>
      <w:r w:rsidRPr="00A666DF">
        <w:rPr>
          <w:lang w:val="fr-BE"/>
        </w:rPr>
        <w:t xml:space="preserve"> = proportion du coût des CR dans le coût total)</w:t>
      </w:r>
    </w:p>
    <w:p w:rsidR="00EB56ED" w:rsidRPr="00A666DF" w:rsidRDefault="00EB56ED" w:rsidP="00EB56ED">
      <w:pPr>
        <w:spacing w:before="0" w:beforeAutospacing="0" w:after="0" w:afterAutospacing="0"/>
        <w:ind w:left="426"/>
        <w:jc w:val="both"/>
        <w:rPr>
          <w:lang w:val="fr-BE"/>
        </w:rPr>
      </w:pPr>
    </w:p>
    <w:p w:rsidR="00EB56ED" w:rsidRPr="00A666DF" w:rsidRDefault="00EB56ED" w:rsidP="00EB56ED">
      <w:pPr>
        <w:spacing w:before="0" w:beforeAutospacing="0" w:after="0" w:afterAutospacing="0"/>
        <w:ind w:left="426"/>
        <w:jc w:val="both"/>
        <w:rPr>
          <w:lang w:val="fr-BE"/>
        </w:rPr>
      </w:pPr>
      <w:r w:rsidRPr="00A666DF">
        <w:rPr>
          <w:lang w:val="fr-BE"/>
        </w:rPr>
        <w:t>D</w:t>
      </w:r>
      <w:r w:rsidRPr="00A666DF">
        <w:rPr>
          <w:vertAlign w:val="subscript"/>
          <w:lang w:val="fr-BE"/>
        </w:rPr>
        <w:t>1</w:t>
      </w:r>
      <w:r w:rsidRPr="00A666DF">
        <w:rPr>
          <w:lang w:val="fr-BE"/>
        </w:rPr>
        <w:t xml:space="preserve"> = D</w:t>
      </w:r>
      <w:r w:rsidRPr="00A666DF">
        <w:rPr>
          <w:vertAlign w:val="subscript"/>
          <w:lang w:val="fr-BE"/>
        </w:rPr>
        <w:t>t</w:t>
      </w:r>
      <w:r w:rsidRPr="00A666DF">
        <w:rPr>
          <w:lang w:val="fr-BE"/>
        </w:rPr>
        <w:t>PC</w:t>
      </w:r>
      <w:r w:rsidRPr="00A666DF">
        <w:rPr>
          <w:vertAlign w:val="subscript"/>
          <w:lang w:val="fr-BE"/>
        </w:rPr>
        <w:t>1</w:t>
      </w:r>
      <w:r w:rsidRPr="00A666DF">
        <w:rPr>
          <w:lang w:val="fr-BE"/>
        </w:rPr>
        <w:t xml:space="preserve"> et D</w:t>
      </w:r>
      <w:r w:rsidRPr="00A666DF">
        <w:rPr>
          <w:vertAlign w:val="subscript"/>
          <w:lang w:val="fr-BE"/>
        </w:rPr>
        <w:t>2</w:t>
      </w:r>
      <w:r w:rsidRPr="00A666DF">
        <w:rPr>
          <w:lang w:val="fr-BE"/>
        </w:rPr>
        <w:t xml:space="preserve"> = D</w:t>
      </w:r>
      <w:r w:rsidRPr="00A666DF">
        <w:rPr>
          <w:vertAlign w:val="subscript"/>
          <w:lang w:val="fr-BE"/>
        </w:rPr>
        <w:t>t</w:t>
      </w:r>
      <w:r w:rsidRPr="00A666DF">
        <w:rPr>
          <w:lang w:val="fr-BE"/>
        </w:rPr>
        <w:t>PC</w:t>
      </w:r>
      <w:r w:rsidRPr="00A666DF">
        <w:rPr>
          <w:vertAlign w:val="subscript"/>
          <w:lang w:val="fr-BE"/>
        </w:rPr>
        <w:t>2</w:t>
      </w:r>
    </w:p>
    <w:p w:rsidR="00EB56ED" w:rsidRPr="00A666DF" w:rsidRDefault="00EB56ED" w:rsidP="00EB56ED">
      <w:pPr>
        <w:spacing w:before="0" w:beforeAutospacing="0" w:after="0" w:afterAutospacing="0"/>
        <w:ind w:left="426"/>
        <w:jc w:val="both"/>
        <w:rPr>
          <w:lang w:val="fr-BE"/>
        </w:rPr>
      </w:pPr>
      <w:r w:rsidRPr="00A666DF">
        <w:rPr>
          <w:lang w:val="fr-BE"/>
        </w:rPr>
        <w:t>(D</w:t>
      </w:r>
      <w:r w:rsidRPr="00A666DF">
        <w:rPr>
          <w:vertAlign w:val="subscript"/>
          <w:lang w:val="fr-BE"/>
        </w:rPr>
        <w:t>1</w:t>
      </w:r>
      <w:r w:rsidRPr="00A666DF">
        <w:rPr>
          <w:lang w:val="fr-BE"/>
        </w:rPr>
        <w:t xml:space="preserve"> = part de la différence due au CCN ; D</w:t>
      </w:r>
      <w:r w:rsidRPr="00A666DF">
        <w:rPr>
          <w:vertAlign w:val="subscript"/>
          <w:lang w:val="fr-BE"/>
        </w:rPr>
        <w:t>2</w:t>
      </w:r>
      <w:r w:rsidRPr="00A666DF">
        <w:rPr>
          <w:lang w:val="fr-BE"/>
        </w:rPr>
        <w:t xml:space="preserve"> = part de la différence due aux CR)</w:t>
      </w:r>
    </w:p>
    <w:p w:rsidR="00EB56ED" w:rsidRPr="00A666DF" w:rsidRDefault="00EB56ED" w:rsidP="00EB56ED">
      <w:pPr>
        <w:spacing w:before="0" w:beforeAutospacing="0" w:after="0" w:afterAutospacing="0"/>
        <w:ind w:left="426"/>
        <w:jc w:val="both"/>
        <w:rPr>
          <w:lang w:val="fr-BE"/>
        </w:rPr>
      </w:pPr>
    </w:p>
    <w:p w:rsidR="00EB56ED" w:rsidRPr="00A666DF" w:rsidRDefault="00EB56ED" w:rsidP="00EB56ED">
      <w:pPr>
        <w:spacing w:before="0" w:beforeAutospacing="0" w:after="0" w:afterAutospacing="0"/>
        <w:ind w:left="426"/>
        <w:jc w:val="both"/>
        <w:rPr>
          <w:lang w:val="fr-BE"/>
        </w:rPr>
      </w:pPr>
      <w:r w:rsidRPr="00A666DF">
        <w:rPr>
          <w:lang w:val="fr-BE"/>
        </w:rPr>
        <w:t>PR = D</w:t>
      </w:r>
      <w:r w:rsidRPr="00A666DF">
        <w:rPr>
          <w:vertAlign w:val="subscript"/>
          <w:lang w:val="fr-BE"/>
        </w:rPr>
        <w:t>1</w:t>
      </w:r>
      <w:r w:rsidRPr="00A666DF">
        <w:rPr>
          <w:lang w:val="fr-BE"/>
        </w:rPr>
        <w:t xml:space="preserve"> / C</w:t>
      </w:r>
      <w:r w:rsidRPr="00A666DF">
        <w:rPr>
          <w:vertAlign w:val="subscript"/>
          <w:lang w:val="fr-BE"/>
        </w:rPr>
        <w:t>1</w:t>
      </w:r>
      <w:r w:rsidRPr="00A666DF">
        <w:rPr>
          <w:lang w:val="fr-BE"/>
        </w:rPr>
        <w:t xml:space="preserve"> = D</w:t>
      </w:r>
      <w:r w:rsidRPr="00A666DF">
        <w:rPr>
          <w:vertAlign w:val="subscript"/>
          <w:lang w:val="fr-BE"/>
        </w:rPr>
        <w:t>2</w:t>
      </w:r>
      <w:r w:rsidRPr="00A666DF">
        <w:rPr>
          <w:lang w:val="fr-BE"/>
        </w:rPr>
        <w:t xml:space="preserve"> / C</w:t>
      </w:r>
      <w:r w:rsidRPr="00A666DF">
        <w:rPr>
          <w:vertAlign w:val="subscript"/>
          <w:lang w:val="fr-BE"/>
        </w:rPr>
        <w:t>2</w:t>
      </w:r>
    </w:p>
    <w:p w:rsidR="00EB56ED" w:rsidRPr="00EB56ED" w:rsidRDefault="00EB56ED" w:rsidP="00EB56ED">
      <w:pPr>
        <w:spacing w:before="0" w:beforeAutospacing="0" w:after="0" w:afterAutospacing="0"/>
        <w:ind w:left="426"/>
        <w:jc w:val="both"/>
        <w:rPr>
          <w:lang w:val="fr-BE"/>
        </w:rPr>
      </w:pPr>
      <w:r w:rsidRPr="00A666DF">
        <w:rPr>
          <w:lang w:val="fr-BE"/>
        </w:rPr>
        <w:t>(PR = pourcentage de réduction du prix des prestations)</w:t>
      </w:r>
    </w:p>
    <w:p w:rsidR="00EB56ED" w:rsidRPr="001F2DF4" w:rsidRDefault="00EB56ED" w:rsidP="00EB56ED">
      <w:pPr>
        <w:jc w:val="both"/>
        <w:rPr>
          <w:lang w:val="fr-BE"/>
        </w:rPr>
      </w:pPr>
    </w:p>
    <w:sectPr w:rsidR="00EB56ED" w:rsidRPr="001F2DF4" w:rsidSect="00F71A7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976" w:rsidRDefault="00ED1976" w:rsidP="007229CB">
      <w:pPr>
        <w:spacing w:before="0" w:after="0"/>
      </w:pPr>
      <w:r>
        <w:separator/>
      </w:r>
    </w:p>
  </w:endnote>
  <w:endnote w:type="continuationSeparator" w:id="0">
    <w:p w:rsidR="00ED1976" w:rsidRDefault="00ED1976" w:rsidP="007229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76" w:rsidRDefault="00ED197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417726"/>
      <w:docPartObj>
        <w:docPartGallery w:val="Page Numbers (Bottom of Page)"/>
        <w:docPartUnique/>
      </w:docPartObj>
    </w:sdtPr>
    <w:sdtContent>
      <w:p w:rsidR="00ED1976" w:rsidRDefault="00ED1976" w:rsidP="00A666DF">
        <w:pPr>
          <w:pStyle w:val="Pieddepage"/>
          <w:tabs>
            <w:tab w:val="clear" w:pos="4513"/>
            <w:tab w:val="clear" w:pos="9026"/>
            <w:tab w:val="right" w:pos="9781"/>
          </w:tabs>
        </w:pPr>
        <w:r w:rsidRPr="00A666DF">
          <w:rPr>
            <w:sz w:val="16"/>
            <w:szCs w:val="16"/>
          </w:rPr>
          <w:fldChar w:fldCharType="begin"/>
        </w:r>
        <w:r w:rsidRPr="00A666DF">
          <w:rPr>
            <w:sz w:val="16"/>
            <w:szCs w:val="16"/>
          </w:rPr>
          <w:instrText xml:space="preserve"> FILENAME   \* MERGEFORMAT </w:instrText>
        </w:r>
        <w:r w:rsidRPr="00A666DF">
          <w:rPr>
            <w:sz w:val="16"/>
            <w:szCs w:val="16"/>
          </w:rPr>
          <w:fldChar w:fldCharType="separate"/>
        </w:r>
        <w:r>
          <w:rPr>
            <w:noProof/>
            <w:sz w:val="16"/>
            <w:szCs w:val="16"/>
          </w:rPr>
          <w:t>CR_Protocole_Annexe-3-Capacités_vCSS0704.docx</w:t>
        </w:r>
        <w:r w:rsidRPr="00A666DF">
          <w:rPr>
            <w:sz w:val="16"/>
            <w:szCs w:val="16"/>
          </w:rPr>
          <w:fldChar w:fldCharType="end"/>
        </w:r>
        <w:r>
          <w:tab/>
        </w:r>
        <w:r>
          <w:fldChar w:fldCharType="begin"/>
        </w:r>
        <w:r>
          <w:instrText>PAGE   \* MERGEFORMAT</w:instrText>
        </w:r>
        <w:r>
          <w:fldChar w:fldCharType="separate"/>
        </w:r>
        <w:r w:rsidR="00B674C3" w:rsidRPr="00B674C3">
          <w:rPr>
            <w:noProof/>
            <w:lang w:val="fr-FR"/>
          </w:rPr>
          <w:t>2</w:t>
        </w:r>
        <w:r>
          <w:fldChar w:fldCharType="end"/>
        </w:r>
      </w:p>
    </w:sdtContent>
  </w:sdt>
  <w:p w:rsidR="00ED1976" w:rsidRDefault="00ED1976" w:rsidP="00AA5539">
    <w:pPr>
      <w:pStyle w:val="Pieddepag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76" w:rsidRDefault="00ED19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976" w:rsidRDefault="00ED1976" w:rsidP="007229CB">
      <w:pPr>
        <w:spacing w:before="0" w:after="0"/>
      </w:pPr>
      <w:r>
        <w:separator/>
      </w:r>
    </w:p>
  </w:footnote>
  <w:footnote w:type="continuationSeparator" w:id="0">
    <w:p w:rsidR="00ED1976" w:rsidRDefault="00ED1976" w:rsidP="007229C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76" w:rsidRDefault="00ED197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76" w:rsidRDefault="00ED197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76" w:rsidRDefault="00ED197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179"/>
    <w:multiLevelType w:val="hybridMultilevel"/>
    <w:tmpl w:val="8B48B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F15A4C"/>
    <w:multiLevelType w:val="hybridMultilevel"/>
    <w:tmpl w:val="C5F6F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3B293D"/>
    <w:multiLevelType w:val="hybridMultilevel"/>
    <w:tmpl w:val="96C0CE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721E7E"/>
    <w:multiLevelType w:val="hybridMultilevel"/>
    <w:tmpl w:val="4EEACEB0"/>
    <w:lvl w:ilvl="0" w:tplc="98E63F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017FF9"/>
    <w:multiLevelType w:val="hybridMultilevel"/>
    <w:tmpl w:val="165ABD54"/>
    <w:lvl w:ilvl="0" w:tplc="B448A67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773614"/>
    <w:multiLevelType w:val="hybridMultilevel"/>
    <w:tmpl w:val="9A8672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9CB"/>
    <w:rsid w:val="00013A4B"/>
    <w:rsid w:val="000612D3"/>
    <w:rsid w:val="00081926"/>
    <w:rsid w:val="000F2782"/>
    <w:rsid w:val="0013399A"/>
    <w:rsid w:val="001521D2"/>
    <w:rsid w:val="001F2DF4"/>
    <w:rsid w:val="002508A0"/>
    <w:rsid w:val="002707DD"/>
    <w:rsid w:val="00345F62"/>
    <w:rsid w:val="00402EA5"/>
    <w:rsid w:val="00475150"/>
    <w:rsid w:val="004C4C26"/>
    <w:rsid w:val="00506B3B"/>
    <w:rsid w:val="005145BD"/>
    <w:rsid w:val="005C1AC8"/>
    <w:rsid w:val="006C5572"/>
    <w:rsid w:val="006D539C"/>
    <w:rsid w:val="007229CB"/>
    <w:rsid w:val="007A6367"/>
    <w:rsid w:val="007B5DF8"/>
    <w:rsid w:val="00871B07"/>
    <w:rsid w:val="009236BF"/>
    <w:rsid w:val="00A15E71"/>
    <w:rsid w:val="00A35A15"/>
    <w:rsid w:val="00A666DF"/>
    <w:rsid w:val="00AA3AEA"/>
    <w:rsid w:val="00AA5539"/>
    <w:rsid w:val="00AB66D7"/>
    <w:rsid w:val="00AC26DC"/>
    <w:rsid w:val="00B017AE"/>
    <w:rsid w:val="00B50F2E"/>
    <w:rsid w:val="00B60851"/>
    <w:rsid w:val="00B674C3"/>
    <w:rsid w:val="00BB206C"/>
    <w:rsid w:val="00BB5B52"/>
    <w:rsid w:val="00BD02FF"/>
    <w:rsid w:val="00BD3263"/>
    <w:rsid w:val="00C15B01"/>
    <w:rsid w:val="00C4515A"/>
    <w:rsid w:val="00C64344"/>
    <w:rsid w:val="00D23220"/>
    <w:rsid w:val="00D73E03"/>
    <w:rsid w:val="00E12BF2"/>
    <w:rsid w:val="00E9666A"/>
    <w:rsid w:val="00EB56ED"/>
    <w:rsid w:val="00ED1976"/>
    <w:rsid w:val="00F16161"/>
    <w:rsid w:val="00F71A70"/>
    <w:rsid w:val="00F96892"/>
    <w:rsid w:val="00FA761D"/>
    <w:rsid w:val="00FA7E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9CB"/>
    <w:pPr>
      <w:spacing w:before="100" w:beforeAutospacing="1" w:after="100" w:afterAutospacing="1" w:line="240" w:lineRule="auto"/>
    </w:pPr>
    <w:rPr>
      <w:lang w:val="en-US"/>
    </w:rPr>
  </w:style>
  <w:style w:type="paragraph" w:styleId="Titre1">
    <w:name w:val="heading 1"/>
    <w:basedOn w:val="Normal"/>
    <w:next w:val="Normal"/>
    <w:link w:val="Titre1Car"/>
    <w:uiPriority w:val="9"/>
    <w:qFormat/>
    <w:rsid w:val="00F71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29CB"/>
    <w:pPr>
      <w:ind w:left="720"/>
      <w:contextualSpacing/>
    </w:pPr>
  </w:style>
  <w:style w:type="paragraph" w:styleId="En-tte">
    <w:name w:val="header"/>
    <w:basedOn w:val="Normal"/>
    <w:link w:val="En-tteCar"/>
    <w:uiPriority w:val="99"/>
    <w:unhideWhenUsed/>
    <w:rsid w:val="007229CB"/>
    <w:pPr>
      <w:tabs>
        <w:tab w:val="center" w:pos="4513"/>
        <w:tab w:val="right" w:pos="9026"/>
      </w:tabs>
      <w:spacing w:before="0" w:after="0"/>
    </w:pPr>
  </w:style>
  <w:style w:type="character" w:customStyle="1" w:styleId="En-tteCar">
    <w:name w:val="En-tête Car"/>
    <w:basedOn w:val="Policepardfaut"/>
    <w:link w:val="En-tte"/>
    <w:uiPriority w:val="99"/>
    <w:rsid w:val="007229CB"/>
    <w:rPr>
      <w:lang w:val="en-US"/>
    </w:rPr>
  </w:style>
  <w:style w:type="paragraph" w:styleId="Pieddepage">
    <w:name w:val="footer"/>
    <w:basedOn w:val="Normal"/>
    <w:link w:val="PieddepageCar"/>
    <w:uiPriority w:val="99"/>
    <w:unhideWhenUsed/>
    <w:rsid w:val="007229CB"/>
    <w:pPr>
      <w:tabs>
        <w:tab w:val="center" w:pos="4513"/>
        <w:tab w:val="right" w:pos="9026"/>
      </w:tabs>
      <w:spacing w:before="0" w:after="0"/>
    </w:pPr>
  </w:style>
  <w:style w:type="character" w:customStyle="1" w:styleId="PieddepageCar">
    <w:name w:val="Pied de page Car"/>
    <w:basedOn w:val="Policepardfaut"/>
    <w:link w:val="Pieddepage"/>
    <w:uiPriority w:val="99"/>
    <w:rsid w:val="007229CB"/>
    <w:rPr>
      <w:lang w:val="en-US"/>
    </w:rPr>
  </w:style>
  <w:style w:type="character" w:customStyle="1" w:styleId="Titre1Car">
    <w:name w:val="Titre 1 Car"/>
    <w:basedOn w:val="Policepardfaut"/>
    <w:link w:val="Titre1"/>
    <w:uiPriority w:val="9"/>
    <w:rsid w:val="00F71A70"/>
    <w:rPr>
      <w:rFonts w:asciiTheme="majorHAnsi" w:eastAsiaTheme="majorEastAsia" w:hAnsiTheme="majorHAnsi" w:cstheme="majorBidi"/>
      <w:b/>
      <w:bCs/>
      <w:color w:val="365F91" w:themeColor="accent1" w:themeShade="BF"/>
      <w:sz w:val="28"/>
      <w:szCs w:val="28"/>
      <w:lang w:val="en-US"/>
    </w:rPr>
  </w:style>
  <w:style w:type="paragraph" w:styleId="Titre">
    <w:name w:val="Title"/>
    <w:basedOn w:val="Normal"/>
    <w:next w:val="Normal"/>
    <w:link w:val="TitreCar"/>
    <w:uiPriority w:val="10"/>
    <w:qFormat/>
    <w:rsid w:val="00F71A7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71A70"/>
    <w:rPr>
      <w:rFonts w:asciiTheme="majorHAnsi" w:eastAsiaTheme="majorEastAsia" w:hAnsiTheme="majorHAnsi" w:cstheme="majorBidi"/>
      <w:color w:val="17365D" w:themeColor="text2" w:themeShade="BF"/>
      <w:spacing w:val="5"/>
      <w:kern w:val="28"/>
      <w:sz w:val="52"/>
      <w:szCs w:val="52"/>
      <w:lang w:val="en-US"/>
    </w:rPr>
  </w:style>
  <w:style w:type="paragraph" w:styleId="Textedebulles">
    <w:name w:val="Balloon Text"/>
    <w:basedOn w:val="Normal"/>
    <w:link w:val="TextedebullesCar"/>
    <w:uiPriority w:val="99"/>
    <w:semiHidden/>
    <w:unhideWhenUsed/>
    <w:rsid w:val="00BB206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BB206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9CB"/>
    <w:pPr>
      <w:spacing w:before="100" w:beforeAutospacing="1" w:after="100" w:afterAutospacing="1" w:line="240" w:lineRule="auto"/>
    </w:pPr>
    <w:rPr>
      <w:lang w:val="en-US"/>
    </w:rPr>
  </w:style>
  <w:style w:type="paragraph" w:styleId="Titre1">
    <w:name w:val="heading 1"/>
    <w:basedOn w:val="Normal"/>
    <w:next w:val="Normal"/>
    <w:link w:val="Titre1Car"/>
    <w:uiPriority w:val="9"/>
    <w:qFormat/>
    <w:rsid w:val="00F71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29CB"/>
    <w:pPr>
      <w:ind w:left="720"/>
      <w:contextualSpacing/>
    </w:pPr>
  </w:style>
  <w:style w:type="paragraph" w:styleId="En-tte">
    <w:name w:val="header"/>
    <w:basedOn w:val="Normal"/>
    <w:link w:val="En-tteCar"/>
    <w:uiPriority w:val="99"/>
    <w:unhideWhenUsed/>
    <w:rsid w:val="007229CB"/>
    <w:pPr>
      <w:tabs>
        <w:tab w:val="center" w:pos="4513"/>
        <w:tab w:val="right" w:pos="9026"/>
      </w:tabs>
      <w:spacing w:before="0" w:after="0"/>
    </w:pPr>
  </w:style>
  <w:style w:type="character" w:customStyle="1" w:styleId="En-tteCar">
    <w:name w:val="En-tête Car"/>
    <w:basedOn w:val="Policepardfaut"/>
    <w:link w:val="En-tte"/>
    <w:uiPriority w:val="99"/>
    <w:rsid w:val="007229CB"/>
    <w:rPr>
      <w:lang w:val="en-US"/>
    </w:rPr>
  </w:style>
  <w:style w:type="paragraph" w:styleId="Pieddepage">
    <w:name w:val="footer"/>
    <w:basedOn w:val="Normal"/>
    <w:link w:val="PieddepageCar"/>
    <w:uiPriority w:val="99"/>
    <w:unhideWhenUsed/>
    <w:rsid w:val="007229CB"/>
    <w:pPr>
      <w:tabs>
        <w:tab w:val="center" w:pos="4513"/>
        <w:tab w:val="right" w:pos="9026"/>
      </w:tabs>
      <w:spacing w:before="0" w:after="0"/>
    </w:pPr>
  </w:style>
  <w:style w:type="character" w:customStyle="1" w:styleId="PieddepageCar">
    <w:name w:val="Pied de page Car"/>
    <w:basedOn w:val="Policepardfaut"/>
    <w:link w:val="Pieddepage"/>
    <w:uiPriority w:val="99"/>
    <w:rsid w:val="007229CB"/>
    <w:rPr>
      <w:lang w:val="en-US"/>
    </w:rPr>
  </w:style>
  <w:style w:type="character" w:customStyle="1" w:styleId="Titre1Car">
    <w:name w:val="Titre 1 Car"/>
    <w:basedOn w:val="Policepardfaut"/>
    <w:link w:val="Titre1"/>
    <w:uiPriority w:val="9"/>
    <w:rsid w:val="00F71A70"/>
    <w:rPr>
      <w:rFonts w:asciiTheme="majorHAnsi" w:eastAsiaTheme="majorEastAsia" w:hAnsiTheme="majorHAnsi" w:cstheme="majorBidi"/>
      <w:b/>
      <w:bCs/>
      <w:color w:val="365F91" w:themeColor="accent1" w:themeShade="BF"/>
      <w:sz w:val="28"/>
      <w:szCs w:val="28"/>
      <w:lang w:val="en-US"/>
    </w:rPr>
  </w:style>
  <w:style w:type="paragraph" w:styleId="Titre">
    <w:name w:val="Title"/>
    <w:basedOn w:val="Normal"/>
    <w:next w:val="Normal"/>
    <w:link w:val="TitreCar"/>
    <w:uiPriority w:val="10"/>
    <w:qFormat/>
    <w:rsid w:val="00F71A7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71A70"/>
    <w:rPr>
      <w:rFonts w:asciiTheme="majorHAnsi" w:eastAsiaTheme="majorEastAsia" w:hAnsiTheme="majorHAnsi" w:cstheme="majorBidi"/>
      <w:color w:val="17365D" w:themeColor="text2" w:themeShade="BF"/>
      <w:spacing w:val="5"/>
      <w:kern w:val="28"/>
      <w:sz w:val="52"/>
      <w:szCs w:val="52"/>
      <w:lang w:val="en-US"/>
    </w:rPr>
  </w:style>
  <w:style w:type="paragraph" w:styleId="Textedebulles">
    <w:name w:val="Balloon Text"/>
    <w:basedOn w:val="Normal"/>
    <w:link w:val="TextedebullesCar"/>
    <w:uiPriority w:val="99"/>
    <w:semiHidden/>
    <w:unhideWhenUsed/>
    <w:rsid w:val="00BB206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BB206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50583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2014-10-31T23:00:00+00:00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8</Value>
      <Value>71</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E6C82DB8-772E-4982-92CE-3F43F505939D}"/>
</file>

<file path=customXml/itemProps2.xml><?xml version="1.0" encoding="utf-8"?>
<ds:datastoreItem xmlns:ds="http://schemas.openxmlformats.org/officeDocument/2006/customXml" ds:itemID="{7CBA6FA8-6125-4A63-9CAD-937935C4BEF7}"/>
</file>

<file path=customXml/itemProps3.xml><?xml version="1.0" encoding="utf-8"?>
<ds:datastoreItem xmlns:ds="http://schemas.openxmlformats.org/officeDocument/2006/customXml" ds:itemID="{032760EA-1363-4D97-A8A4-73D336CAD7C3}"/>
</file>

<file path=docProps/app.xml><?xml version="1.0" encoding="utf-8"?>
<Properties xmlns="http://schemas.openxmlformats.org/officeDocument/2006/extended-properties" xmlns:vt="http://schemas.openxmlformats.org/officeDocument/2006/docPropsVTypes">
  <Template>E3F73F3F</Template>
  <TotalTime>0</TotalTime>
  <Pages>2</Pages>
  <Words>545</Words>
  <Characters>2998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2014-04-03T08:21:00Z</dcterms:created>
  <dcterms:modified xsi:type="dcterms:W3CDTF">2014-04-07T14:31:00Z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
  </property>
</Properties>
</file>