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8A138" w14:textId="5A4EE096" w:rsidR="00FC7E7D" w:rsidRDefault="00FC7E7D" w:rsidP="00FC7E7D"/>
    <w:tbl>
      <w:tblPr>
        <w:tblW w:w="10774" w:type="dxa"/>
        <w:tblInd w:w="-34" w:type="dxa"/>
        <w:tblLayout w:type="fixed"/>
        <w:tblLook w:val="0000" w:firstRow="0" w:lastRow="0" w:firstColumn="0" w:lastColumn="0" w:noHBand="0" w:noVBand="0"/>
      </w:tblPr>
      <w:tblGrid>
        <w:gridCol w:w="5387"/>
        <w:gridCol w:w="5387"/>
      </w:tblGrid>
      <w:tr w:rsidR="008D01D4" w:rsidRPr="002A1F86" w14:paraId="421E4949" w14:textId="77777777" w:rsidTr="000C1395">
        <w:tc>
          <w:tcPr>
            <w:tcW w:w="5387" w:type="dxa"/>
          </w:tcPr>
          <w:p w14:paraId="585F58F4" w14:textId="7BF8CF5F" w:rsidR="008D01D4" w:rsidRPr="002A1F86" w:rsidRDefault="008D01D4" w:rsidP="00657D0D">
            <w:pPr>
              <w:tabs>
                <w:tab w:val="left" w:pos="0"/>
                <w:tab w:val="left" w:pos="2809"/>
              </w:tabs>
              <w:suppressAutoHyphens/>
              <w:jc w:val="both"/>
              <w:rPr>
                <w:rFonts w:ascii="Arial" w:hAnsi="Arial"/>
                <w:spacing w:val="-3"/>
                <w:lang w:val="nl-BE"/>
              </w:rPr>
            </w:pPr>
            <w:r w:rsidRPr="002A1F86">
              <w:rPr>
                <w:rFonts w:ascii="Arial" w:hAnsi="Arial"/>
                <w:b/>
                <w:spacing w:val="-3"/>
                <w:lang w:val="nl-BE"/>
              </w:rPr>
              <w:t xml:space="preserve">Version </w:t>
            </w:r>
            <w:proofErr w:type="spellStart"/>
            <w:r w:rsidRPr="002A1F86">
              <w:rPr>
                <w:rFonts w:ascii="Arial" w:hAnsi="Arial"/>
                <w:b/>
                <w:spacing w:val="-3"/>
                <w:lang w:val="nl-BE"/>
              </w:rPr>
              <w:t>coordonnée</w:t>
            </w:r>
            <w:proofErr w:type="spellEnd"/>
          </w:p>
        </w:tc>
        <w:tc>
          <w:tcPr>
            <w:tcW w:w="5387" w:type="dxa"/>
          </w:tcPr>
          <w:p w14:paraId="5CE46C5E" w14:textId="77777777" w:rsidR="008D01D4" w:rsidRPr="002A1F86" w:rsidRDefault="008D01D4" w:rsidP="008D01D4">
            <w:pPr>
              <w:tabs>
                <w:tab w:val="left" w:pos="2809"/>
              </w:tabs>
              <w:suppressAutoHyphens/>
              <w:ind w:left="176" w:hanging="107"/>
              <w:jc w:val="both"/>
              <w:rPr>
                <w:rFonts w:ascii="Arial" w:hAnsi="Arial"/>
                <w:spacing w:val="-3"/>
                <w:lang w:val="nl-BE"/>
              </w:rPr>
            </w:pPr>
            <w:r w:rsidRPr="008D01D4">
              <w:rPr>
                <w:rFonts w:ascii="Arial" w:hAnsi="Arial"/>
                <w:b/>
                <w:spacing w:val="-3"/>
                <w:lang w:val="nl-BE"/>
              </w:rPr>
              <w:t>Gecoördineerde versie (01/03/2020)</w:t>
            </w:r>
          </w:p>
        </w:tc>
      </w:tr>
      <w:tr w:rsidR="002A1F86" w:rsidRPr="002A1F86" w14:paraId="5A373ED2" w14:textId="77777777" w:rsidTr="000C1395">
        <w:tc>
          <w:tcPr>
            <w:tcW w:w="5387" w:type="dxa"/>
          </w:tcPr>
          <w:p w14:paraId="26B486E3" w14:textId="77777777" w:rsidR="002A1F86" w:rsidRDefault="000836A1" w:rsidP="00657D0D">
            <w:pPr>
              <w:tabs>
                <w:tab w:val="left" w:pos="0"/>
                <w:tab w:val="left" w:pos="2809"/>
              </w:tabs>
              <w:suppressAutoHyphens/>
              <w:jc w:val="both"/>
              <w:rPr>
                <w:rFonts w:ascii="Arial" w:hAnsi="Arial"/>
                <w:b/>
                <w:bCs/>
                <w:spacing w:val="-3"/>
                <w:highlight w:val="yellow"/>
              </w:rPr>
            </w:pPr>
            <w:r>
              <w:rPr>
                <w:rFonts w:ascii="Arial" w:hAnsi="Arial"/>
                <w:b/>
                <w:bCs/>
                <w:spacing w:val="-3"/>
                <w:highlight w:val="yellow"/>
              </w:rPr>
              <w:t>AR 12.06.2024</w:t>
            </w:r>
          </w:p>
          <w:p w14:paraId="5B45DC63" w14:textId="017688C8" w:rsidR="00AE301A" w:rsidRDefault="00AE301A" w:rsidP="00657D0D">
            <w:pPr>
              <w:tabs>
                <w:tab w:val="left" w:pos="0"/>
                <w:tab w:val="left" w:pos="2809"/>
              </w:tabs>
              <w:suppressAutoHyphens/>
              <w:jc w:val="both"/>
              <w:rPr>
                <w:rFonts w:ascii="Arial" w:hAnsi="Arial"/>
                <w:b/>
                <w:bCs/>
                <w:spacing w:val="-3"/>
                <w:highlight w:val="yellow"/>
              </w:rPr>
            </w:pPr>
            <w:r>
              <w:rPr>
                <w:rFonts w:ascii="Arial" w:hAnsi="Arial"/>
                <w:b/>
                <w:bCs/>
                <w:spacing w:val="-3"/>
                <w:highlight w:val="yellow"/>
              </w:rPr>
              <w:t>MB : 02.07.2024</w:t>
            </w:r>
          </w:p>
          <w:p w14:paraId="1EEE4805" w14:textId="685F9996" w:rsidR="000836A1" w:rsidRPr="00C034FD" w:rsidRDefault="000836A1" w:rsidP="00657D0D">
            <w:pPr>
              <w:tabs>
                <w:tab w:val="left" w:pos="0"/>
                <w:tab w:val="left" w:pos="2809"/>
              </w:tabs>
              <w:suppressAutoHyphens/>
              <w:jc w:val="both"/>
              <w:rPr>
                <w:rFonts w:ascii="Arial" w:hAnsi="Arial"/>
                <w:b/>
                <w:bCs/>
                <w:spacing w:val="-3"/>
                <w:highlight w:val="yellow"/>
              </w:rPr>
            </w:pPr>
            <w:r>
              <w:rPr>
                <w:rFonts w:ascii="Arial" w:hAnsi="Arial"/>
                <w:b/>
                <w:bCs/>
                <w:spacing w:val="-3"/>
                <w:highlight w:val="yellow"/>
              </w:rPr>
              <w:t xml:space="preserve">Entrée en vigueur : </w:t>
            </w:r>
            <w:r w:rsidR="00AE301A">
              <w:rPr>
                <w:rFonts w:ascii="Arial" w:hAnsi="Arial"/>
                <w:b/>
                <w:bCs/>
                <w:spacing w:val="-3"/>
                <w:highlight w:val="yellow"/>
              </w:rPr>
              <w:t>17</w:t>
            </w:r>
            <w:r>
              <w:rPr>
                <w:rFonts w:ascii="Arial" w:hAnsi="Arial"/>
                <w:b/>
                <w:bCs/>
                <w:spacing w:val="-3"/>
                <w:highlight w:val="yellow"/>
              </w:rPr>
              <w:t>.0</w:t>
            </w:r>
            <w:r w:rsidR="00AE301A">
              <w:rPr>
                <w:rFonts w:ascii="Arial" w:hAnsi="Arial"/>
                <w:b/>
                <w:bCs/>
                <w:spacing w:val="-3"/>
                <w:highlight w:val="yellow"/>
              </w:rPr>
              <w:t>5</w:t>
            </w:r>
            <w:r>
              <w:rPr>
                <w:rFonts w:ascii="Arial" w:hAnsi="Arial"/>
                <w:b/>
                <w:bCs/>
                <w:spacing w:val="-3"/>
                <w:highlight w:val="yellow"/>
              </w:rPr>
              <w:t>.2024</w:t>
            </w:r>
          </w:p>
        </w:tc>
        <w:tc>
          <w:tcPr>
            <w:tcW w:w="5387" w:type="dxa"/>
          </w:tcPr>
          <w:p w14:paraId="0B57AF62" w14:textId="77777777" w:rsidR="002A1F86" w:rsidRDefault="000836A1" w:rsidP="008D01D4">
            <w:pPr>
              <w:tabs>
                <w:tab w:val="left" w:pos="2809"/>
              </w:tabs>
              <w:suppressAutoHyphens/>
              <w:ind w:left="176" w:hanging="107"/>
              <w:jc w:val="both"/>
              <w:rPr>
                <w:rFonts w:ascii="Arial" w:hAnsi="Arial"/>
                <w:b/>
                <w:bCs/>
                <w:spacing w:val="-3"/>
                <w:highlight w:val="yellow"/>
              </w:rPr>
            </w:pPr>
            <w:r w:rsidRPr="000836A1">
              <w:rPr>
                <w:rFonts w:ascii="Arial" w:hAnsi="Arial"/>
                <w:b/>
                <w:bCs/>
                <w:spacing w:val="-3"/>
                <w:highlight w:val="yellow"/>
              </w:rPr>
              <w:t>KB 12.06.2024</w:t>
            </w:r>
          </w:p>
          <w:p w14:paraId="6C8DF0D0" w14:textId="17177933" w:rsidR="00AE301A" w:rsidRPr="000836A1" w:rsidRDefault="00AE301A" w:rsidP="008D01D4">
            <w:pPr>
              <w:tabs>
                <w:tab w:val="left" w:pos="2809"/>
              </w:tabs>
              <w:suppressAutoHyphens/>
              <w:ind w:left="176" w:hanging="107"/>
              <w:jc w:val="both"/>
              <w:rPr>
                <w:rFonts w:ascii="Arial" w:hAnsi="Arial"/>
                <w:b/>
                <w:bCs/>
                <w:spacing w:val="-3"/>
                <w:highlight w:val="yellow"/>
              </w:rPr>
            </w:pPr>
            <w:r>
              <w:rPr>
                <w:rFonts w:ascii="Arial" w:hAnsi="Arial"/>
                <w:b/>
                <w:bCs/>
                <w:spacing w:val="-3"/>
                <w:highlight w:val="yellow"/>
              </w:rPr>
              <w:t>BS : 02.07.2024</w:t>
            </w:r>
          </w:p>
          <w:p w14:paraId="364D9AC5" w14:textId="476FBB13" w:rsidR="000836A1" w:rsidRPr="003B5C45" w:rsidRDefault="000836A1" w:rsidP="008D01D4">
            <w:pPr>
              <w:tabs>
                <w:tab w:val="left" w:pos="2809"/>
              </w:tabs>
              <w:suppressAutoHyphens/>
              <w:ind w:left="176" w:hanging="107"/>
              <w:jc w:val="both"/>
              <w:rPr>
                <w:rFonts w:ascii="Arial" w:hAnsi="Arial"/>
                <w:spacing w:val="-3"/>
              </w:rPr>
            </w:pPr>
            <w:proofErr w:type="spellStart"/>
            <w:r w:rsidRPr="000836A1">
              <w:rPr>
                <w:rFonts w:ascii="Arial" w:hAnsi="Arial"/>
                <w:b/>
                <w:bCs/>
                <w:spacing w:val="-3"/>
                <w:highlight w:val="yellow"/>
              </w:rPr>
              <w:t>Inwerkingtreding</w:t>
            </w:r>
            <w:proofErr w:type="spellEnd"/>
            <w:r w:rsidRPr="000836A1">
              <w:rPr>
                <w:rFonts w:ascii="Arial" w:hAnsi="Arial"/>
                <w:b/>
                <w:bCs/>
                <w:spacing w:val="-3"/>
                <w:highlight w:val="yellow"/>
              </w:rPr>
              <w:t xml:space="preserve"> : </w:t>
            </w:r>
            <w:r w:rsidR="00AE301A">
              <w:rPr>
                <w:rFonts w:ascii="Arial" w:hAnsi="Arial"/>
                <w:b/>
                <w:bCs/>
                <w:spacing w:val="-3"/>
                <w:highlight w:val="yellow"/>
              </w:rPr>
              <w:t>17</w:t>
            </w:r>
            <w:r w:rsidRPr="000836A1">
              <w:rPr>
                <w:rFonts w:ascii="Arial" w:hAnsi="Arial"/>
                <w:b/>
                <w:bCs/>
                <w:spacing w:val="-3"/>
                <w:highlight w:val="yellow"/>
              </w:rPr>
              <w:t>.0</w:t>
            </w:r>
            <w:r w:rsidR="00AE301A">
              <w:rPr>
                <w:rFonts w:ascii="Arial" w:hAnsi="Arial"/>
                <w:b/>
                <w:bCs/>
                <w:spacing w:val="-3"/>
                <w:highlight w:val="yellow"/>
              </w:rPr>
              <w:t>5</w:t>
            </w:r>
            <w:r w:rsidRPr="000836A1">
              <w:rPr>
                <w:rFonts w:ascii="Arial" w:hAnsi="Arial"/>
                <w:b/>
                <w:bCs/>
                <w:spacing w:val="-3"/>
                <w:highlight w:val="yellow"/>
              </w:rPr>
              <w:t>.2024</w:t>
            </w:r>
          </w:p>
        </w:tc>
      </w:tr>
      <w:tr w:rsidR="00FC7E7D" w:rsidRPr="000C1395" w14:paraId="5CDC42C8" w14:textId="77777777" w:rsidTr="000C1395">
        <w:tc>
          <w:tcPr>
            <w:tcW w:w="5387" w:type="dxa"/>
          </w:tcPr>
          <w:p w14:paraId="5A1F0DCE" w14:textId="77777777" w:rsidR="00FC7E7D" w:rsidRPr="003B5C45" w:rsidRDefault="00FC7E7D" w:rsidP="008F69F8">
            <w:pPr>
              <w:tabs>
                <w:tab w:val="left" w:pos="0"/>
                <w:tab w:val="left" w:pos="2809"/>
              </w:tabs>
              <w:suppressAutoHyphens/>
              <w:jc w:val="both"/>
              <w:rPr>
                <w:rFonts w:ascii="Arial" w:hAnsi="Arial" w:cs="Arial"/>
                <w:b/>
                <w:color w:val="000000"/>
              </w:rPr>
            </w:pPr>
          </w:p>
        </w:tc>
        <w:tc>
          <w:tcPr>
            <w:tcW w:w="5387" w:type="dxa"/>
          </w:tcPr>
          <w:p w14:paraId="74618946" w14:textId="77777777" w:rsidR="00FC7E7D" w:rsidRPr="002A1F86" w:rsidRDefault="00FC7E7D" w:rsidP="00C35693">
            <w:pPr>
              <w:tabs>
                <w:tab w:val="left" w:pos="2809"/>
              </w:tabs>
              <w:suppressAutoHyphens/>
              <w:ind w:left="34"/>
              <w:jc w:val="both"/>
              <w:rPr>
                <w:rFonts w:ascii="Arial" w:hAnsi="Arial"/>
                <w:b/>
                <w:snapToGrid w:val="0"/>
                <w:spacing w:val="-2"/>
                <w:lang w:eastAsia="fr-FR"/>
              </w:rPr>
            </w:pPr>
          </w:p>
        </w:tc>
      </w:tr>
      <w:tr w:rsidR="000C1395" w:rsidRPr="000C1395" w14:paraId="17A56059" w14:textId="77777777" w:rsidTr="000C1395">
        <w:tc>
          <w:tcPr>
            <w:tcW w:w="5387" w:type="dxa"/>
          </w:tcPr>
          <w:p w14:paraId="1471F487" w14:textId="77777777" w:rsidR="000C1395" w:rsidRPr="002A1F86" w:rsidRDefault="000C1395" w:rsidP="008F69F8">
            <w:pPr>
              <w:tabs>
                <w:tab w:val="left" w:pos="0"/>
                <w:tab w:val="left" w:pos="2809"/>
              </w:tabs>
              <w:suppressAutoHyphens/>
              <w:jc w:val="both"/>
              <w:rPr>
                <w:rFonts w:ascii="Arial" w:hAnsi="Arial" w:cs="Arial"/>
                <w:b/>
                <w:spacing w:val="-3"/>
                <w:lang w:val="nl-BE"/>
              </w:rPr>
            </w:pPr>
            <w:r w:rsidRPr="002A1F86">
              <w:rPr>
                <w:rFonts w:ascii="Arial" w:hAnsi="Arial" w:cs="Arial"/>
                <w:b/>
                <w:color w:val="000000"/>
                <w:lang w:val="nl-BE"/>
              </w:rPr>
              <w:t xml:space="preserve">Koninklijk besluit </w:t>
            </w:r>
            <w:r w:rsidR="008F69F8">
              <w:rPr>
                <w:rFonts w:ascii="Arial" w:hAnsi="Arial" w:cs="Arial"/>
                <w:b/>
                <w:color w:val="000000"/>
                <w:lang w:val="nl-BE"/>
              </w:rPr>
              <w:t xml:space="preserve">van 16 maart 2010 </w:t>
            </w:r>
            <w:r w:rsidRPr="002A1F86">
              <w:rPr>
                <w:rFonts w:ascii="Arial" w:hAnsi="Arial" w:cs="Arial"/>
                <w:b/>
                <w:color w:val="000000"/>
                <w:lang w:val="nl-BE"/>
              </w:rPr>
              <w:t>tot vaststelling van de honoraria voor de aflevering van een vergoedbare farmaceutische specialiteit in een voor het publiek opengestelde apotheek.</w:t>
            </w:r>
          </w:p>
        </w:tc>
        <w:tc>
          <w:tcPr>
            <w:tcW w:w="5387" w:type="dxa"/>
          </w:tcPr>
          <w:p w14:paraId="72BEAAA5" w14:textId="77777777" w:rsidR="000C1395" w:rsidRPr="002A1F86" w:rsidRDefault="000C1395" w:rsidP="00C35693">
            <w:pPr>
              <w:tabs>
                <w:tab w:val="left" w:pos="2809"/>
              </w:tabs>
              <w:suppressAutoHyphens/>
              <w:ind w:left="34"/>
              <w:jc w:val="both"/>
              <w:rPr>
                <w:rFonts w:ascii="Arial" w:hAnsi="Arial"/>
                <w:b/>
                <w:spacing w:val="-3"/>
                <w:lang w:val="fr-BE"/>
              </w:rPr>
            </w:pPr>
            <w:r w:rsidRPr="002A1F86">
              <w:rPr>
                <w:rFonts w:ascii="Arial" w:hAnsi="Arial"/>
                <w:b/>
                <w:snapToGrid w:val="0"/>
                <w:spacing w:val="-2"/>
                <w:lang w:eastAsia="fr-FR"/>
              </w:rPr>
              <w:t xml:space="preserve">Arrêté royal </w:t>
            </w:r>
            <w:r w:rsidR="008F69F8">
              <w:rPr>
                <w:rFonts w:ascii="Arial" w:hAnsi="Arial"/>
                <w:b/>
                <w:snapToGrid w:val="0"/>
                <w:spacing w:val="-2"/>
                <w:lang w:eastAsia="fr-FR"/>
              </w:rPr>
              <w:t xml:space="preserve">du 16 mars 2010 </w:t>
            </w:r>
            <w:r w:rsidRPr="002A1F86">
              <w:rPr>
                <w:rFonts w:ascii="Arial" w:hAnsi="Arial"/>
                <w:b/>
                <w:snapToGrid w:val="0"/>
                <w:spacing w:val="-2"/>
                <w:lang w:eastAsia="fr-FR"/>
              </w:rPr>
              <w:t>visant l’instauration d’honoraires pour la délivrance d’une spécialité pharmaceutique remboursable dans une officine ouverte au public.</w:t>
            </w:r>
          </w:p>
        </w:tc>
      </w:tr>
      <w:tr w:rsidR="000C1395" w:rsidRPr="000C1395" w14:paraId="5C4C5518" w14:textId="77777777" w:rsidTr="000C1395">
        <w:tc>
          <w:tcPr>
            <w:tcW w:w="5387" w:type="dxa"/>
          </w:tcPr>
          <w:p w14:paraId="3E6DF918" w14:textId="77777777" w:rsidR="000C1395" w:rsidRPr="000C1395" w:rsidRDefault="000C1395" w:rsidP="00657D0D">
            <w:pPr>
              <w:tabs>
                <w:tab w:val="left" w:pos="0"/>
                <w:tab w:val="left" w:pos="2809"/>
              </w:tabs>
              <w:suppressAutoHyphens/>
              <w:jc w:val="both"/>
              <w:rPr>
                <w:rFonts w:ascii="Arial" w:hAnsi="Arial"/>
                <w:snapToGrid w:val="0"/>
                <w:lang w:val="fr-BE" w:eastAsia="fr-FR"/>
              </w:rPr>
            </w:pPr>
          </w:p>
        </w:tc>
        <w:tc>
          <w:tcPr>
            <w:tcW w:w="5387" w:type="dxa"/>
          </w:tcPr>
          <w:p w14:paraId="1BF9E17E" w14:textId="77777777" w:rsidR="000C1395" w:rsidRPr="000C1395" w:rsidRDefault="000C1395" w:rsidP="00D32BF6">
            <w:pPr>
              <w:tabs>
                <w:tab w:val="left" w:pos="0"/>
                <w:tab w:val="left" w:pos="2809"/>
              </w:tabs>
              <w:suppressAutoHyphens/>
              <w:ind w:left="176"/>
              <w:jc w:val="both"/>
              <w:rPr>
                <w:rFonts w:ascii="Arial" w:hAnsi="Arial"/>
                <w:spacing w:val="-2"/>
                <w:lang w:val="fr-BE"/>
              </w:rPr>
            </w:pPr>
          </w:p>
        </w:tc>
      </w:tr>
      <w:tr w:rsidR="006A74C5" w:rsidRPr="006A74C5" w14:paraId="0C00BEA2" w14:textId="77777777" w:rsidTr="00F22339">
        <w:tc>
          <w:tcPr>
            <w:tcW w:w="5387" w:type="dxa"/>
          </w:tcPr>
          <w:p w14:paraId="77696E01" w14:textId="77777777" w:rsidR="006A74C5" w:rsidRPr="006A74C5" w:rsidRDefault="006A74C5" w:rsidP="002A1F86">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Artikel 1.</w:t>
            </w:r>
            <w:r w:rsidRPr="002A1F86">
              <w:rPr>
                <w:rFonts w:ascii="Arial" w:hAnsi="Arial" w:cs="Arial"/>
                <w:color w:val="000000"/>
                <w:lang w:val="nl-BE"/>
              </w:rPr>
              <w:t xml:space="preserve"> </w:t>
            </w:r>
            <w:r w:rsidRPr="006A74C5">
              <w:rPr>
                <w:rFonts w:ascii="Arial" w:hAnsi="Arial" w:cs="Arial"/>
                <w:color w:val="000000"/>
                <w:lang w:val="nl-BE"/>
              </w:rPr>
              <w:t>Voor de toepassing van dit besluit wordt verstaan onder:</w:t>
            </w:r>
          </w:p>
        </w:tc>
        <w:tc>
          <w:tcPr>
            <w:tcW w:w="5387" w:type="dxa"/>
          </w:tcPr>
          <w:p w14:paraId="22AE18F9" w14:textId="77777777" w:rsidR="006A74C5" w:rsidRPr="008F69F8" w:rsidRDefault="006A74C5" w:rsidP="002A1F86">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Article 1er.</w:t>
            </w:r>
            <w:r w:rsidRPr="008F69F8">
              <w:rPr>
                <w:rFonts w:ascii="Arial" w:hAnsi="Arial" w:cs="Arial"/>
                <w:color w:val="000000"/>
                <w:lang w:val="fr-BE"/>
              </w:rPr>
              <w:t xml:space="preserve"> Pour l’application du présent arrêté, on entend par :</w:t>
            </w:r>
          </w:p>
        </w:tc>
      </w:tr>
      <w:tr w:rsidR="006A74C5" w:rsidRPr="006A74C5" w14:paraId="35BBE692" w14:textId="77777777" w:rsidTr="00F22339">
        <w:tc>
          <w:tcPr>
            <w:tcW w:w="5387" w:type="dxa"/>
          </w:tcPr>
          <w:p w14:paraId="139E0CD8"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315F7297"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2A1F86" w14:paraId="56AD9825" w14:textId="77777777" w:rsidTr="00F22339">
        <w:tc>
          <w:tcPr>
            <w:tcW w:w="5387" w:type="dxa"/>
          </w:tcPr>
          <w:p w14:paraId="04892F1B" w14:textId="77777777" w:rsidR="006A74C5" w:rsidRPr="002A1F86" w:rsidRDefault="006A74C5" w:rsidP="002A1F86">
            <w:pPr>
              <w:tabs>
                <w:tab w:val="left" w:pos="0"/>
                <w:tab w:val="left" w:pos="2809"/>
              </w:tabs>
              <w:suppressAutoHyphens/>
              <w:jc w:val="both"/>
              <w:rPr>
                <w:rFonts w:ascii="Arial" w:hAnsi="Arial" w:cs="Arial"/>
                <w:color w:val="000000"/>
                <w:lang w:val="nl-BE"/>
              </w:rPr>
            </w:pPr>
            <w:r w:rsidRPr="006A74C5">
              <w:rPr>
                <w:rFonts w:ascii="Arial" w:hAnsi="Arial" w:cs="Arial"/>
                <w:color w:val="000000"/>
                <w:lang w:val="nl-BE"/>
              </w:rPr>
              <w:t>1°</w:t>
            </w:r>
            <w:r w:rsidRPr="002A1F86">
              <w:rPr>
                <w:rFonts w:ascii="Arial" w:hAnsi="Arial" w:cs="Arial"/>
                <w:color w:val="000000"/>
                <w:lang w:val="nl-BE"/>
              </w:rPr>
              <w:t xml:space="preserve"> </w:t>
            </w:r>
            <w:r w:rsidRPr="006A74C5">
              <w:rPr>
                <w:rFonts w:ascii="Arial" w:hAnsi="Arial" w:cs="Arial"/>
                <w:color w:val="000000"/>
                <w:lang w:val="nl-BE"/>
              </w:rPr>
              <w:t>“de wet”:</w:t>
            </w:r>
            <w:r w:rsidRPr="002A1F86">
              <w:rPr>
                <w:rFonts w:ascii="Arial" w:hAnsi="Arial" w:cs="Arial"/>
                <w:color w:val="000000"/>
                <w:lang w:val="nl-BE"/>
              </w:rPr>
              <w:t xml:space="preserve"> </w:t>
            </w:r>
            <w:r w:rsidRPr="006A74C5">
              <w:rPr>
                <w:rFonts w:ascii="Arial" w:hAnsi="Arial" w:cs="Arial"/>
                <w:color w:val="000000"/>
                <w:lang w:val="nl-BE"/>
              </w:rPr>
              <w:t>de wet</w:t>
            </w:r>
            <w:r w:rsidRPr="002A1F86">
              <w:rPr>
                <w:rFonts w:ascii="Arial" w:hAnsi="Arial" w:cs="Arial"/>
                <w:color w:val="000000"/>
                <w:lang w:val="nl-BE"/>
              </w:rPr>
              <w:t xml:space="preserve"> </w:t>
            </w:r>
            <w:r w:rsidRPr="006A74C5">
              <w:rPr>
                <w:rFonts w:ascii="Arial" w:hAnsi="Arial" w:cs="Arial"/>
                <w:color w:val="000000"/>
                <w:lang w:val="nl-BE"/>
              </w:rPr>
              <w:t>betreffende de verplichte verzekering voor geneeskundige verzorging en uitkeringen, gecoördineerd op 14 juli 1994;</w:t>
            </w:r>
          </w:p>
        </w:tc>
        <w:tc>
          <w:tcPr>
            <w:tcW w:w="5387" w:type="dxa"/>
          </w:tcPr>
          <w:p w14:paraId="1DE0DDE7" w14:textId="77777777" w:rsidR="006A74C5" w:rsidRPr="008F69F8" w:rsidRDefault="006A74C5" w:rsidP="002A1F86">
            <w:pPr>
              <w:tabs>
                <w:tab w:val="left" w:pos="0"/>
                <w:tab w:val="left" w:pos="2809"/>
              </w:tabs>
              <w:suppressAutoHyphens/>
              <w:jc w:val="both"/>
              <w:rPr>
                <w:rFonts w:ascii="Arial" w:hAnsi="Arial" w:cs="Arial"/>
                <w:color w:val="000000"/>
                <w:lang w:val="fr-BE"/>
              </w:rPr>
            </w:pPr>
            <w:r w:rsidRPr="008F69F8">
              <w:rPr>
                <w:rFonts w:ascii="Arial" w:hAnsi="Arial" w:cs="Arial"/>
                <w:color w:val="000000"/>
                <w:lang w:val="fr-BE"/>
              </w:rPr>
              <w:t>1° “la loi” : la loi relative à l'assurance obligatoire soins de santé et indemnités, coordonnée le 14 juillet 1994 ;</w:t>
            </w:r>
          </w:p>
        </w:tc>
      </w:tr>
      <w:tr w:rsidR="006A74C5" w:rsidRPr="006A74C5" w14:paraId="427DC17D" w14:textId="77777777" w:rsidTr="00F22339">
        <w:tc>
          <w:tcPr>
            <w:tcW w:w="5387" w:type="dxa"/>
          </w:tcPr>
          <w:p w14:paraId="5CB2AA3E"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4D39EE74"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6A74C5" w14:paraId="7643A779" w14:textId="77777777" w:rsidTr="00F22339">
        <w:tc>
          <w:tcPr>
            <w:tcW w:w="5387" w:type="dxa"/>
          </w:tcPr>
          <w:p w14:paraId="6D74C115" w14:textId="3A47BF02" w:rsidR="006A74C5" w:rsidRPr="009F4D86" w:rsidRDefault="006A74C5" w:rsidP="008F69F8">
            <w:pPr>
              <w:tabs>
                <w:tab w:val="left" w:pos="0"/>
                <w:tab w:val="left" w:pos="2809"/>
              </w:tabs>
              <w:suppressAutoHyphens/>
              <w:jc w:val="both"/>
              <w:rPr>
                <w:rFonts w:ascii="Arial" w:hAnsi="Arial" w:cs="Arial"/>
                <w:color w:val="000000"/>
                <w:lang w:val="nl-BE"/>
              </w:rPr>
            </w:pPr>
            <w:r w:rsidRPr="009F4D86">
              <w:rPr>
                <w:rFonts w:ascii="Arial" w:hAnsi="Arial" w:cs="Arial"/>
                <w:color w:val="000000"/>
                <w:lang w:val="nl-BE"/>
              </w:rPr>
              <w:t xml:space="preserve">2° “vergoedbare specialiteit”: een farmaceutische specialiteit bedoeld in artikel 34, eerste lid, 5°, b), c) en e) van de wet, die is ingeschreven op de lijst gevoegd in bijlage bij het koninklijk besluit van </w:t>
            </w:r>
            <w:r w:rsidR="008F69F8" w:rsidRPr="009F4D86">
              <w:rPr>
                <w:rFonts w:ascii="Arial" w:hAnsi="Arial" w:cs="Arial"/>
                <w:color w:val="000000"/>
                <w:lang w:val="nl-BE"/>
              </w:rPr>
              <w:t>1 februari 2018</w:t>
            </w:r>
            <w:r w:rsidRPr="009F4D86">
              <w:rPr>
                <w:rFonts w:ascii="Arial" w:hAnsi="Arial" w:cs="Arial"/>
                <w:color w:val="000000"/>
                <w:lang w:val="nl-BE"/>
              </w:rPr>
              <w:t xml:space="preserve"> tot vaststelling van de procedures, termijnen en voorwaarden inzake de tegemoetkoming van de verplichte verzekering voor geneeskundige verzorging en uitkeringen in de kosten van farmaceutische specialiteiten;</w:t>
            </w:r>
          </w:p>
        </w:tc>
        <w:tc>
          <w:tcPr>
            <w:tcW w:w="5387" w:type="dxa"/>
          </w:tcPr>
          <w:p w14:paraId="33203951" w14:textId="6D777DB9" w:rsidR="006A74C5" w:rsidRPr="009F4D86" w:rsidRDefault="006A74C5" w:rsidP="0096007B">
            <w:pPr>
              <w:tabs>
                <w:tab w:val="left" w:pos="0"/>
                <w:tab w:val="left" w:pos="2809"/>
              </w:tabs>
              <w:suppressAutoHyphens/>
              <w:jc w:val="both"/>
              <w:rPr>
                <w:rFonts w:ascii="Arial" w:hAnsi="Arial" w:cs="Arial"/>
                <w:color w:val="000000"/>
                <w:lang w:val="fr-BE"/>
              </w:rPr>
            </w:pPr>
            <w:r w:rsidRPr="009F4D86">
              <w:rPr>
                <w:rFonts w:ascii="Arial" w:hAnsi="Arial" w:cs="Arial"/>
                <w:color w:val="000000"/>
                <w:lang w:val="fr-BE"/>
              </w:rPr>
              <w:t>2° “spécialité remboursable”: une spécialité pharmaceutique visée à l’article, 34, alinéa 1er, 5°, b), c) et e)</w:t>
            </w:r>
            <w:r w:rsidR="00C12998" w:rsidRPr="009F4D86">
              <w:rPr>
                <w:rFonts w:ascii="Arial" w:hAnsi="Arial" w:cs="Arial"/>
                <w:color w:val="000000"/>
                <w:lang w:val="fr-BE"/>
              </w:rPr>
              <w:t xml:space="preserve"> </w:t>
            </w:r>
            <w:r w:rsidRPr="009F4D86">
              <w:rPr>
                <w:rFonts w:ascii="Arial" w:hAnsi="Arial" w:cs="Arial"/>
                <w:color w:val="000000"/>
                <w:lang w:val="fr-BE"/>
              </w:rPr>
              <w:t>de la loi, qui est inscrit</w:t>
            </w:r>
            <w:r w:rsidR="006C15A3" w:rsidRPr="009F4D86">
              <w:rPr>
                <w:rFonts w:ascii="Arial" w:hAnsi="Arial" w:cs="Arial"/>
                <w:color w:val="000000"/>
                <w:lang w:val="fr-BE"/>
              </w:rPr>
              <w:t>e</w:t>
            </w:r>
            <w:r w:rsidRPr="009F4D86">
              <w:rPr>
                <w:rFonts w:ascii="Arial" w:hAnsi="Arial" w:cs="Arial"/>
                <w:color w:val="000000"/>
                <w:lang w:val="fr-BE"/>
              </w:rPr>
              <w:t xml:space="preserve"> sur la liste annexée à l’arrêté royal du </w:t>
            </w:r>
            <w:r w:rsidR="0096007B" w:rsidRPr="009F4D86">
              <w:rPr>
                <w:rFonts w:ascii="Arial" w:hAnsi="Arial" w:cs="Arial"/>
                <w:color w:val="000000"/>
                <w:lang w:val="fr-BE"/>
              </w:rPr>
              <w:t>1</w:t>
            </w:r>
            <w:r w:rsidR="0096007B" w:rsidRPr="009F4D86">
              <w:rPr>
                <w:rFonts w:ascii="Arial" w:hAnsi="Arial" w:cs="Arial"/>
                <w:color w:val="000000"/>
                <w:vertAlign w:val="superscript"/>
                <w:lang w:val="fr-BE"/>
              </w:rPr>
              <w:t>er</w:t>
            </w:r>
            <w:r w:rsidR="0096007B" w:rsidRPr="009F4D86">
              <w:rPr>
                <w:rFonts w:ascii="Arial" w:hAnsi="Arial" w:cs="Arial"/>
                <w:color w:val="000000"/>
                <w:lang w:val="fr-BE"/>
              </w:rPr>
              <w:t xml:space="preserve"> février 2018</w:t>
            </w:r>
            <w:r w:rsidRPr="009F4D86">
              <w:rPr>
                <w:rFonts w:ascii="Arial" w:hAnsi="Arial" w:cs="Arial"/>
                <w:color w:val="000000"/>
                <w:lang w:val="fr-BE"/>
              </w:rPr>
              <w:t xml:space="preserve"> fixant les procédures, délais et conditions concernant l'intervention de l'assurance obligatoire soins de santé et indemnités dans le coût des spécialités pharmaceutiques ;</w:t>
            </w:r>
          </w:p>
        </w:tc>
      </w:tr>
      <w:tr w:rsidR="006A74C5" w:rsidRPr="006A74C5" w14:paraId="4BE97979" w14:textId="77777777" w:rsidTr="00F22339">
        <w:tc>
          <w:tcPr>
            <w:tcW w:w="5387" w:type="dxa"/>
          </w:tcPr>
          <w:p w14:paraId="1C7CBF00"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78B82828"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6A74C5" w14:paraId="5C86FDB3" w14:textId="77777777" w:rsidTr="00F22339">
        <w:tc>
          <w:tcPr>
            <w:tcW w:w="5387" w:type="dxa"/>
          </w:tcPr>
          <w:p w14:paraId="56E5E302" w14:textId="77777777" w:rsidR="006A74C5" w:rsidRPr="0015557E" w:rsidRDefault="006A74C5" w:rsidP="002A1F86">
            <w:pPr>
              <w:tabs>
                <w:tab w:val="left" w:pos="0"/>
                <w:tab w:val="left" w:pos="2809"/>
              </w:tabs>
              <w:suppressAutoHyphens/>
              <w:jc w:val="both"/>
              <w:rPr>
                <w:rFonts w:ascii="Arial" w:hAnsi="Arial" w:cs="Arial"/>
                <w:color w:val="000000"/>
                <w:lang w:val="nl-BE"/>
              </w:rPr>
            </w:pPr>
            <w:r w:rsidRPr="0015557E">
              <w:rPr>
                <w:rFonts w:ascii="Arial" w:hAnsi="Arial" w:cs="Arial"/>
                <w:color w:val="000000"/>
                <w:lang w:val="nl-BE"/>
              </w:rPr>
              <w:t xml:space="preserve">3° </w:t>
            </w:r>
            <w:r w:rsidR="00481E40" w:rsidRPr="0015557E">
              <w:rPr>
                <w:rFonts w:ascii="Arial" w:hAnsi="Arial" w:cs="Arial"/>
                <w:color w:val="000000"/>
                <w:lang w:val="nl-BE"/>
              </w:rPr>
              <w:t>“</w:t>
            </w:r>
            <w:r w:rsidR="00EC393B" w:rsidRPr="0015557E">
              <w:rPr>
                <w:rFonts w:ascii="Arial" w:hAnsi="Arial" w:cs="Arial"/>
                <w:color w:val="000000"/>
                <w:lang w:val="nl-BE"/>
              </w:rPr>
              <w:t>begeleidingsgesprek voor goed gebruik van geneesmiddelen</w:t>
            </w:r>
            <w:r w:rsidR="00481E40" w:rsidRPr="0015557E">
              <w:rPr>
                <w:rFonts w:ascii="Arial" w:hAnsi="Arial" w:cs="Arial"/>
                <w:color w:val="000000"/>
                <w:lang w:val="nl-BE"/>
              </w:rPr>
              <w:t>”</w:t>
            </w:r>
            <w:r w:rsidR="00EC393B" w:rsidRPr="0015557E">
              <w:rPr>
                <w:rFonts w:ascii="Arial" w:hAnsi="Arial" w:cs="Arial"/>
                <w:color w:val="000000"/>
                <w:lang w:val="nl-BE"/>
              </w:rPr>
              <w:t>: gestructureerd en gedocumenteerd verstrekken van informatie en peilen naar de verwachtingen en ervaringen van de patiënt</w:t>
            </w:r>
          </w:p>
          <w:p w14:paraId="4C42AB94" w14:textId="77777777" w:rsidR="00EC393B" w:rsidRPr="0015557E" w:rsidRDefault="00AE7DEC" w:rsidP="0096007B">
            <w:pPr>
              <w:pStyle w:val="Paragraphedeliste"/>
              <w:numPr>
                <w:ilvl w:val="0"/>
                <w:numId w:val="31"/>
              </w:numPr>
              <w:tabs>
                <w:tab w:val="left" w:pos="2809"/>
              </w:tabs>
              <w:suppressAutoHyphens/>
              <w:ind w:left="354" w:hanging="354"/>
              <w:jc w:val="both"/>
              <w:rPr>
                <w:rFonts w:ascii="Arial" w:hAnsi="Arial" w:cs="Arial"/>
                <w:color w:val="000000"/>
                <w:lang w:val="nl-BE"/>
              </w:rPr>
            </w:pPr>
            <w:r w:rsidRPr="0015557E">
              <w:rPr>
                <w:rFonts w:ascii="Arial" w:hAnsi="Arial" w:cs="Arial"/>
                <w:color w:val="000000"/>
                <w:lang w:val="nl-BE"/>
              </w:rPr>
              <w:t>b</w:t>
            </w:r>
            <w:r w:rsidR="00EC393B" w:rsidRPr="0015557E">
              <w:rPr>
                <w:rFonts w:ascii="Arial" w:hAnsi="Arial" w:cs="Arial"/>
                <w:color w:val="000000"/>
                <w:lang w:val="nl-BE"/>
              </w:rPr>
              <w:t>ij de opstart van een nieuwe geneesmiddelentherapie voor een chronische aandoening of voor een wijziging van farmacologische klasse in het kader van een bestaande chronische aandoening of</w:t>
            </w:r>
          </w:p>
          <w:p w14:paraId="34BD1D2A" w14:textId="77777777" w:rsidR="00EC393B" w:rsidRPr="0015557E" w:rsidRDefault="00AE7DEC" w:rsidP="0096007B">
            <w:pPr>
              <w:pStyle w:val="Paragraphedeliste"/>
              <w:numPr>
                <w:ilvl w:val="0"/>
                <w:numId w:val="31"/>
              </w:numPr>
              <w:tabs>
                <w:tab w:val="left" w:pos="2809"/>
              </w:tabs>
              <w:suppressAutoHyphens/>
              <w:ind w:left="354" w:hanging="354"/>
              <w:jc w:val="both"/>
              <w:rPr>
                <w:rFonts w:ascii="Arial" w:hAnsi="Arial" w:cs="Arial"/>
                <w:color w:val="000000"/>
                <w:lang w:val="nl-BE"/>
              </w:rPr>
            </w:pPr>
            <w:r w:rsidRPr="0015557E">
              <w:rPr>
                <w:rFonts w:ascii="Arial" w:hAnsi="Arial" w:cs="Arial"/>
                <w:color w:val="000000"/>
                <w:lang w:val="nl-BE"/>
              </w:rPr>
              <w:t>w</w:t>
            </w:r>
            <w:r w:rsidR="00EC393B" w:rsidRPr="0015557E">
              <w:rPr>
                <w:rFonts w:ascii="Arial" w:hAnsi="Arial" w:cs="Arial"/>
                <w:color w:val="000000"/>
                <w:lang w:val="nl-BE"/>
              </w:rPr>
              <w:t>anneer de patiënt in de loop van de behandeling van zijn chronische aandoening nood heeft aan bijkomende gepersonaliseerde begeleiding of</w:t>
            </w:r>
          </w:p>
          <w:p w14:paraId="5614AA46" w14:textId="77777777" w:rsidR="00EC393B" w:rsidRPr="0015557E" w:rsidRDefault="00AE7DEC" w:rsidP="0096007B">
            <w:pPr>
              <w:pStyle w:val="Paragraphedeliste"/>
              <w:numPr>
                <w:ilvl w:val="0"/>
                <w:numId w:val="31"/>
              </w:numPr>
              <w:tabs>
                <w:tab w:val="left" w:pos="2809"/>
              </w:tabs>
              <w:suppressAutoHyphens/>
              <w:ind w:left="354" w:hanging="354"/>
              <w:jc w:val="both"/>
              <w:rPr>
                <w:rFonts w:ascii="Arial" w:hAnsi="Arial" w:cs="Arial"/>
                <w:color w:val="000000"/>
                <w:lang w:val="nl-BE"/>
              </w:rPr>
            </w:pPr>
            <w:r w:rsidRPr="0015557E">
              <w:rPr>
                <w:rFonts w:ascii="Arial" w:hAnsi="Arial" w:cs="Arial"/>
                <w:color w:val="000000"/>
                <w:lang w:val="nl-BE"/>
              </w:rPr>
              <w:t>b</w:t>
            </w:r>
            <w:r w:rsidR="00EC393B" w:rsidRPr="0015557E">
              <w:rPr>
                <w:rFonts w:ascii="Arial" w:hAnsi="Arial" w:cs="Arial"/>
                <w:color w:val="000000"/>
                <w:lang w:val="nl-BE"/>
              </w:rPr>
              <w:t>ij de aflevering van acute medicatie die een bijzondere opvolging vereist;</w:t>
            </w:r>
          </w:p>
        </w:tc>
        <w:tc>
          <w:tcPr>
            <w:tcW w:w="5387" w:type="dxa"/>
          </w:tcPr>
          <w:p w14:paraId="71D52D59" w14:textId="77777777" w:rsidR="00EC393B" w:rsidRPr="008F69F8" w:rsidRDefault="006A74C5" w:rsidP="002A1F86">
            <w:pPr>
              <w:tabs>
                <w:tab w:val="left" w:pos="0"/>
                <w:tab w:val="left" w:pos="2809"/>
              </w:tabs>
              <w:suppressAutoHyphens/>
              <w:jc w:val="both"/>
              <w:rPr>
                <w:rFonts w:ascii="Arial" w:hAnsi="Arial" w:cs="Arial"/>
                <w:color w:val="000000"/>
                <w:lang w:val="fr-BE"/>
              </w:rPr>
            </w:pPr>
            <w:r w:rsidRPr="008F69F8">
              <w:rPr>
                <w:rFonts w:ascii="Arial" w:hAnsi="Arial" w:cs="Arial"/>
                <w:color w:val="000000"/>
                <w:lang w:val="fr-BE"/>
              </w:rPr>
              <w:t xml:space="preserve">3° </w:t>
            </w:r>
            <w:r w:rsidR="00EC393B" w:rsidRPr="008F69F8">
              <w:rPr>
                <w:rFonts w:ascii="Arial" w:hAnsi="Arial" w:cs="Arial"/>
                <w:color w:val="000000"/>
                <w:lang w:val="fr-BE"/>
              </w:rPr>
              <w:t>« entretien d’accompagnement de bon usage de médicaments » : dispensation structurée et documentée d’informations et analyse des attentes et expériences du patient</w:t>
            </w:r>
          </w:p>
          <w:p w14:paraId="1A399B15" w14:textId="77777777" w:rsidR="00EC393B" w:rsidRPr="0096007B" w:rsidRDefault="00AE7DEC" w:rsidP="0096007B">
            <w:pPr>
              <w:pStyle w:val="Paragraphedeliste"/>
              <w:numPr>
                <w:ilvl w:val="0"/>
                <w:numId w:val="32"/>
              </w:numPr>
              <w:tabs>
                <w:tab w:val="left" w:pos="2809"/>
              </w:tabs>
              <w:suppressAutoHyphens/>
              <w:ind w:left="352" w:hanging="352"/>
              <w:jc w:val="both"/>
              <w:rPr>
                <w:rFonts w:ascii="Arial" w:hAnsi="Arial" w:cs="Arial"/>
                <w:color w:val="000000"/>
                <w:lang w:val="fr-BE"/>
              </w:rPr>
            </w:pPr>
            <w:r w:rsidRPr="0096007B">
              <w:rPr>
                <w:rFonts w:ascii="Arial" w:hAnsi="Arial" w:cs="Arial"/>
                <w:color w:val="000000"/>
                <w:lang w:val="fr-BE"/>
              </w:rPr>
              <w:t>d</w:t>
            </w:r>
            <w:r w:rsidR="00EC393B" w:rsidRPr="0096007B">
              <w:rPr>
                <w:rFonts w:ascii="Arial" w:hAnsi="Arial" w:cs="Arial"/>
                <w:color w:val="000000"/>
                <w:lang w:val="fr-BE"/>
              </w:rPr>
              <w:t>ans le cadre de l’initiation d’une thérapie</w:t>
            </w:r>
            <w:r w:rsidR="0096007B">
              <w:rPr>
                <w:rFonts w:ascii="Arial" w:hAnsi="Arial" w:cs="Arial"/>
                <w:color w:val="000000"/>
                <w:lang w:val="fr-BE"/>
              </w:rPr>
              <w:t xml:space="preserve"> </w:t>
            </w:r>
            <w:r w:rsidR="00EC393B" w:rsidRPr="0096007B">
              <w:rPr>
                <w:rFonts w:ascii="Arial" w:hAnsi="Arial" w:cs="Arial"/>
                <w:color w:val="000000"/>
                <w:lang w:val="fr-BE"/>
              </w:rPr>
              <w:t>médicamenteuse pour  le traitement d’une maladie chronique ou lors d’une modification de classe pharmacologique dans le cadre d’une affection chronique existante ou</w:t>
            </w:r>
          </w:p>
          <w:p w14:paraId="2EFF2FE6" w14:textId="77777777" w:rsidR="00EC393B" w:rsidRPr="0096007B" w:rsidRDefault="00AE7DEC" w:rsidP="0096007B">
            <w:pPr>
              <w:pStyle w:val="Paragraphedeliste"/>
              <w:numPr>
                <w:ilvl w:val="0"/>
                <w:numId w:val="32"/>
              </w:numPr>
              <w:tabs>
                <w:tab w:val="left" w:pos="2809"/>
              </w:tabs>
              <w:suppressAutoHyphens/>
              <w:ind w:left="352" w:hanging="352"/>
              <w:jc w:val="both"/>
              <w:rPr>
                <w:rFonts w:ascii="Arial" w:hAnsi="Arial" w:cs="Arial"/>
                <w:color w:val="000000"/>
                <w:lang w:val="fr-BE"/>
              </w:rPr>
            </w:pPr>
            <w:r w:rsidRPr="0096007B">
              <w:rPr>
                <w:rFonts w:ascii="Arial" w:hAnsi="Arial" w:cs="Arial"/>
                <w:color w:val="000000"/>
                <w:lang w:val="fr-BE"/>
              </w:rPr>
              <w:t>l</w:t>
            </w:r>
            <w:r w:rsidR="00EC393B" w:rsidRPr="0096007B">
              <w:rPr>
                <w:rFonts w:ascii="Arial" w:hAnsi="Arial" w:cs="Arial"/>
                <w:color w:val="000000"/>
                <w:lang w:val="fr-BE"/>
              </w:rPr>
              <w:t>orsque le patient a besoin d’un accompagnement complémentaire personnalisé au cours du traitement de sa maladie chronique ou</w:t>
            </w:r>
          </w:p>
          <w:p w14:paraId="0EDD5809" w14:textId="77777777" w:rsidR="006A74C5" w:rsidRPr="0096007B" w:rsidRDefault="00AE7DEC" w:rsidP="0096007B">
            <w:pPr>
              <w:pStyle w:val="Paragraphedeliste"/>
              <w:numPr>
                <w:ilvl w:val="0"/>
                <w:numId w:val="32"/>
              </w:numPr>
              <w:tabs>
                <w:tab w:val="left" w:pos="2809"/>
              </w:tabs>
              <w:suppressAutoHyphens/>
              <w:ind w:left="352" w:hanging="352"/>
              <w:jc w:val="both"/>
              <w:rPr>
                <w:rFonts w:ascii="Arial" w:hAnsi="Arial" w:cs="Arial"/>
                <w:color w:val="000000"/>
                <w:lang w:val="fr-BE"/>
              </w:rPr>
            </w:pPr>
            <w:r w:rsidRPr="0096007B">
              <w:rPr>
                <w:rFonts w:ascii="Arial" w:hAnsi="Arial" w:cs="Arial"/>
                <w:color w:val="000000"/>
                <w:lang w:val="fr-BE"/>
              </w:rPr>
              <w:t>l</w:t>
            </w:r>
            <w:r w:rsidR="00EC393B" w:rsidRPr="0096007B">
              <w:rPr>
                <w:rFonts w:ascii="Arial" w:hAnsi="Arial" w:cs="Arial"/>
                <w:color w:val="000000"/>
                <w:lang w:val="fr-BE"/>
              </w:rPr>
              <w:t>ors d’une dispensation d’un médicament en aigu qui nécessite un accompagnement particulier ;</w:t>
            </w:r>
          </w:p>
        </w:tc>
      </w:tr>
      <w:tr w:rsidR="000A329F" w:rsidRPr="00C12998" w14:paraId="47ED1845" w14:textId="77777777" w:rsidTr="00F22339">
        <w:tc>
          <w:tcPr>
            <w:tcW w:w="5387" w:type="dxa"/>
          </w:tcPr>
          <w:p w14:paraId="41BFB137" w14:textId="77777777" w:rsidR="000A329F" w:rsidRPr="0015557E" w:rsidRDefault="000A329F" w:rsidP="002A1F86">
            <w:pPr>
              <w:tabs>
                <w:tab w:val="left" w:pos="0"/>
                <w:tab w:val="left" w:pos="2809"/>
              </w:tabs>
              <w:suppressAutoHyphens/>
              <w:jc w:val="both"/>
              <w:rPr>
                <w:rFonts w:ascii="Arial" w:hAnsi="Arial" w:cs="Arial"/>
                <w:color w:val="000000"/>
                <w:lang w:val="fr-BE"/>
              </w:rPr>
            </w:pPr>
          </w:p>
        </w:tc>
        <w:tc>
          <w:tcPr>
            <w:tcW w:w="5387" w:type="dxa"/>
          </w:tcPr>
          <w:p w14:paraId="71FE681D" w14:textId="77777777" w:rsidR="000A329F" w:rsidRPr="008F69F8" w:rsidRDefault="000A329F" w:rsidP="002A1F86">
            <w:pPr>
              <w:tabs>
                <w:tab w:val="left" w:pos="0"/>
                <w:tab w:val="left" w:pos="2809"/>
              </w:tabs>
              <w:suppressAutoHyphens/>
              <w:jc w:val="both"/>
              <w:rPr>
                <w:rFonts w:ascii="Arial" w:hAnsi="Arial" w:cs="Arial"/>
                <w:color w:val="000000"/>
                <w:lang w:val="fr-BE"/>
              </w:rPr>
            </w:pPr>
          </w:p>
        </w:tc>
      </w:tr>
      <w:tr w:rsidR="006A74C5" w:rsidRPr="002161C1" w14:paraId="3F06F44F" w14:textId="77777777" w:rsidTr="00F22339">
        <w:tc>
          <w:tcPr>
            <w:tcW w:w="5387" w:type="dxa"/>
          </w:tcPr>
          <w:p w14:paraId="6DC8F318" w14:textId="77777777" w:rsidR="006A74C5" w:rsidRPr="0015557E" w:rsidRDefault="006A74C5" w:rsidP="002A1F86">
            <w:pPr>
              <w:tabs>
                <w:tab w:val="left" w:pos="0"/>
                <w:tab w:val="left" w:pos="2809"/>
              </w:tabs>
              <w:suppressAutoHyphens/>
              <w:jc w:val="both"/>
              <w:rPr>
                <w:rFonts w:ascii="Arial" w:hAnsi="Arial" w:cs="Arial"/>
                <w:color w:val="000000"/>
                <w:lang w:val="nl-BE"/>
              </w:rPr>
            </w:pPr>
            <w:r w:rsidRPr="0015557E">
              <w:rPr>
                <w:rFonts w:ascii="Arial" w:hAnsi="Arial" w:cs="Arial"/>
                <w:color w:val="000000"/>
                <w:lang w:val="nl-BE"/>
              </w:rPr>
              <w:t>5° "</w:t>
            </w:r>
            <w:r w:rsidR="009D5D88" w:rsidRPr="0015557E">
              <w:rPr>
                <w:rFonts w:ascii="Arial" w:hAnsi="Arial" w:cs="Arial"/>
                <w:color w:val="000000"/>
                <w:lang w:val="nl-BE"/>
              </w:rPr>
              <w:t>a</w:t>
            </w:r>
            <w:r w:rsidRPr="0015557E">
              <w:rPr>
                <w:rFonts w:ascii="Arial" w:hAnsi="Arial" w:cs="Arial"/>
                <w:color w:val="000000"/>
                <w:lang w:val="nl-BE"/>
              </w:rPr>
              <w:t xml:space="preserve">potheker van een voor het publiek opengestelde apotheek", hierna "apotheker" genaamd: ieder persoon die houder is van het diploma van apotheker en die gemachtigd is om de artsenijbereidkunde uit te oefenen in de zin van artikel </w:t>
            </w:r>
            <w:r w:rsidR="00481E40" w:rsidRPr="0015557E">
              <w:rPr>
                <w:rFonts w:ascii="Arial" w:hAnsi="Arial" w:cs="Arial"/>
                <w:color w:val="000000"/>
                <w:lang w:val="nl-BE"/>
              </w:rPr>
              <w:t xml:space="preserve">6 van de gecoördineerde wet van 10 mei 2015 </w:t>
            </w:r>
            <w:r w:rsidRPr="0015557E">
              <w:rPr>
                <w:rFonts w:ascii="Arial" w:hAnsi="Arial" w:cs="Arial"/>
                <w:color w:val="000000"/>
                <w:lang w:val="nl-BE"/>
              </w:rPr>
              <w:t>betreffende de uitoefening van de gezondheidszorgberoepen, en die zijn beroep daadwerkelijk uitoefent in een apotheek opengesteld voor het publiek of in een andere instelling waar een apotheek toegelaten is, met uitzondering van een ziekenhuisapotheek, hetzij als apotheker-titularis, hetzij als adjunct-apotheker, hetzij als apotheker-vervanger;</w:t>
            </w:r>
          </w:p>
        </w:tc>
        <w:tc>
          <w:tcPr>
            <w:tcW w:w="5387" w:type="dxa"/>
          </w:tcPr>
          <w:p w14:paraId="5122CC5D" w14:textId="77777777" w:rsidR="006A74C5" w:rsidRPr="002161C1" w:rsidRDefault="006A74C5" w:rsidP="002A1F86">
            <w:pPr>
              <w:tabs>
                <w:tab w:val="left" w:pos="0"/>
                <w:tab w:val="left" w:pos="2809"/>
              </w:tabs>
              <w:suppressAutoHyphens/>
              <w:jc w:val="both"/>
              <w:rPr>
                <w:rFonts w:ascii="Arial" w:hAnsi="Arial" w:cs="Arial"/>
                <w:color w:val="000000"/>
                <w:lang w:val="fr-BE"/>
              </w:rPr>
            </w:pPr>
            <w:r w:rsidRPr="002161C1">
              <w:rPr>
                <w:rFonts w:ascii="Arial" w:hAnsi="Arial" w:cs="Arial"/>
                <w:color w:val="000000"/>
                <w:lang w:val="fr-BE"/>
              </w:rPr>
              <w:t xml:space="preserve">5° “pharmacien d’officine pharmaceutique ouverte au public”, ci-après dénommé « pharmacien » : toute personne porteuse du diplôme de pharmacien et qui est habilitée à exercer l’art pharmaceutique aux termes de l'article </w:t>
            </w:r>
            <w:r w:rsidR="00454A26" w:rsidRPr="002161C1">
              <w:rPr>
                <w:rFonts w:ascii="Arial" w:hAnsi="Arial" w:cs="Arial"/>
                <w:color w:val="000000"/>
                <w:lang w:val="fr-BE"/>
              </w:rPr>
              <w:t xml:space="preserve">6 de la loi du 10 mai 2015 coordonnée relative </w:t>
            </w:r>
            <w:r w:rsidRPr="002161C1">
              <w:rPr>
                <w:rFonts w:ascii="Arial" w:hAnsi="Arial" w:cs="Arial"/>
                <w:color w:val="000000"/>
                <w:lang w:val="fr-BE"/>
              </w:rPr>
              <w:t>à l’exercice des professions des soins de santé, et qui exerce effectivement sa profession dans une pharmacie ouverte au public ou dans une autre institution où une pharmacie est autorisée, à l'exception d'une pharmacie hospitalière, soit comme pharmacien titulaire, soit comme pharmacien adjoint, soit comme pharmacien-remplaçant ;</w:t>
            </w:r>
          </w:p>
        </w:tc>
      </w:tr>
      <w:tr w:rsidR="006A74C5" w:rsidRPr="002161C1" w14:paraId="3E021F78" w14:textId="77777777" w:rsidTr="00F22339">
        <w:tc>
          <w:tcPr>
            <w:tcW w:w="5387" w:type="dxa"/>
          </w:tcPr>
          <w:p w14:paraId="08D76374" w14:textId="77777777" w:rsidR="006A74C5" w:rsidRPr="002161C1" w:rsidRDefault="006A74C5" w:rsidP="002A1F86">
            <w:pPr>
              <w:tabs>
                <w:tab w:val="left" w:pos="0"/>
                <w:tab w:val="left" w:pos="2809"/>
              </w:tabs>
              <w:suppressAutoHyphens/>
              <w:jc w:val="both"/>
              <w:rPr>
                <w:rFonts w:ascii="Arial" w:hAnsi="Arial" w:cs="Arial"/>
                <w:color w:val="000000"/>
                <w:lang w:val="fr-BE"/>
              </w:rPr>
            </w:pPr>
          </w:p>
        </w:tc>
        <w:tc>
          <w:tcPr>
            <w:tcW w:w="5387" w:type="dxa"/>
          </w:tcPr>
          <w:p w14:paraId="4A0F0A12" w14:textId="77777777" w:rsidR="006A74C5" w:rsidRPr="002161C1" w:rsidRDefault="006A74C5" w:rsidP="002A1F86">
            <w:pPr>
              <w:tabs>
                <w:tab w:val="left" w:pos="0"/>
                <w:tab w:val="left" w:pos="2809"/>
              </w:tabs>
              <w:suppressAutoHyphens/>
              <w:jc w:val="both"/>
              <w:rPr>
                <w:rFonts w:ascii="Arial" w:hAnsi="Arial" w:cs="Arial"/>
                <w:color w:val="000000"/>
                <w:lang w:val="fr-BE"/>
              </w:rPr>
            </w:pPr>
          </w:p>
        </w:tc>
      </w:tr>
      <w:tr w:rsidR="006A74C5" w:rsidRPr="006A74C5" w14:paraId="7614934B" w14:textId="77777777" w:rsidTr="00F22339">
        <w:tc>
          <w:tcPr>
            <w:tcW w:w="5387" w:type="dxa"/>
          </w:tcPr>
          <w:p w14:paraId="727E0AA5" w14:textId="77777777" w:rsidR="006A74C5" w:rsidRPr="002161C1" w:rsidRDefault="006A74C5" w:rsidP="002A1F86">
            <w:pPr>
              <w:tabs>
                <w:tab w:val="left" w:pos="0"/>
                <w:tab w:val="left" w:pos="2809"/>
              </w:tabs>
              <w:suppressAutoHyphens/>
              <w:jc w:val="both"/>
              <w:rPr>
                <w:rFonts w:ascii="Arial" w:hAnsi="Arial" w:cs="Arial"/>
                <w:color w:val="000000"/>
                <w:lang w:val="nl-BE"/>
              </w:rPr>
            </w:pPr>
            <w:r w:rsidRPr="002161C1">
              <w:rPr>
                <w:rFonts w:ascii="Arial" w:hAnsi="Arial" w:cs="Arial"/>
                <w:color w:val="000000"/>
                <w:lang w:val="nl-BE"/>
              </w:rPr>
              <w:t xml:space="preserve">6° </w:t>
            </w:r>
            <w:r w:rsidR="00481E40" w:rsidRPr="002161C1">
              <w:rPr>
                <w:rFonts w:ascii="Arial" w:hAnsi="Arial" w:cs="Arial"/>
                <w:color w:val="000000"/>
                <w:lang w:val="nl-BE"/>
              </w:rPr>
              <w:t>“</w:t>
            </w:r>
            <w:r w:rsidRPr="002161C1">
              <w:rPr>
                <w:rFonts w:ascii="Arial" w:hAnsi="Arial" w:cs="Arial"/>
                <w:color w:val="000000"/>
                <w:lang w:val="nl-BE"/>
              </w:rPr>
              <w:t>de farmaceutische zorg</w:t>
            </w:r>
            <w:r w:rsidR="00481E40" w:rsidRPr="002161C1">
              <w:rPr>
                <w:rFonts w:ascii="Arial" w:hAnsi="Arial" w:cs="Arial"/>
                <w:color w:val="000000"/>
                <w:lang w:val="nl-BE"/>
              </w:rPr>
              <w:t>”</w:t>
            </w:r>
            <w:r w:rsidRPr="002161C1">
              <w:rPr>
                <w:rFonts w:ascii="Arial" w:hAnsi="Arial" w:cs="Arial"/>
                <w:color w:val="000000"/>
                <w:lang w:val="nl-BE"/>
              </w:rPr>
              <w:t xml:space="preserve">: de farmaceutische handelingen in het kader van de uitoefening van de functie van de apotheker bedoeld in artikel </w:t>
            </w:r>
            <w:r w:rsidR="00481E40" w:rsidRPr="002161C1">
              <w:rPr>
                <w:rFonts w:ascii="Arial" w:hAnsi="Arial" w:cs="Arial"/>
                <w:color w:val="000000"/>
                <w:lang w:val="nl-BE"/>
              </w:rPr>
              <w:t>7 van de bovenvermelde gecoördineerde wet van 10 mei 2015</w:t>
            </w:r>
            <w:r w:rsidRPr="002161C1">
              <w:rPr>
                <w:rFonts w:ascii="Arial" w:hAnsi="Arial" w:cs="Arial"/>
                <w:color w:val="000000"/>
                <w:lang w:val="nl-BE"/>
              </w:rPr>
              <w:t xml:space="preserve"> en waarvan de principes en richtsnoeren zijn opgenomen in punt 7 van bijlage I bij het koninklijk besluit van 21 januari 2009 houdende onderrichtingen voor de apothekers</w:t>
            </w:r>
            <w:r w:rsidR="00F054E5" w:rsidRPr="002161C1">
              <w:rPr>
                <w:rFonts w:ascii="Arial" w:hAnsi="Arial" w:cs="Arial"/>
                <w:color w:val="000000"/>
                <w:lang w:val="nl-BE"/>
              </w:rPr>
              <w:t>;</w:t>
            </w:r>
          </w:p>
        </w:tc>
        <w:tc>
          <w:tcPr>
            <w:tcW w:w="5387" w:type="dxa"/>
          </w:tcPr>
          <w:p w14:paraId="686B43CA" w14:textId="77777777" w:rsidR="006A74C5" w:rsidRPr="008F69F8" w:rsidRDefault="006A74C5" w:rsidP="00237F4C">
            <w:pPr>
              <w:tabs>
                <w:tab w:val="left" w:pos="0"/>
                <w:tab w:val="left" w:pos="2809"/>
              </w:tabs>
              <w:suppressAutoHyphens/>
              <w:jc w:val="both"/>
              <w:rPr>
                <w:rFonts w:ascii="Arial" w:hAnsi="Arial" w:cs="Arial"/>
                <w:color w:val="000000"/>
                <w:lang w:val="fr-BE"/>
              </w:rPr>
            </w:pPr>
            <w:r w:rsidRPr="002161C1">
              <w:rPr>
                <w:rFonts w:ascii="Arial" w:hAnsi="Arial" w:cs="Arial"/>
                <w:color w:val="000000"/>
                <w:lang w:val="fr-BE"/>
              </w:rPr>
              <w:t xml:space="preserve">6° « les soins pharmaceutiques » : les actes pharmaceutiques dans le cadre de la fonction du pharmacien visés à l’article </w:t>
            </w:r>
            <w:r w:rsidR="00454A26" w:rsidRPr="002161C1">
              <w:rPr>
                <w:rFonts w:ascii="Arial" w:hAnsi="Arial" w:cs="Arial"/>
                <w:color w:val="000000"/>
                <w:lang w:val="fr-BE"/>
              </w:rPr>
              <w:t xml:space="preserve">7 de la loi du 10 mai 2015 susmentionnée </w:t>
            </w:r>
            <w:r w:rsidRPr="002161C1">
              <w:rPr>
                <w:rFonts w:ascii="Arial" w:hAnsi="Arial" w:cs="Arial"/>
                <w:color w:val="000000"/>
                <w:lang w:val="fr-BE"/>
              </w:rPr>
              <w:t>et dont les principes et lignes directrices sont repris au point 7 de l’annexe I de l’arrêté royal du 21 janvier 2009 portant instructions pour les pharmaciens</w:t>
            </w:r>
            <w:r w:rsidR="00F054E5" w:rsidRPr="002161C1">
              <w:rPr>
                <w:rFonts w:ascii="Arial" w:hAnsi="Arial" w:cs="Arial"/>
                <w:color w:val="000000"/>
                <w:lang w:val="fr-BE"/>
              </w:rPr>
              <w:t> ;</w:t>
            </w:r>
          </w:p>
        </w:tc>
      </w:tr>
      <w:tr w:rsidR="00194241" w:rsidRPr="006A74C5" w14:paraId="3D9A6121" w14:textId="77777777" w:rsidTr="00F22339">
        <w:tc>
          <w:tcPr>
            <w:tcW w:w="5387" w:type="dxa"/>
          </w:tcPr>
          <w:p w14:paraId="0E638834" w14:textId="77777777" w:rsidR="00194241" w:rsidRPr="008F69F8" w:rsidRDefault="00194241" w:rsidP="002A1F86">
            <w:pPr>
              <w:tabs>
                <w:tab w:val="left" w:pos="0"/>
                <w:tab w:val="left" w:pos="2809"/>
              </w:tabs>
              <w:suppressAutoHyphens/>
              <w:jc w:val="both"/>
              <w:rPr>
                <w:rFonts w:ascii="Arial" w:hAnsi="Arial" w:cs="Arial"/>
                <w:color w:val="000000"/>
                <w:lang w:val="fr-BE"/>
              </w:rPr>
            </w:pPr>
          </w:p>
        </w:tc>
        <w:tc>
          <w:tcPr>
            <w:tcW w:w="5387" w:type="dxa"/>
          </w:tcPr>
          <w:p w14:paraId="1B6CF25C" w14:textId="77777777" w:rsidR="00194241" w:rsidRPr="008F69F8" w:rsidRDefault="00194241" w:rsidP="002A1F86">
            <w:pPr>
              <w:tabs>
                <w:tab w:val="left" w:pos="0"/>
                <w:tab w:val="left" w:pos="2809"/>
              </w:tabs>
              <w:suppressAutoHyphens/>
              <w:ind w:hanging="34"/>
              <w:jc w:val="both"/>
              <w:rPr>
                <w:rFonts w:ascii="Arial" w:hAnsi="Arial" w:cs="Arial"/>
                <w:color w:val="000000"/>
                <w:lang w:val="fr-BE"/>
              </w:rPr>
            </w:pPr>
          </w:p>
        </w:tc>
      </w:tr>
      <w:tr w:rsidR="00194241" w:rsidRPr="00A8215D" w14:paraId="4432CE7B" w14:textId="77777777" w:rsidTr="00F22339">
        <w:tc>
          <w:tcPr>
            <w:tcW w:w="5387" w:type="dxa"/>
          </w:tcPr>
          <w:p w14:paraId="668D012F" w14:textId="71F941FE" w:rsidR="00194241" w:rsidRPr="009F4D86" w:rsidRDefault="00F054E5" w:rsidP="00237F4C">
            <w:pPr>
              <w:tabs>
                <w:tab w:val="left" w:pos="0"/>
                <w:tab w:val="left" w:pos="2809"/>
              </w:tabs>
              <w:suppressAutoHyphens/>
              <w:jc w:val="both"/>
              <w:rPr>
                <w:rFonts w:ascii="Arial" w:hAnsi="Arial" w:cs="Arial"/>
                <w:color w:val="000000"/>
                <w:lang w:val="nl-BE"/>
              </w:rPr>
            </w:pPr>
            <w:r w:rsidRPr="009F4D86">
              <w:rPr>
                <w:rFonts w:ascii="Arial" w:hAnsi="Arial" w:cs="Arial"/>
                <w:color w:val="000000"/>
                <w:lang w:val="nl-BE"/>
              </w:rPr>
              <w:t xml:space="preserve">7° </w:t>
            </w:r>
            <w:r w:rsidR="00481E40" w:rsidRPr="009F4D86">
              <w:rPr>
                <w:rFonts w:ascii="Arial" w:hAnsi="Arial" w:cs="Arial"/>
                <w:color w:val="000000"/>
                <w:lang w:val="nl-BE"/>
              </w:rPr>
              <w:t>“</w:t>
            </w:r>
            <w:r w:rsidRPr="009F4D86">
              <w:rPr>
                <w:rFonts w:ascii="Arial" w:hAnsi="Arial" w:cs="Arial"/>
                <w:color w:val="000000"/>
                <w:lang w:val="nl-BE"/>
              </w:rPr>
              <w:t xml:space="preserve">het koninklijk besluit van </w:t>
            </w:r>
            <w:r w:rsidR="00237F4C" w:rsidRPr="009F4D86">
              <w:rPr>
                <w:rFonts w:ascii="Arial" w:hAnsi="Arial" w:cs="Arial"/>
                <w:color w:val="000000"/>
                <w:lang w:val="nl-BE"/>
              </w:rPr>
              <w:t>1 februari 2018</w:t>
            </w:r>
            <w:r w:rsidRPr="009F4D86">
              <w:rPr>
                <w:rFonts w:ascii="Arial" w:hAnsi="Arial" w:cs="Arial"/>
                <w:color w:val="000000"/>
                <w:lang w:val="nl-BE"/>
              </w:rPr>
              <w:t xml:space="preserve">”, het koninklijk besluit van </w:t>
            </w:r>
            <w:r w:rsidR="003B5C45" w:rsidRPr="009F4D86">
              <w:rPr>
                <w:rFonts w:ascii="Arial" w:hAnsi="Arial" w:cs="Arial"/>
                <w:color w:val="000000"/>
                <w:lang w:val="nl-BE"/>
              </w:rPr>
              <w:t xml:space="preserve">1 </w:t>
            </w:r>
            <w:r w:rsidR="00237F4C" w:rsidRPr="009F4D86">
              <w:rPr>
                <w:rFonts w:ascii="Arial" w:hAnsi="Arial" w:cs="Arial"/>
                <w:color w:val="000000"/>
                <w:lang w:val="nl-BE"/>
              </w:rPr>
              <w:t>februari 2018</w:t>
            </w:r>
            <w:r w:rsidRPr="009F4D86">
              <w:rPr>
                <w:rFonts w:ascii="Arial" w:hAnsi="Arial" w:cs="Arial"/>
                <w:color w:val="000000"/>
                <w:lang w:val="nl-BE"/>
              </w:rPr>
              <w:t xml:space="preserve"> tot vaststelling van de procedures, termijnen en voorwaarden inzake de </w:t>
            </w:r>
            <w:r w:rsidRPr="009F4D86">
              <w:rPr>
                <w:rFonts w:ascii="Arial" w:hAnsi="Arial" w:cs="Arial"/>
                <w:color w:val="000000"/>
                <w:lang w:val="nl-BE"/>
              </w:rPr>
              <w:lastRenderedPageBreak/>
              <w:t>tegemoetkoming van de verplichte verzekering voor geneeskundige verzorging en uitkering en uitkeringen in de kosten van farmaceutische specialiteiten</w:t>
            </w:r>
            <w:r w:rsidR="00481E40" w:rsidRPr="009F4D86">
              <w:rPr>
                <w:rFonts w:ascii="Arial" w:hAnsi="Arial" w:cs="Arial"/>
                <w:color w:val="000000"/>
                <w:lang w:val="nl-BE"/>
              </w:rPr>
              <w:t>;</w:t>
            </w:r>
          </w:p>
        </w:tc>
        <w:tc>
          <w:tcPr>
            <w:tcW w:w="5387" w:type="dxa"/>
          </w:tcPr>
          <w:p w14:paraId="4A734BE1" w14:textId="4BBB6B2E" w:rsidR="00194241" w:rsidRPr="009F4D86" w:rsidRDefault="00F054E5" w:rsidP="00A8215D">
            <w:pPr>
              <w:tabs>
                <w:tab w:val="left" w:pos="0"/>
                <w:tab w:val="left" w:pos="2809"/>
              </w:tabs>
              <w:suppressAutoHyphens/>
              <w:ind w:hanging="34"/>
              <w:jc w:val="both"/>
              <w:rPr>
                <w:rFonts w:ascii="Arial" w:hAnsi="Arial" w:cs="Arial"/>
                <w:color w:val="000000"/>
                <w:lang w:val="fr-BE"/>
              </w:rPr>
            </w:pPr>
            <w:r w:rsidRPr="009F4D86">
              <w:rPr>
                <w:rFonts w:ascii="Arial" w:hAnsi="Arial" w:cs="Arial"/>
                <w:color w:val="000000"/>
                <w:lang w:val="fr-BE"/>
              </w:rPr>
              <w:lastRenderedPageBreak/>
              <w:t xml:space="preserve">7° « l’arrêté royal du </w:t>
            </w:r>
            <w:r w:rsidR="00237F4C" w:rsidRPr="009F4D86">
              <w:rPr>
                <w:rFonts w:ascii="Arial" w:hAnsi="Arial" w:cs="Arial"/>
                <w:color w:val="000000"/>
                <w:lang w:val="fr-BE"/>
              </w:rPr>
              <w:t>1</w:t>
            </w:r>
            <w:r w:rsidR="00237F4C" w:rsidRPr="009F4D86">
              <w:rPr>
                <w:rFonts w:ascii="Arial" w:hAnsi="Arial" w:cs="Arial"/>
                <w:color w:val="000000"/>
                <w:vertAlign w:val="superscript"/>
                <w:lang w:val="fr-BE"/>
              </w:rPr>
              <w:t>er</w:t>
            </w:r>
            <w:r w:rsidR="00237F4C" w:rsidRPr="009F4D86">
              <w:rPr>
                <w:rFonts w:ascii="Arial" w:hAnsi="Arial" w:cs="Arial"/>
                <w:color w:val="000000"/>
                <w:lang w:val="fr-BE"/>
              </w:rPr>
              <w:t xml:space="preserve"> février 2018</w:t>
            </w:r>
            <w:r w:rsidRPr="009F4D86">
              <w:rPr>
                <w:rFonts w:ascii="Arial" w:hAnsi="Arial" w:cs="Arial"/>
                <w:color w:val="000000"/>
                <w:lang w:val="fr-BE"/>
              </w:rPr>
              <w:t> »</w:t>
            </w:r>
            <w:r w:rsidR="00A8215D" w:rsidRPr="009F4D86">
              <w:rPr>
                <w:rFonts w:ascii="Arial" w:hAnsi="Arial" w:cs="Arial"/>
                <w:color w:val="000000"/>
                <w:lang w:val="fr-BE"/>
              </w:rPr>
              <w:t>,</w:t>
            </w:r>
            <w:r w:rsidRPr="009F4D86">
              <w:rPr>
                <w:rFonts w:ascii="Arial" w:hAnsi="Arial" w:cs="Arial"/>
                <w:color w:val="000000"/>
                <w:lang w:val="fr-BE"/>
              </w:rPr>
              <w:t xml:space="preserve"> l’arrêté royal du </w:t>
            </w:r>
            <w:r w:rsidR="00237F4C" w:rsidRPr="009F4D86">
              <w:rPr>
                <w:rFonts w:ascii="Arial" w:hAnsi="Arial" w:cs="Arial"/>
                <w:color w:val="000000"/>
                <w:lang w:val="fr-BE"/>
              </w:rPr>
              <w:t>1</w:t>
            </w:r>
            <w:r w:rsidR="00237F4C" w:rsidRPr="009F4D86">
              <w:rPr>
                <w:rFonts w:ascii="Arial" w:hAnsi="Arial" w:cs="Arial"/>
                <w:color w:val="000000"/>
                <w:vertAlign w:val="superscript"/>
                <w:lang w:val="fr-BE"/>
              </w:rPr>
              <w:t>er</w:t>
            </w:r>
            <w:r w:rsidR="00237F4C" w:rsidRPr="009F4D86">
              <w:rPr>
                <w:rFonts w:ascii="Arial" w:hAnsi="Arial" w:cs="Arial"/>
                <w:color w:val="000000"/>
                <w:lang w:val="fr-BE"/>
              </w:rPr>
              <w:t xml:space="preserve"> février 2018</w:t>
            </w:r>
            <w:r w:rsidRPr="009F4D86">
              <w:rPr>
                <w:rFonts w:ascii="Arial" w:hAnsi="Arial" w:cs="Arial"/>
                <w:color w:val="000000"/>
                <w:lang w:val="fr-BE"/>
              </w:rPr>
              <w:t xml:space="preserve"> fixant les procédures, délais et conditions en matière d’intervention de l’assurance obligatoire soins de </w:t>
            </w:r>
            <w:r w:rsidRPr="009F4D86">
              <w:rPr>
                <w:rFonts w:ascii="Arial" w:hAnsi="Arial" w:cs="Arial"/>
                <w:color w:val="000000"/>
                <w:lang w:val="fr-BE"/>
              </w:rPr>
              <w:lastRenderedPageBreak/>
              <w:t>santé et indemnités dans le coût des spécialités pharmaceutiques</w:t>
            </w:r>
            <w:r w:rsidR="009D5D88" w:rsidRPr="009F4D86">
              <w:rPr>
                <w:rFonts w:ascii="Arial" w:hAnsi="Arial" w:cs="Arial"/>
                <w:color w:val="000000"/>
                <w:lang w:val="fr-BE"/>
              </w:rPr>
              <w:t> ;</w:t>
            </w:r>
          </w:p>
        </w:tc>
      </w:tr>
      <w:tr w:rsidR="00481E40" w:rsidRPr="00454A26" w14:paraId="5BC228E3" w14:textId="77777777" w:rsidTr="00F22339">
        <w:tc>
          <w:tcPr>
            <w:tcW w:w="5387" w:type="dxa"/>
          </w:tcPr>
          <w:p w14:paraId="6C28130E" w14:textId="77777777" w:rsidR="00454A26" w:rsidRPr="008F69F8" w:rsidRDefault="00454A26" w:rsidP="002A1F86">
            <w:pPr>
              <w:tabs>
                <w:tab w:val="left" w:pos="0"/>
                <w:tab w:val="left" w:pos="2809"/>
              </w:tabs>
              <w:suppressAutoHyphens/>
              <w:jc w:val="both"/>
              <w:rPr>
                <w:rFonts w:ascii="Arial" w:hAnsi="Arial" w:cs="Arial"/>
                <w:color w:val="000000"/>
                <w:lang w:val="fr-BE"/>
              </w:rPr>
            </w:pPr>
          </w:p>
        </w:tc>
        <w:tc>
          <w:tcPr>
            <w:tcW w:w="5387" w:type="dxa"/>
          </w:tcPr>
          <w:p w14:paraId="58700023" w14:textId="77777777" w:rsidR="00454A26" w:rsidRPr="008F69F8" w:rsidRDefault="00454A26" w:rsidP="002A1F86">
            <w:pPr>
              <w:tabs>
                <w:tab w:val="left" w:pos="0"/>
                <w:tab w:val="left" w:pos="2809"/>
              </w:tabs>
              <w:suppressAutoHyphens/>
              <w:ind w:hanging="34"/>
              <w:jc w:val="both"/>
              <w:rPr>
                <w:rFonts w:ascii="Arial" w:hAnsi="Arial" w:cs="Arial"/>
                <w:color w:val="000000"/>
                <w:lang w:val="fr-BE"/>
              </w:rPr>
            </w:pPr>
          </w:p>
        </w:tc>
      </w:tr>
      <w:tr w:rsidR="00454A26" w:rsidRPr="00454A26" w14:paraId="782CF293" w14:textId="77777777" w:rsidTr="00F22339">
        <w:tc>
          <w:tcPr>
            <w:tcW w:w="5387" w:type="dxa"/>
          </w:tcPr>
          <w:p w14:paraId="42A77511" w14:textId="75E26518" w:rsidR="00454A26" w:rsidRPr="002161C1" w:rsidRDefault="00481E40" w:rsidP="002A1F86">
            <w:pPr>
              <w:tabs>
                <w:tab w:val="left" w:pos="0"/>
                <w:tab w:val="left" w:pos="2809"/>
              </w:tabs>
              <w:suppressAutoHyphens/>
              <w:jc w:val="both"/>
              <w:rPr>
                <w:rFonts w:ascii="Arial" w:hAnsi="Arial" w:cs="Arial"/>
                <w:color w:val="000000"/>
                <w:lang w:val="nl-BE"/>
              </w:rPr>
            </w:pPr>
            <w:r w:rsidRPr="002161C1">
              <w:rPr>
                <w:rFonts w:ascii="Arial" w:hAnsi="Arial" w:cs="Arial"/>
                <w:color w:val="000000"/>
                <w:lang w:val="nl-BE"/>
              </w:rPr>
              <w:t>8° “prestatie “huisapotheker”: het correct en volledig opnemen van de rol, de opdrachten en de verantwoordelijkheden van de functie “huisapotheker” zoals beschreven in de voorwaarden vastgesteld door het Comité van de verzekering voor geneeskundige verzorging op voorstel van de Overeenkomstencommissie tussen de apothekers en de verzekeringsinstellingen</w:t>
            </w:r>
            <w:r w:rsidR="009F4D86">
              <w:rPr>
                <w:rFonts w:ascii="Arial" w:hAnsi="Arial" w:cs="Arial"/>
                <w:color w:val="000000"/>
                <w:lang w:val="nl-BE"/>
              </w:rPr>
              <w:t>;</w:t>
            </w:r>
          </w:p>
        </w:tc>
        <w:tc>
          <w:tcPr>
            <w:tcW w:w="5387" w:type="dxa"/>
          </w:tcPr>
          <w:p w14:paraId="2D42D688" w14:textId="002C9BCB" w:rsidR="00454A26" w:rsidRPr="008F69F8" w:rsidRDefault="00454A26" w:rsidP="005C1575">
            <w:pPr>
              <w:tabs>
                <w:tab w:val="left" w:pos="0"/>
                <w:tab w:val="left" w:pos="2809"/>
              </w:tabs>
              <w:suppressAutoHyphens/>
              <w:ind w:hanging="34"/>
              <w:jc w:val="both"/>
              <w:rPr>
                <w:rFonts w:ascii="Arial" w:hAnsi="Arial" w:cs="Arial"/>
                <w:color w:val="000000"/>
                <w:lang w:val="fr-BE"/>
              </w:rPr>
            </w:pPr>
            <w:r w:rsidRPr="002161C1">
              <w:rPr>
                <w:rFonts w:ascii="Arial" w:hAnsi="Arial" w:cs="Arial"/>
                <w:color w:val="000000"/>
                <w:lang w:val="fr-BE"/>
              </w:rPr>
              <w:t>8°« prestation « pharmacien de référence » : la prise en charge correcte et complète du rôle, des missions et des responsabilités de la fonction « pharmacien de référence » comme décrite par les conditions fixées par le Comité de l’Assurance des soins de santé sur proposition de la Commission de conventions entre les pharmaciens et les organismes assureurs</w:t>
            </w:r>
            <w:r w:rsidR="009F4D86">
              <w:rPr>
                <w:rFonts w:ascii="Arial" w:hAnsi="Arial" w:cs="Arial"/>
                <w:color w:val="000000"/>
                <w:lang w:val="fr-BE"/>
              </w:rPr>
              <w:t> ;</w:t>
            </w:r>
          </w:p>
        </w:tc>
      </w:tr>
      <w:tr w:rsidR="00F054E5" w:rsidRPr="00F054E5" w14:paraId="0F2F4FBC" w14:textId="77777777" w:rsidTr="00F22339">
        <w:tc>
          <w:tcPr>
            <w:tcW w:w="5387" w:type="dxa"/>
          </w:tcPr>
          <w:p w14:paraId="6F62E311" w14:textId="77777777" w:rsidR="00F054E5" w:rsidRPr="003A57BF" w:rsidRDefault="00F054E5" w:rsidP="002A1F86">
            <w:pPr>
              <w:tabs>
                <w:tab w:val="left" w:pos="0"/>
                <w:tab w:val="left" w:pos="2809"/>
              </w:tabs>
              <w:suppressAutoHyphens/>
              <w:jc w:val="both"/>
              <w:rPr>
                <w:rFonts w:ascii="Arial" w:hAnsi="Arial" w:cs="Arial"/>
                <w:lang w:val="fr-BE"/>
              </w:rPr>
            </w:pPr>
          </w:p>
        </w:tc>
        <w:tc>
          <w:tcPr>
            <w:tcW w:w="5387" w:type="dxa"/>
          </w:tcPr>
          <w:p w14:paraId="3FADF225" w14:textId="77777777" w:rsidR="00F054E5" w:rsidRPr="003A57BF" w:rsidRDefault="00F054E5" w:rsidP="002A1F86">
            <w:pPr>
              <w:tabs>
                <w:tab w:val="left" w:pos="0"/>
                <w:tab w:val="left" w:pos="2809"/>
              </w:tabs>
              <w:suppressAutoHyphens/>
              <w:ind w:hanging="34"/>
              <w:jc w:val="both"/>
              <w:rPr>
                <w:rFonts w:ascii="Arial" w:hAnsi="Arial" w:cs="Arial"/>
                <w:lang w:val="fr-BE"/>
              </w:rPr>
            </w:pPr>
          </w:p>
        </w:tc>
      </w:tr>
      <w:tr w:rsidR="009F4D86" w:rsidRPr="009F4D86" w14:paraId="4450F821" w14:textId="77777777" w:rsidTr="009F4D86">
        <w:tc>
          <w:tcPr>
            <w:tcW w:w="5387" w:type="dxa"/>
          </w:tcPr>
          <w:p w14:paraId="6F2C5B15" w14:textId="29D38583" w:rsidR="009F4D86" w:rsidRPr="003A57BF" w:rsidRDefault="009F4D86" w:rsidP="009F4D86">
            <w:pPr>
              <w:tabs>
                <w:tab w:val="left" w:pos="0"/>
                <w:tab w:val="left" w:pos="2809"/>
              </w:tabs>
              <w:suppressAutoHyphens/>
              <w:jc w:val="both"/>
              <w:rPr>
                <w:rFonts w:ascii="Arial" w:hAnsi="Arial" w:cs="Arial"/>
                <w:lang w:val="nl-NL"/>
              </w:rPr>
            </w:pPr>
            <w:r w:rsidRPr="003A57BF">
              <w:rPr>
                <w:rFonts w:ascii="Arial" w:hAnsi="Arial" w:cs="Arial"/>
                <w:lang w:val="nl-NL"/>
              </w:rPr>
              <w:t>9° “prestatie “Medicatienazicht”: het correct en volledig opnemen van de rol, de opdrachten en de verantwoordelijkheden met betrekking tot de médicatienazicht zoals beschreven in de voorwaarden vastgesteld door het Comité van de verzekering voor geneeskundige verzorging op voorstel van de Overeenkomstencommissie tussen de apothekers en de verzekeringsinstellingen”.</w:t>
            </w:r>
          </w:p>
        </w:tc>
        <w:tc>
          <w:tcPr>
            <w:tcW w:w="5387" w:type="dxa"/>
          </w:tcPr>
          <w:p w14:paraId="13AF3A01" w14:textId="6943301D" w:rsidR="009F4D86" w:rsidRPr="003A57BF" w:rsidRDefault="009F4D86" w:rsidP="009F4D86">
            <w:pPr>
              <w:tabs>
                <w:tab w:val="left" w:pos="0"/>
                <w:tab w:val="left" w:pos="2809"/>
              </w:tabs>
              <w:suppressAutoHyphens/>
              <w:ind w:hanging="34"/>
              <w:jc w:val="both"/>
              <w:rPr>
                <w:rFonts w:ascii="Arial" w:hAnsi="Arial" w:cs="Arial"/>
              </w:rPr>
            </w:pPr>
            <w:r w:rsidRPr="003A57BF">
              <w:rPr>
                <w:rFonts w:ascii="Arial" w:hAnsi="Arial" w:cs="Arial"/>
                <w:spacing w:val="-2"/>
              </w:rPr>
              <w:t xml:space="preserve">9° </w:t>
            </w:r>
            <w:r w:rsidRPr="003A57BF">
              <w:rPr>
                <w:rFonts w:ascii="Arial" w:hAnsi="Arial" w:cs="Arial"/>
                <w:lang w:val="fr-BE"/>
              </w:rPr>
              <w:t>« prestation « Revue de la médication » : la prise en charge correcte et complète du rôle, des missions et des responsabilités liés à la revue de la médication comme décrite par</w:t>
            </w:r>
            <w:r w:rsidRPr="003A57BF">
              <w:rPr>
                <w:rFonts w:ascii="Arial" w:hAnsi="Arial" w:cs="Arial"/>
                <w:spacing w:val="-2"/>
                <w:lang w:val="fr-BE"/>
              </w:rPr>
              <w:t xml:space="preserve"> les conditions fixées par le Comité de l’Assurance des soins de santé sur proposition de la Commission de conventions entre les pharmaciens et les organismes assureurs ».</w:t>
            </w:r>
          </w:p>
        </w:tc>
      </w:tr>
      <w:tr w:rsidR="009F4D86" w:rsidRPr="009F4D86" w14:paraId="2711283F" w14:textId="77777777" w:rsidTr="00F22339">
        <w:tc>
          <w:tcPr>
            <w:tcW w:w="5387" w:type="dxa"/>
          </w:tcPr>
          <w:p w14:paraId="77088F7E" w14:textId="77777777" w:rsidR="009F4D86" w:rsidRPr="009F4D86" w:rsidRDefault="009F4D86" w:rsidP="002A1F86">
            <w:pPr>
              <w:tabs>
                <w:tab w:val="left" w:pos="0"/>
                <w:tab w:val="left" w:pos="2809"/>
              </w:tabs>
              <w:suppressAutoHyphens/>
              <w:jc w:val="both"/>
              <w:rPr>
                <w:rFonts w:ascii="Arial" w:hAnsi="Arial" w:cs="Arial"/>
                <w:bCs/>
                <w:color w:val="000000"/>
              </w:rPr>
            </w:pPr>
          </w:p>
        </w:tc>
        <w:tc>
          <w:tcPr>
            <w:tcW w:w="5387" w:type="dxa"/>
          </w:tcPr>
          <w:p w14:paraId="1E75C4F2" w14:textId="77777777" w:rsidR="009F4D86" w:rsidRPr="009F4D86" w:rsidRDefault="009F4D86" w:rsidP="006B4614">
            <w:pPr>
              <w:tabs>
                <w:tab w:val="left" w:pos="0"/>
                <w:tab w:val="left" w:pos="2809"/>
              </w:tabs>
              <w:suppressAutoHyphens/>
              <w:ind w:hanging="34"/>
              <w:jc w:val="both"/>
              <w:rPr>
                <w:rFonts w:ascii="Arial" w:hAnsi="Arial" w:cs="Arial"/>
                <w:bCs/>
                <w:color w:val="000000"/>
              </w:rPr>
            </w:pPr>
          </w:p>
        </w:tc>
      </w:tr>
      <w:tr w:rsidR="009F4D86" w:rsidRPr="009F4D86" w14:paraId="0AD32B63" w14:textId="77777777" w:rsidTr="00F22339">
        <w:tc>
          <w:tcPr>
            <w:tcW w:w="5387" w:type="dxa"/>
          </w:tcPr>
          <w:p w14:paraId="01818483" w14:textId="77777777" w:rsidR="009F4D86" w:rsidRPr="009F4D86" w:rsidRDefault="009F4D86" w:rsidP="002A1F86">
            <w:pPr>
              <w:tabs>
                <w:tab w:val="left" w:pos="0"/>
                <w:tab w:val="left" w:pos="2809"/>
              </w:tabs>
              <w:suppressAutoHyphens/>
              <w:jc w:val="both"/>
              <w:rPr>
                <w:rFonts w:ascii="Arial" w:hAnsi="Arial" w:cs="Arial"/>
                <w:bCs/>
                <w:color w:val="000000"/>
              </w:rPr>
            </w:pPr>
          </w:p>
        </w:tc>
        <w:tc>
          <w:tcPr>
            <w:tcW w:w="5387" w:type="dxa"/>
          </w:tcPr>
          <w:p w14:paraId="60C5441E" w14:textId="77777777" w:rsidR="009F4D86" w:rsidRPr="009F4D86" w:rsidRDefault="009F4D86" w:rsidP="006B4614">
            <w:pPr>
              <w:tabs>
                <w:tab w:val="left" w:pos="0"/>
                <w:tab w:val="left" w:pos="2809"/>
              </w:tabs>
              <w:suppressAutoHyphens/>
              <w:ind w:hanging="34"/>
              <w:jc w:val="both"/>
              <w:rPr>
                <w:rFonts w:ascii="Arial" w:hAnsi="Arial" w:cs="Arial"/>
                <w:bCs/>
                <w:color w:val="000000"/>
              </w:rPr>
            </w:pPr>
          </w:p>
        </w:tc>
      </w:tr>
      <w:tr w:rsidR="00F054E5" w:rsidRPr="00F054E5" w14:paraId="642BE939" w14:textId="77777777" w:rsidTr="00F22339">
        <w:tc>
          <w:tcPr>
            <w:tcW w:w="5387" w:type="dxa"/>
          </w:tcPr>
          <w:p w14:paraId="25128E0E" w14:textId="77777777" w:rsidR="00F054E5" w:rsidRPr="008F69F8" w:rsidRDefault="00F054E5" w:rsidP="002A1F86">
            <w:pPr>
              <w:tabs>
                <w:tab w:val="left" w:pos="0"/>
                <w:tab w:val="left" w:pos="2809"/>
              </w:tabs>
              <w:suppressAutoHyphens/>
              <w:jc w:val="both"/>
              <w:rPr>
                <w:rFonts w:ascii="Arial" w:hAnsi="Arial" w:cs="Arial"/>
                <w:b/>
                <w:color w:val="000000"/>
                <w:lang w:val="nl-BE"/>
              </w:rPr>
            </w:pPr>
            <w:r w:rsidRPr="008F69F8">
              <w:rPr>
                <w:rFonts w:ascii="Arial" w:hAnsi="Arial" w:cs="Arial"/>
                <w:b/>
                <w:color w:val="000000"/>
                <w:lang w:val="nl-BE"/>
              </w:rPr>
              <w:t>Hoofdstuk I.- Honoraria voor de aflevering van een vergoedbare farmaceutische specialiteit in een voor het publiek opengestelde apotheek aan een rechthebbende die niet in een rust- en verzorgingstehuis of in een rusthuis verblijft en voor de aflevering van een vergoedbare farmaceutische specialiteit met een farmaceutische vorm anders dan « oraal-vast » in een voor het publiek opengestelde apotheek aan een rechthebbende die in een rust- en verzorgingstehuis of in een rusthuis verblijft.</w:t>
            </w:r>
          </w:p>
        </w:tc>
        <w:tc>
          <w:tcPr>
            <w:tcW w:w="5387" w:type="dxa"/>
          </w:tcPr>
          <w:p w14:paraId="53E06FC0" w14:textId="77777777" w:rsidR="00F054E5" w:rsidRPr="008F69F8" w:rsidRDefault="00F054E5" w:rsidP="006B4614">
            <w:pPr>
              <w:tabs>
                <w:tab w:val="left" w:pos="0"/>
                <w:tab w:val="left" w:pos="2809"/>
              </w:tabs>
              <w:suppressAutoHyphens/>
              <w:ind w:hanging="34"/>
              <w:jc w:val="both"/>
              <w:rPr>
                <w:rFonts w:ascii="Arial" w:hAnsi="Arial" w:cs="Arial"/>
                <w:b/>
                <w:color w:val="000000"/>
                <w:lang w:val="fr-BE"/>
              </w:rPr>
            </w:pPr>
            <w:r w:rsidRPr="008F69F8">
              <w:rPr>
                <w:rFonts w:ascii="Arial" w:hAnsi="Arial" w:cs="Arial"/>
                <w:b/>
                <w:color w:val="000000"/>
                <w:lang w:val="fr-BE"/>
              </w:rPr>
              <w:t>Chapitre I.- Honoraires pour la délivrance d’une spécialité pharmaceutique remboursable dans une officine ouverte au public à un bénéficiaire ne résidant pas en maison de repos et de soins ou en maison de repos pour personnes âgées et pour la délivrance d’une spécialité pharmaceutique remboursable ayant une forme pharmaceutique autre que « orale-solide » dans une officine ouverte au public à un bénéficiaire résidant en maison de repos et de soins ou en maison de repos pour personnes âgées.</w:t>
            </w:r>
          </w:p>
        </w:tc>
      </w:tr>
      <w:tr w:rsidR="00F054E5" w:rsidRPr="00F054E5" w14:paraId="0AC0C735" w14:textId="77777777" w:rsidTr="00F22339">
        <w:tc>
          <w:tcPr>
            <w:tcW w:w="5387" w:type="dxa"/>
          </w:tcPr>
          <w:p w14:paraId="039F0CB2" w14:textId="77777777" w:rsidR="00F054E5" w:rsidRPr="008F69F8" w:rsidRDefault="00F054E5" w:rsidP="002A1F86">
            <w:pPr>
              <w:tabs>
                <w:tab w:val="left" w:pos="0"/>
                <w:tab w:val="left" w:pos="2809"/>
              </w:tabs>
              <w:suppressAutoHyphens/>
              <w:jc w:val="both"/>
              <w:rPr>
                <w:rFonts w:ascii="Arial" w:hAnsi="Arial" w:cs="Arial"/>
                <w:color w:val="000000"/>
                <w:lang w:val="fr-BE"/>
              </w:rPr>
            </w:pPr>
          </w:p>
        </w:tc>
        <w:tc>
          <w:tcPr>
            <w:tcW w:w="5387" w:type="dxa"/>
          </w:tcPr>
          <w:p w14:paraId="07B6CC1A" w14:textId="77777777" w:rsidR="00F054E5" w:rsidRPr="008F69F8" w:rsidRDefault="00F054E5" w:rsidP="002A1F86">
            <w:pPr>
              <w:tabs>
                <w:tab w:val="left" w:pos="0"/>
                <w:tab w:val="left" w:pos="2809"/>
              </w:tabs>
              <w:suppressAutoHyphens/>
              <w:ind w:hanging="34"/>
              <w:jc w:val="both"/>
              <w:rPr>
                <w:rFonts w:ascii="Arial" w:hAnsi="Arial" w:cs="Arial"/>
                <w:color w:val="000000"/>
                <w:lang w:val="fr-BE"/>
              </w:rPr>
            </w:pPr>
          </w:p>
        </w:tc>
      </w:tr>
      <w:tr w:rsidR="00F054E5" w:rsidRPr="00F054E5" w14:paraId="6C8995AF" w14:textId="77777777" w:rsidTr="00F22339">
        <w:tc>
          <w:tcPr>
            <w:tcW w:w="5387" w:type="dxa"/>
          </w:tcPr>
          <w:p w14:paraId="20A6F3DA" w14:textId="77777777" w:rsidR="00F054E5" w:rsidRPr="00ED5EFE" w:rsidRDefault="00F054E5" w:rsidP="006B4614">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1/1.</w:t>
            </w:r>
            <w:r w:rsidRPr="00ED5EFE">
              <w:rPr>
                <w:rFonts w:ascii="Arial" w:hAnsi="Arial" w:cs="Arial"/>
                <w:color w:val="000000"/>
                <w:lang w:val="nl-BE"/>
              </w:rPr>
              <w:t xml:space="preserve">  Dit hoofdstuk is van toepassing op de honoraria voor de aflevering van een vergoedbare farmaceutische specialiteit in een voor het publiek opengestelde apotheek aan een rechthebbende die niet in een rust- en verzorgingstehuis of in een rusthuis verblijft en voor de aflevering van een vergoedbare farmaceutische specialiteit met een farmaceutische vorm anders dan « oraal-vast » in een voor het publiek opengestelde apotheek aan een rechthebbende die in een rust- en verzorgingstehuis of in een rusthuis verblijft.</w:t>
            </w:r>
          </w:p>
        </w:tc>
        <w:tc>
          <w:tcPr>
            <w:tcW w:w="5387" w:type="dxa"/>
          </w:tcPr>
          <w:p w14:paraId="3FE5C37E" w14:textId="77777777" w:rsidR="00F054E5" w:rsidRPr="008F69F8" w:rsidRDefault="00F054E5" w:rsidP="002A1F86">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1/1.</w:t>
            </w:r>
            <w:r w:rsidRPr="008F69F8">
              <w:rPr>
                <w:rFonts w:ascii="Arial" w:hAnsi="Arial" w:cs="Arial"/>
                <w:color w:val="000000"/>
                <w:lang w:val="fr-BE"/>
              </w:rPr>
              <w:t xml:space="preserve"> Ce chapitre s’applique aux honoraires pour la délivrance d’une spécialité pharmaceutique remboursable dans une officine ouverte au public à un bénéficiaire ne résidant pas en maison de repos et de soins ou en maison de repos pour personnes âgées et pour  la délivrance d’une spécialité pharmaceutique remboursable ayant une forme pharmaceutique autre que « orale-solide » dans une officine ouverte au public à un bénéficiaire résidant en maison de repos et de soins ou en maison de repos pour personnes âgées.</w:t>
            </w:r>
          </w:p>
        </w:tc>
      </w:tr>
      <w:tr w:rsidR="006A74C5" w:rsidRPr="00F054E5" w14:paraId="2A0A78ED" w14:textId="77777777" w:rsidTr="00F22339">
        <w:tc>
          <w:tcPr>
            <w:tcW w:w="5387" w:type="dxa"/>
          </w:tcPr>
          <w:p w14:paraId="75403D67"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3C8088BC" w14:textId="77777777" w:rsidR="006A74C5" w:rsidRPr="008F69F8" w:rsidRDefault="006A74C5" w:rsidP="002A1F86">
            <w:pPr>
              <w:tabs>
                <w:tab w:val="left" w:pos="0"/>
                <w:tab w:val="left" w:pos="2809"/>
              </w:tabs>
              <w:suppressAutoHyphens/>
              <w:ind w:hanging="34"/>
              <w:jc w:val="both"/>
              <w:rPr>
                <w:rFonts w:ascii="Arial" w:hAnsi="Arial" w:cs="Arial"/>
                <w:color w:val="000000"/>
                <w:lang w:val="fr-BE"/>
              </w:rPr>
            </w:pPr>
          </w:p>
        </w:tc>
      </w:tr>
      <w:tr w:rsidR="006A74C5" w:rsidRPr="006A74C5" w14:paraId="1432D78F" w14:textId="77777777" w:rsidTr="00F22339">
        <w:tc>
          <w:tcPr>
            <w:tcW w:w="5387" w:type="dxa"/>
          </w:tcPr>
          <w:p w14:paraId="6ECDF3C3" w14:textId="77777777" w:rsidR="006A74C5" w:rsidRPr="002A1F86" w:rsidRDefault="006A74C5" w:rsidP="002A1F86">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2.</w:t>
            </w:r>
            <w:r w:rsidRPr="002A1F86">
              <w:rPr>
                <w:rFonts w:ascii="Arial" w:hAnsi="Arial" w:cs="Arial"/>
                <w:color w:val="000000"/>
                <w:lang w:val="nl-BE"/>
              </w:rPr>
              <w:t xml:space="preserve"> </w:t>
            </w:r>
            <w:r w:rsidRPr="00ED5EFE">
              <w:rPr>
                <w:rFonts w:ascii="Arial" w:hAnsi="Arial" w:cs="Arial"/>
                <w:color w:val="000000"/>
                <w:lang w:val="nl-BE"/>
              </w:rPr>
              <w:t>De aflevering van een vergoedbare specialiteit, met uitzondering van de specialiteiten behorende tot de ATC klasse (vierde niveau) V03AN, geeft recht op de betaling van honoraria waarvan het bedrag gelijk is aan het product van de in de nationale overeenkomst tussen de apothekers en de verzekeringsinstellingen vastgestelde waarde van de sleutelletter P en een coëfficiënt welke aan die sleutelletter is toegewezen.</w:t>
            </w:r>
          </w:p>
        </w:tc>
        <w:tc>
          <w:tcPr>
            <w:tcW w:w="5387" w:type="dxa"/>
          </w:tcPr>
          <w:p w14:paraId="6E0D6D9B" w14:textId="77777777" w:rsidR="006A74C5" w:rsidRPr="008F69F8" w:rsidRDefault="006A74C5" w:rsidP="006B4614">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2.</w:t>
            </w:r>
            <w:r w:rsidRPr="008F69F8">
              <w:rPr>
                <w:rFonts w:ascii="Arial" w:hAnsi="Arial" w:cs="Arial"/>
                <w:color w:val="000000"/>
                <w:lang w:val="fr-BE"/>
              </w:rPr>
              <w:t xml:space="preserve"> La délivrance d’une spécialité remboursable, à l'exception des spécialités appartenant à la classe ATC</w:t>
            </w:r>
            <w:r w:rsidR="006B4614">
              <w:rPr>
                <w:rFonts w:ascii="Arial" w:hAnsi="Arial" w:cs="Arial"/>
                <w:color w:val="000000"/>
                <w:lang w:val="fr-BE"/>
              </w:rPr>
              <w:br/>
            </w:r>
            <w:r w:rsidRPr="008F69F8">
              <w:rPr>
                <w:rFonts w:ascii="Arial" w:hAnsi="Arial" w:cs="Arial"/>
                <w:color w:val="000000"/>
                <w:lang w:val="fr-BE"/>
              </w:rPr>
              <w:t>(4</w:t>
            </w:r>
            <w:r w:rsidR="000A329F" w:rsidRPr="006B4614">
              <w:rPr>
                <w:rFonts w:ascii="Arial" w:hAnsi="Arial" w:cs="Arial"/>
                <w:color w:val="000000"/>
                <w:vertAlign w:val="superscript"/>
                <w:lang w:val="fr-BE"/>
              </w:rPr>
              <w:t>e</w:t>
            </w:r>
            <w:r w:rsidRPr="008F69F8">
              <w:rPr>
                <w:rFonts w:ascii="Arial" w:hAnsi="Arial" w:cs="Arial"/>
                <w:color w:val="000000"/>
                <w:lang w:val="fr-BE"/>
              </w:rPr>
              <w:t xml:space="preserve"> niveau) V03AN, donne droit au paiement d’honoraires dont le montant équivaut au produit de la valeur de la lettre clé P telle que fixée dans l’accord national entre les pharmaciens et les organismes assureurs et du coefficient qui est attribué à cette lettre clé.</w:t>
            </w:r>
          </w:p>
        </w:tc>
      </w:tr>
      <w:tr w:rsidR="006A74C5" w:rsidRPr="006A74C5" w14:paraId="09C20A01" w14:textId="77777777" w:rsidTr="00F22339">
        <w:tc>
          <w:tcPr>
            <w:tcW w:w="5387" w:type="dxa"/>
          </w:tcPr>
          <w:p w14:paraId="7D845359"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587E8BB2"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6A74C5" w14:paraId="7679EB5C" w14:textId="77777777" w:rsidTr="00F22339">
        <w:tc>
          <w:tcPr>
            <w:tcW w:w="5387" w:type="dxa"/>
          </w:tcPr>
          <w:p w14:paraId="74066FC6" w14:textId="77777777" w:rsidR="006A74C5" w:rsidRPr="002A1F86" w:rsidRDefault="006A74C5" w:rsidP="002A1F86">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3.</w:t>
            </w:r>
            <w:r w:rsidRPr="002A1F86">
              <w:rPr>
                <w:rFonts w:ascii="Arial" w:hAnsi="Arial" w:cs="Arial"/>
                <w:color w:val="000000"/>
                <w:lang w:val="nl-BE"/>
              </w:rPr>
              <w:t xml:space="preserve"> </w:t>
            </w:r>
            <w:r w:rsidRPr="006A74C5">
              <w:rPr>
                <w:rFonts w:ascii="Arial" w:hAnsi="Arial" w:cs="Arial"/>
                <w:color w:val="000000"/>
                <w:lang w:val="nl-BE"/>
              </w:rPr>
              <w:t>Voor het basishonorarium bedoeld in artikel 35</w:t>
            </w:r>
            <w:r w:rsidRPr="006B4614">
              <w:rPr>
                <w:rFonts w:ascii="Arial" w:hAnsi="Arial" w:cs="Arial"/>
                <w:i/>
                <w:color w:val="000000"/>
                <w:lang w:val="nl-BE"/>
              </w:rPr>
              <w:t>octies</w:t>
            </w:r>
            <w:r w:rsidRPr="006A74C5">
              <w:rPr>
                <w:rFonts w:ascii="Arial" w:hAnsi="Arial" w:cs="Arial"/>
                <w:color w:val="000000"/>
                <w:lang w:val="nl-BE"/>
              </w:rPr>
              <w:t>, § 2, tweede lid, van de wet</w:t>
            </w:r>
            <w:r w:rsidRPr="002A1F86">
              <w:rPr>
                <w:rFonts w:ascii="Arial" w:hAnsi="Arial" w:cs="Arial"/>
                <w:color w:val="000000"/>
                <w:lang w:val="nl-BE"/>
              </w:rPr>
              <w:t xml:space="preserve"> </w:t>
            </w:r>
            <w:r w:rsidRPr="006A74C5">
              <w:rPr>
                <w:rFonts w:ascii="Arial" w:hAnsi="Arial" w:cs="Arial"/>
                <w:color w:val="000000"/>
                <w:lang w:val="nl-BE"/>
              </w:rPr>
              <w:t>bedraagt de coëfficiënt 2,28.</w:t>
            </w:r>
          </w:p>
        </w:tc>
        <w:tc>
          <w:tcPr>
            <w:tcW w:w="5387" w:type="dxa"/>
          </w:tcPr>
          <w:p w14:paraId="35FAED9A" w14:textId="77777777" w:rsidR="006A74C5" w:rsidRPr="008F69F8" w:rsidRDefault="006A74C5" w:rsidP="002A1F86">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3.</w:t>
            </w:r>
            <w:r w:rsidRPr="008F69F8">
              <w:rPr>
                <w:rFonts w:ascii="Arial" w:hAnsi="Arial" w:cs="Arial"/>
                <w:color w:val="000000"/>
                <w:lang w:val="fr-BE"/>
              </w:rPr>
              <w:t xml:space="preserve"> Pour l’honoraire de base visé à l’article 35</w:t>
            </w:r>
            <w:r w:rsidRPr="006B4614">
              <w:rPr>
                <w:rFonts w:ascii="Arial" w:hAnsi="Arial" w:cs="Arial"/>
                <w:i/>
                <w:color w:val="000000"/>
                <w:lang w:val="fr-BE"/>
              </w:rPr>
              <w:t>octies</w:t>
            </w:r>
            <w:r w:rsidRPr="008F69F8">
              <w:rPr>
                <w:rFonts w:ascii="Arial" w:hAnsi="Arial" w:cs="Arial"/>
                <w:color w:val="000000"/>
                <w:lang w:val="fr-BE"/>
              </w:rPr>
              <w:t>, § 2, alinéa 2, de la loi, le coefficient est fixé à 2,28.</w:t>
            </w:r>
          </w:p>
        </w:tc>
      </w:tr>
      <w:tr w:rsidR="006A74C5" w:rsidRPr="006A74C5" w14:paraId="486CBB50" w14:textId="77777777" w:rsidTr="00F22339">
        <w:tc>
          <w:tcPr>
            <w:tcW w:w="5387" w:type="dxa"/>
          </w:tcPr>
          <w:p w14:paraId="3E470E06"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46F1E1B5"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6A74C5" w14:paraId="1E034958" w14:textId="77777777" w:rsidTr="00F22339">
        <w:tc>
          <w:tcPr>
            <w:tcW w:w="5387" w:type="dxa"/>
          </w:tcPr>
          <w:p w14:paraId="0E5ACEBF" w14:textId="77777777" w:rsidR="006A74C5" w:rsidRPr="002A1F86" w:rsidRDefault="006A74C5" w:rsidP="002A1F86">
            <w:pPr>
              <w:tabs>
                <w:tab w:val="left" w:pos="0"/>
                <w:tab w:val="left" w:pos="2809"/>
              </w:tabs>
              <w:suppressAutoHyphens/>
              <w:jc w:val="both"/>
              <w:rPr>
                <w:rFonts w:ascii="Arial" w:hAnsi="Arial" w:cs="Arial"/>
                <w:color w:val="000000"/>
                <w:lang w:val="nl-BE"/>
              </w:rPr>
            </w:pPr>
            <w:r w:rsidRPr="0015557E">
              <w:rPr>
                <w:rFonts w:ascii="Arial" w:hAnsi="Arial" w:cs="Arial"/>
                <w:b/>
                <w:color w:val="000000"/>
                <w:lang w:val="nl-BE"/>
              </w:rPr>
              <w:t>Art. 4.</w:t>
            </w:r>
            <w:r w:rsidRPr="0015557E">
              <w:rPr>
                <w:rFonts w:ascii="Arial" w:hAnsi="Arial" w:cs="Arial"/>
                <w:color w:val="000000"/>
                <w:lang w:val="nl-BE"/>
              </w:rPr>
              <w:t xml:space="preserve"> De</w:t>
            </w:r>
            <w:r w:rsidRPr="006A74C5">
              <w:rPr>
                <w:rFonts w:ascii="Arial" w:hAnsi="Arial" w:cs="Arial"/>
                <w:color w:val="000000"/>
                <w:lang w:val="nl-BE"/>
              </w:rPr>
              <w:t xml:space="preserve"> specifieke honoraria bedoeld in artikel 35</w:t>
            </w:r>
            <w:r w:rsidRPr="006B4614">
              <w:rPr>
                <w:rFonts w:ascii="Arial" w:hAnsi="Arial" w:cs="Arial"/>
                <w:i/>
                <w:color w:val="000000"/>
                <w:lang w:val="nl-BE"/>
              </w:rPr>
              <w:t>octies</w:t>
            </w:r>
            <w:r w:rsidRPr="006A74C5">
              <w:rPr>
                <w:rFonts w:ascii="Arial" w:hAnsi="Arial" w:cs="Arial"/>
                <w:color w:val="000000"/>
                <w:lang w:val="nl-BE"/>
              </w:rPr>
              <w:t>, § 2, vijfde lid, van de wet</w:t>
            </w:r>
            <w:r w:rsidRPr="002A1F86">
              <w:rPr>
                <w:rFonts w:ascii="Arial" w:hAnsi="Arial" w:cs="Arial"/>
                <w:color w:val="000000"/>
                <w:lang w:val="nl-BE"/>
              </w:rPr>
              <w:t xml:space="preserve"> </w:t>
            </w:r>
            <w:r w:rsidRPr="006A74C5">
              <w:rPr>
                <w:rFonts w:ascii="Arial" w:hAnsi="Arial" w:cs="Arial"/>
                <w:color w:val="000000"/>
                <w:lang w:val="nl-BE"/>
              </w:rPr>
              <w:t>worden ingesteld voor de volgende farmaceutische zorgen:</w:t>
            </w:r>
          </w:p>
        </w:tc>
        <w:tc>
          <w:tcPr>
            <w:tcW w:w="5387" w:type="dxa"/>
          </w:tcPr>
          <w:p w14:paraId="4CBA3154" w14:textId="77777777" w:rsidR="006A74C5" w:rsidRPr="008F69F8" w:rsidRDefault="006A74C5" w:rsidP="002A1F86">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4.</w:t>
            </w:r>
            <w:r w:rsidRPr="008F69F8">
              <w:rPr>
                <w:rFonts w:ascii="Arial" w:hAnsi="Arial" w:cs="Arial"/>
                <w:color w:val="000000"/>
                <w:lang w:val="fr-BE"/>
              </w:rPr>
              <w:t xml:space="preserve"> Des honoraires spécifiques visés à l’article 35</w:t>
            </w:r>
            <w:r w:rsidRPr="006B4614">
              <w:rPr>
                <w:rFonts w:ascii="Arial" w:hAnsi="Arial" w:cs="Arial"/>
                <w:i/>
                <w:color w:val="000000"/>
                <w:lang w:val="fr-BE"/>
              </w:rPr>
              <w:t>octies</w:t>
            </w:r>
            <w:r w:rsidRPr="008F69F8">
              <w:rPr>
                <w:rFonts w:ascii="Arial" w:hAnsi="Arial" w:cs="Arial"/>
                <w:color w:val="000000"/>
                <w:lang w:val="fr-BE"/>
              </w:rPr>
              <w:t>, § 2, alinéa 5, de la loi sont instaurés pour les soins pharmaceutiques suivants :</w:t>
            </w:r>
          </w:p>
        </w:tc>
      </w:tr>
      <w:tr w:rsidR="006A74C5" w:rsidRPr="006A74C5" w14:paraId="59DFA6E5" w14:textId="77777777" w:rsidTr="00F22339">
        <w:tc>
          <w:tcPr>
            <w:tcW w:w="5387" w:type="dxa"/>
          </w:tcPr>
          <w:p w14:paraId="7F218909"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449316D4"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6A74C5" w:rsidRPr="006A74C5" w14:paraId="10895F20" w14:textId="77777777" w:rsidTr="00F22339">
        <w:tc>
          <w:tcPr>
            <w:tcW w:w="5387" w:type="dxa"/>
          </w:tcPr>
          <w:p w14:paraId="5B80A7E1" w14:textId="77777777" w:rsidR="003A57BF" w:rsidRPr="003A57BF" w:rsidRDefault="003A57BF" w:rsidP="003A57BF">
            <w:pPr>
              <w:tabs>
                <w:tab w:val="left" w:pos="0"/>
                <w:tab w:val="left" w:pos="2809"/>
              </w:tabs>
              <w:suppressAutoHyphens/>
              <w:jc w:val="both"/>
              <w:rPr>
                <w:rFonts w:ascii="Arial" w:hAnsi="Arial" w:cs="Arial"/>
                <w:highlight w:val="yellow"/>
                <w:lang w:val="nl-BE"/>
              </w:rPr>
            </w:pPr>
            <w:r w:rsidRPr="0015557E">
              <w:rPr>
                <w:rFonts w:ascii="Arial" w:hAnsi="Arial" w:cs="Arial"/>
                <w:highlight w:val="yellow"/>
                <w:lang w:val="nl-BE"/>
              </w:rPr>
              <w:t>1° de</w:t>
            </w:r>
            <w:r w:rsidRPr="0015557E">
              <w:rPr>
                <w:rFonts w:ascii="Arial" w:hAnsi="Arial" w:cs="Arial"/>
                <w:lang w:val="nl-BE"/>
              </w:rPr>
              <w:t xml:space="preserve"> </w:t>
            </w:r>
            <w:r w:rsidRPr="003A57BF">
              <w:rPr>
                <w:rFonts w:ascii="Arial" w:hAnsi="Arial" w:cs="Arial"/>
                <w:highlight w:val="yellow"/>
                <w:lang w:val="nl-BE"/>
              </w:rPr>
              <w:t>begeleidingsgesprekken voor goed gebruik van geneesmiddelen</w:t>
            </w:r>
          </w:p>
          <w:p w14:paraId="71B5433E" w14:textId="77777777" w:rsidR="003A57BF" w:rsidRPr="003A57BF" w:rsidRDefault="003A57BF" w:rsidP="003A57BF">
            <w:pPr>
              <w:tabs>
                <w:tab w:val="left" w:pos="0"/>
                <w:tab w:val="left" w:pos="2809"/>
              </w:tabs>
              <w:suppressAutoHyphens/>
              <w:jc w:val="both"/>
              <w:rPr>
                <w:rFonts w:ascii="Arial" w:hAnsi="Arial" w:cs="Arial"/>
                <w:highlight w:val="yellow"/>
                <w:lang w:val="nl-BE"/>
              </w:rPr>
            </w:pPr>
            <w:r w:rsidRPr="003A57BF">
              <w:rPr>
                <w:rFonts w:ascii="Arial" w:hAnsi="Arial" w:cs="Arial"/>
                <w:highlight w:val="yellow"/>
                <w:lang w:val="nl-BE"/>
              </w:rPr>
              <w:lastRenderedPageBreak/>
              <w:t>- “inhalatiecorticosteroïden” in de behandeling van astma die bestaan uit een informatiegesprek en een opvolgingsgesprek;</w:t>
            </w:r>
          </w:p>
          <w:p w14:paraId="74127DE6" w14:textId="51E19FED" w:rsidR="006A74C5" w:rsidRPr="003A57BF" w:rsidRDefault="003A57BF" w:rsidP="003A57BF">
            <w:pPr>
              <w:tabs>
                <w:tab w:val="left" w:pos="0"/>
                <w:tab w:val="left" w:pos="2809"/>
              </w:tabs>
              <w:suppressAutoHyphens/>
              <w:jc w:val="both"/>
              <w:rPr>
                <w:rFonts w:ascii="Arial" w:hAnsi="Arial" w:cs="Arial"/>
                <w:color w:val="000000"/>
                <w:highlight w:val="yellow"/>
                <w:lang w:val="nl-BE"/>
              </w:rPr>
            </w:pPr>
            <w:r w:rsidRPr="003A57BF">
              <w:rPr>
                <w:rFonts w:ascii="Arial" w:hAnsi="Arial" w:cs="Arial"/>
                <w:highlight w:val="yellow"/>
                <w:lang w:val="nl-BE"/>
              </w:rPr>
              <w:t>- “Chronisch Obstructieve Longziekte (COPD)” die bestaan uit een informatiegesprek en een opvolgingsgesprek.</w:t>
            </w:r>
          </w:p>
        </w:tc>
        <w:tc>
          <w:tcPr>
            <w:tcW w:w="5387" w:type="dxa"/>
          </w:tcPr>
          <w:p w14:paraId="1470EA02" w14:textId="77777777" w:rsidR="003A57BF" w:rsidRPr="003A57BF" w:rsidRDefault="003A57BF" w:rsidP="003A57BF">
            <w:pPr>
              <w:tabs>
                <w:tab w:val="left" w:pos="0"/>
                <w:tab w:val="left" w:pos="2809"/>
              </w:tabs>
              <w:suppressAutoHyphens/>
              <w:jc w:val="both"/>
              <w:rPr>
                <w:rFonts w:ascii="Arial" w:hAnsi="Arial" w:cs="Arial"/>
                <w:highlight w:val="yellow"/>
                <w:lang w:val="fr-BE"/>
              </w:rPr>
            </w:pPr>
            <w:r w:rsidRPr="003A57BF">
              <w:rPr>
                <w:rFonts w:ascii="Arial" w:hAnsi="Arial" w:cs="Arial"/>
                <w:highlight w:val="yellow"/>
                <w:lang w:val="fr-BE"/>
              </w:rPr>
              <w:lastRenderedPageBreak/>
              <w:t xml:space="preserve">1° les entretiens d’accompagnement de bon usage de médicaments </w:t>
            </w:r>
          </w:p>
          <w:p w14:paraId="4ACDF996" w14:textId="77777777" w:rsidR="003A57BF" w:rsidRPr="003A57BF" w:rsidRDefault="003A57BF" w:rsidP="003A57BF">
            <w:pPr>
              <w:tabs>
                <w:tab w:val="left" w:pos="0"/>
                <w:tab w:val="left" w:pos="2809"/>
              </w:tabs>
              <w:suppressAutoHyphens/>
              <w:jc w:val="both"/>
              <w:rPr>
                <w:rFonts w:ascii="Arial" w:hAnsi="Arial" w:cs="Arial"/>
                <w:highlight w:val="yellow"/>
                <w:lang w:val="fr-BE"/>
              </w:rPr>
            </w:pPr>
            <w:r w:rsidRPr="003A57BF">
              <w:rPr>
                <w:rFonts w:ascii="Arial" w:hAnsi="Arial" w:cs="Arial"/>
                <w:highlight w:val="yellow"/>
                <w:lang w:val="fr-BE"/>
              </w:rPr>
              <w:lastRenderedPageBreak/>
              <w:t>- « corticostéroïdes inhalés » dans le traitement de l’asthme qui consistent en un entretien d’information et un entretien de suivi ;</w:t>
            </w:r>
          </w:p>
          <w:p w14:paraId="5AECC56F" w14:textId="77777777" w:rsidR="003A57BF" w:rsidRPr="003A57BF" w:rsidRDefault="003A57BF" w:rsidP="003A57BF">
            <w:pPr>
              <w:tabs>
                <w:tab w:val="left" w:pos="-5708"/>
                <w:tab w:val="left" w:pos="-5190"/>
                <w:tab w:val="left" w:pos="-4710"/>
                <w:tab w:val="left" w:pos="-4230"/>
                <w:tab w:val="left" w:pos="-3750"/>
                <w:tab w:val="left" w:pos="-3270"/>
                <w:tab w:val="left" w:pos="-2790"/>
                <w:tab w:val="left" w:pos="-2310"/>
                <w:tab w:val="left" w:pos="-1830"/>
                <w:tab w:val="left" w:pos="-1350"/>
                <w:tab w:val="left" w:pos="-30"/>
                <w:tab w:val="left" w:pos="450"/>
                <w:tab w:val="left" w:pos="930"/>
                <w:tab w:val="left" w:pos="1410"/>
                <w:tab w:val="left" w:pos="1890"/>
                <w:tab w:val="left" w:pos="2370"/>
                <w:tab w:val="left" w:pos="2850"/>
                <w:tab w:val="left" w:pos="3330"/>
                <w:tab w:val="left" w:pos="3810"/>
                <w:tab w:val="left" w:pos="4290"/>
              </w:tabs>
              <w:jc w:val="both"/>
              <w:rPr>
                <w:rFonts w:ascii="Arial" w:hAnsi="Arial" w:cs="Arial"/>
                <w:highlight w:val="yellow"/>
                <w:lang w:val="fr-BE"/>
              </w:rPr>
            </w:pPr>
            <w:r w:rsidRPr="003A57BF">
              <w:rPr>
                <w:rFonts w:ascii="Arial" w:hAnsi="Arial" w:cs="Arial"/>
                <w:highlight w:val="yellow"/>
                <w:lang w:val="fr-BE"/>
              </w:rPr>
              <w:t>- « Bronchopneumopathie chronique obstructive (BPCO) » qui consistent en un entretien d’information et un entretien de suivi.</w:t>
            </w:r>
          </w:p>
          <w:p w14:paraId="0474D12D" w14:textId="0EA61499" w:rsidR="006A74C5" w:rsidRPr="003A57BF" w:rsidRDefault="006A74C5" w:rsidP="002A1F86">
            <w:pPr>
              <w:tabs>
                <w:tab w:val="left" w:pos="0"/>
                <w:tab w:val="left" w:pos="2809"/>
              </w:tabs>
              <w:suppressAutoHyphens/>
              <w:jc w:val="both"/>
              <w:rPr>
                <w:rFonts w:ascii="Arial" w:hAnsi="Arial" w:cs="Arial"/>
                <w:color w:val="000000"/>
                <w:highlight w:val="yellow"/>
                <w:lang w:val="fr-BE"/>
              </w:rPr>
            </w:pPr>
          </w:p>
        </w:tc>
      </w:tr>
      <w:tr w:rsidR="006A74C5" w:rsidRPr="006A74C5" w14:paraId="140B2E89" w14:textId="77777777" w:rsidTr="00F22339">
        <w:tc>
          <w:tcPr>
            <w:tcW w:w="5387" w:type="dxa"/>
          </w:tcPr>
          <w:p w14:paraId="011315D0"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54386F1B"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r>
      <w:tr w:rsidR="00454A26" w:rsidRPr="006A74C5" w14:paraId="225004BE" w14:textId="77777777" w:rsidTr="00F22339">
        <w:tc>
          <w:tcPr>
            <w:tcW w:w="5387" w:type="dxa"/>
          </w:tcPr>
          <w:p w14:paraId="0C0506E7" w14:textId="6BEAC84E" w:rsidR="00454A26" w:rsidRPr="002161C1" w:rsidRDefault="00481E40" w:rsidP="002A1F86">
            <w:pPr>
              <w:tabs>
                <w:tab w:val="left" w:pos="0"/>
                <w:tab w:val="left" w:pos="2809"/>
              </w:tabs>
              <w:suppressAutoHyphens/>
              <w:jc w:val="both"/>
              <w:rPr>
                <w:rFonts w:ascii="Arial" w:hAnsi="Arial" w:cs="Arial"/>
                <w:color w:val="000000"/>
                <w:lang w:val="nl-BE"/>
              </w:rPr>
            </w:pPr>
            <w:r w:rsidRPr="0015557E">
              <w:rPr>
                <w:rFonts w:ascii="Arial" w:hAnsi="Arial" w:cs="Arial"/>
                <w:color w:val="000000"/>
                <w:lang w:val="nl-BE"/>
              </w:rPr>
              <w:t>3° de</w:t>
            </w:r>
            <w:r w:rsidRPr="002161C1">
              <w:rPr>
                <w:rFonts w:ascii="Arial" w:hAnsi="Arial" w:cs="Arial"/>
                <w:color w:val="000000"/>
                <w:lang w:val="nl-BE"/>
              </w:rPr>
              <w:t xml:space="preserve"> prestatie “huisapotheker”</w:t>
            </w:r>
            <w:r w:rsidR="009F4D86">
              <w:rPr>
                <w:rFonts w:ascii="Arial" w:hAnsi="Arial" w:cs="Arial"/>
                <w:color w:val="000000"/>
                <w:lang w:val="nl-BE"/>
              </w:rPr>
              <w:t>;</w:t>
            </w:r>
          </w:p>
        </w:tc>
        <w:tc>
          <w:tcPr>
            <w:tcW w:w="5387" w:type="dxa"/>
          </w:tcPr>
          <w:p w14:paraId="37E68A2F" w14:textId="78FFFA3C" w:rsidR="00454A26" w:rsidRPr="008F69F8" w:rsidRDefault="00454A26" w:rsidP="002A1F86">
            <w:pPr>
              <w:tabs>
                <w:tab w:val="left" w:pos="0"/>
                <w:tab w:val="left" w:pos="2809"/>
              </w:tabs>
              <w:suppressAutoHyphens/>
              <w:jc w:val="both"/>
              <w:rPr>
                <w:rFonts w:ascii="Arial" w:hAnsi="Arial" w:cs="Arial"/>
                <w:color w:val="000000"/>
                <w:lang w:val="fr-BE"/>
              </w:rPr>
            </w:pPr>
            <w:r w:rsidRPr="002161C1">
              <w:rPr>
                <w:rFonts w:ascii="Arial" w:hAnsi="Arial" w:cs="Arial"/>
                <w:color w:val="000000"/>
                <w:lang w:val="fr-BE"/>
              </w:rPr>
              <w:t>3° la prestation « pharmacien de référence</w:t>
            </w:r>
            <w:r w:rsidR="009F4D86">
              <w:rPr>
                <w:rFonts w:ascii="Arial" w:hAnsi="Arial" w:cs="Arial"/>
                <w:color w:val="000000"/>
                <w:lang w:val="fr-BE"/>
              </w:rPr>
              <w:t> » ;</w:t>
            </w:r>
            <w:r w:rsidRPr="002161C1">
              <w:rPr>
                <w:rFonts w:ascii="Arial" w:hAnsi="Arial" w:cs="Arial"/>
                <w:color w:val="000000"/>
                <w:lang w:val="fr-BE"/>
              </w:rPr>
              <w:t>.</w:t>
            </w:r>
          </w:p>
        </w:tc>
      </w:tr>
      <w:tr w:rsidR="006A74C5" w:rsidRPr="006A74C5" w14:paraId="525D184A" w14:textId="77777777" w:rsidTr="00F22339">
        <w:tc>
          <w:tcPr>
            <w:tcW w:w="5387" w:type="dxa"/>
          </w:tcPr>
          <w:p w14:paraId="72D2B46D"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1860BDC6" w14:textId="77777777" w:rsidR="006A74C5" w:rsidRPr="008F69F8" w:rsidRDefault="006A74C5" w:rsidP="002A1F86">
            <w:pPr>
              <w:tabs>
                <w:tab w:val="left" w:pos="0"/>
                <w:tab w:val="left" w:pos="2809"/>
              </w:tabs>
              <w:suppressAutoHyphens/>
              <w:ind w:left="34"/>
              <w:jc w:val="both"/>
              <w:rPr>
                <w:rFonts w:ascii="Arial" w:hAnsi="Arial" w:cs="Arial"/>
                <w:color w:val="000000"/>
                <w:lang w:val="fr-BE"/>
              </w:rPr>
            </w:pPr>
          </w:p>
        </w:tc>
      </w:tr>
      <w:tr w:rsidR="009F4D86" w:rsidRPr="006A74C5" w14:paraId="2F44E123" w14:textId="77777777" w:rsidTr="00F22339">
        <w:tc>
          <w:tcPr>
            <w:tcW w:w="5387" w:type="dxa"/>
          </w:tcPr>
          <w:p w14:paraId="5E859F68" w14:textId="73C7B5A4" w:rsidR="009F4D86" w:rsidRPr="003A57BF" w:rsidRDefault="009F4D86" w:rsidP="002A1F86">
            <w:pPr>
              <w:tabs>
                <w:tab w:val="left" w:pos="0"/>
                <w:tab w:val="left" w:pos="2809"/>
              </w:tabs>
              <w:suppressAutoHyphens/>
              <w:jc w:val="both"/>
              <w:rPr>
                <w:rFonts w:ascii="Arial" w:hAnsi="Arial" w:cs="Arial"/>
                <w:bCs/>
                <w:lang w:val="fr-BE"/>
              </w:rPr>
            </w:pPr>
            <w:r w:rsidRPr="003A57BF">
              <w:rPr>
                <w:rFonts w:ascii="Arial" w:hAnsi="Arial" w:cs="Arial"/>
                <w:bCs/>
                <w:spacing w:val="-2"/>
                <w:lang w:val="nl-BE"/>
              </w:rPr>
              <w:t>4° de prestatie “</w:t>
            </w:r>
            <w:r w:rsidRPr="003A57BF">
              <w:rPr>
                <w:rFonts w:ascii="Arial" w:hAnsi="Arial" w:cs="Arial"/>
                <w:bCs/>
                <w:lang w:val="nl-NL"/>
              </w:rPr>
              <w:t>Medicatienazicht”.</w:t>
            </w:r>
          </w:p>
        </w:tc>
        <w:tc>
          <w:tcPr>
            <w:tcW w:w="5387" w:type="dxa"/>
          </w:tcPr>
          <w:p w14:paraId="47414D72" w14:textId="6EBDF23A" w:rsidR="009F4D86" w:rsidRPr="003A57BF" w:rsidRDefault="009F4D86" w:rsidP="002A1F86">
            <w:pPr>
              <w:tabs>
                <w:tab w:val="left" w:pos="0"/>
                <w:tab w:val="left" w:pos="2809"/>
              </w:tabs>
              <w:suppressAutoHyphens/>
              <w:ind w:left="34"/>
              <w:jc w:val="both"/>
              <w:rPr>
                <w:rFonts w:ascii="Arial" w:hAnsi="Arial" w:cs="Arial"/>
                <w:bCs/>
                <w:lang w:val="fr-BE"/>
              </w:rPr>
            </w:pPr>
            <w:r w:rsidRPr="003A57BF">
              <w:rPr>
                <w:rFonts w:ascii="Arial" w:hAnsi="Arial" w:cs="Arial"/>
                <w:bCs/>
                <w:spacing w:val="-2"/>
              </w:rPr>
              <w:t>4° la prestation « </w:t>
            </w:r>
            <w:r w:rsidRPr="003A57BF">
              <w:rPr>
                <w:rFonts w:ascii="Arial" w:hAnsi="Arial" w:cs="Arial"/>
                <w:bCs/>
                <w:spacing w:val="-3"/>
                <w:lang w:val="fr-BE"/>
              </w:rPr>
              <w:t>Revue de la médication ».</w:t>
            </w:r>
          </w:p>
        </w:tc>
      </w:tr>
      <w:tr w:rsidR="009F4D86" w:rsidRPr="006A74C5" w14:paraId="3BAF6D06" w14:textId="77777777" w:rsidTr="00F22339">
        <w:tc>
          <w:tcPr>
            <w:tcW w:w="5387" w:type="dxa"/>
          </w:tcPr>
          <w:p w14:paraId="5839C99B" w14:textId="77777777" w:rsidR="009F4D86" w:rsidRPr="008F69F8" w:rsidRDefault="009F4D86" w:rsidP="002A1F86">
            <w:pPr>
              <w:tabs>
                <w:tab w:val="left" w:pos="0"/>
                <w:tab w:val="left" w:pos="2809"/>
              </w:tabs>
              <w:suppressAutoHyphens/>
              <w:jc w:val="both"/>
              <w:rPr>
                <w:rFonts w:ascii="Arial" w:hAnsi="Arial" w:cs="Arial"/>
                <w:color w:val="000000"/>
                <w:lang w:val="fr-BE"/>
              </w:rPr>
            </w:pPr>
          </w:p>
        </w:tc>
        <w:tc>
          <w:tcPr>
            <w:tcW w:w="5387" w:type="dxa"/>
          </w:tcPr>
          <w:p w14:paraId="3BF83253" w14:textId="77777777" w:rsidR="009F4D86" w:rsidRPr="008F69F8" w:rsidRDefault="009F4D86" w:rsidP="002A1F86">
            <w:pPr>
              <w:tabs>
                <w:tab w:val="left" w:pos="0"/>
                <w:tab w:val="left" w:pos="2809"/>
              </w:tabs>
              <w:suppressAutoHyphens/>
              <w:ind w:left="34"/>
              <w:jc w:val="both"/>
              <w:rPr>
                <w:rFonts w:ascii="Arial" w:hAnsi="Arial" w:cs="Arial"/>
                <w:color w:val="000000"/>
                <w:lang w:val="fr-BE"/>
              </w:rPr>
            </w:pPr>
          </w:p>
        </w:tc>
      </w:tr>
      <w:tr w:rsidR="006A74C5" w:rsidRPr="0036258C" w14:paraId="297A109F" w14:textId="77777777" w:rsidTr="00F22339">
        <w:tc>
          <w:tcPr>
            <w:tcW w:w="5387" w:type="dxa"/>
          </w:tcPr>
          <w:p w14:paraId="5879B409" w14:textId="77777777" w:rsidR="006A74C5" w:rsidRPr="002A1F86" w:rsidRDefault="006A74C5" w:rsidP="002A1F86">
            <w:pPr>
              <w:tabs>
                <w:tab w:val="left" w:pos="0"/>
                <w:tab w:val="left" w:pos="2809"/>
              </w:tabs>
              <w:suppressAutoHyphens/>
              <w:jc w:val="both"/>
              <w:rPr>
                <w:rFonts w:ascii="Arial" w:hAnsi="Arial" w:cs="Arial"/>
                <w:color w:val="000000"/>
                <w:lang w:val="nl-BE"/>
              </w:rPr>
            </w:pPr>
            <w:r w:rsidRPr="00FC7E7D">
              <w:rPr>
                <w:rFonts w:ascii="Arial" w:hAnsi="Arial" w:cs="Arial"/>
                <w:b/>
                <w:bCs/>
                <w:color w:val="000000"/>
                <w:lang w:val="nl-BE"/>
              </w:rPr>
              <w:t>Art. 5.</w:t>
            </w:r>
            <w:r w:rsidRPr="002A1F86">
              <w:rPr>
                <w:rFonts w:ascii="Arial" w:hAnsi="Arial" w:cs="Arial"/>
                <w:color w:val="000000"/>
                <w:lang w:val="nl-BE"/>
              </w:rPr>
              <w:t xml:space="preserve"> </w:t>
            </w:r>
            <w:r w:rsidRPr="00194241">
              <w:rPr>
                <w:rFonts w:ascii="Arial" w:hAnsi="Arial" w:cs="Arial"/>
                <w:color w:val="000000"/>
                <w:lang w:val="nl-BE"/>
              </w:rPr>
              <w:t xml:space="preserve">§1. </w:t>
            </w:r>
            <w:r w:rsidR="00854546" w:rsidRPr="00194241">
              <w:rPr>
                <w:rFonts w:ascii="Arial" w:hAnsi="Arial" w:cs="Arial"/>
                <w:color w:val="000000"/>
                <w:lang w:val="nl-BE"/>
              </w:rPr>
              <w:t>Een</w:t>
            </w:r>
            <w:r w:rsidRPr="00194241">
              <w:rPr>
                <w:rFonts w:ascii="Arial" w:hAnsi="Arial" w:cs="Arial"/>
                <w:color w:val="000000"/>
                <w:lang w:val="nl-BE"/>
              </w:rPr>
              <w:t xml:space="preserve"> specifiek honorarium wordt toegekend </w:t>
            </w:r>
            <w:r w:rsidR="00854546" w:rsidRPr="00194241">
              <w:rPr>
                <w:rFonts w:ascii="Arial" w:hAnsi="Arial" w:cs="Arial"/>
                <w:color w:val="000000"/>
                <w:lang w:val="nl-BE"/>
              </w:rPr>
              <w:t>voor elk van de gesprekken bedoeld in artikel 4, 1° voor zover dat de voorwa</w:t>
            </w:r>
            <w:r w:rsidR="00B4036F" w:rsidRPr="00194241">
              <w:rPr>
                <w:rFonts w:ascii="Arial" w:hAnsi="Arial" w:cs="Arial"/>
                <w:color w:val="000000"/>
                <w:lang w:val="nl-BE"/>
              </w:rPr>
              <w:t>a</w:t>
            </w:r>
            <w:r w:rsidR="00854546" w:rsidRPr="00194241">
              <w:rPr>
                <w:rFonts w:ascii="Arial" w:hAnsi="Arial" w:cs="Arial"/>
                <w:color w:val="000000"/>
                <w:lang w:val="nl-BE"/>
              </w:rPr>
              <w:t>rden</w:t>
            </w:r>
            <w:r w:rsidR="00B4036F" w:rsidRPr="00194241">
              <w:rPr>
                <w:rFonts w:ascii="Arial" w:hAnsi="Arial" w:cs="Arial"/>
                <w:color w:val="000000"/>
                <w:lang w:val="nl-BE"/>
              </w:rPr>
              <w:t xml:space="preserve"> vastgesteld door het Comité van de verzekering voor geneeskundige verzorging op voorstel van de Overeenkomstencommissie tussen de apothekers en de verzekeringsinstellingen omschreven voorwaarden worden voldaan.</w:t>
            </w:r>
          </w:p>
        </w:tc>
        <w:tc>
          <w:tcPr>
            <w:tcW w:w="5387" w:type="dxa"/>
          </w:tcPr>
          <w:p w14:paraId="4FFC9F5A" w14:textId="77777777" w:rsidR="006A74C5" w:rsidRPr="008F69F8" w:rsidRDefault="006A74C5" w:rsidP="0036258C">
            <w:pPr>
              <w:tabs>
                <w:tab w:val="left" w:pos="0"/>
                <w:tab w:val="left" w:pos="2809"/>
              </w:tabs>
              <w:suppressAutoHyphens/>
              <w:ind w:left="34"/>
              <w:jc w:val="both"/>
              <w:rPr>
                <w:rFonts w:ascii="Arial" w:hAnsi="Arial" w:cs="Arial"/>
                <w:color w:val="000000"/>
                <w:lang w:val="fr-BE"/>
              </w:rPr>
            </w:pPr>
            <w:r w:rsidRPr="00FC7E7D">
              <w:rPr>
                <w:rFonts w:ascii="Arial" w:hAnsi="Arial" w:cs="Arial"/>
                <w:b/>
                <w:bCs/>
                <w:color w:val="000000"/>
                <w:lang w:val="fr-BE"/>
              </w:rPr>
              <w:t>Art. 5.</w:t>
            </w:r>
            <w:r w:rsidRPr="008F69F8">
              <w:rPr>
                <w:rFonts w:ascii="Arial" w:hAnsi="Arial" w:cs="Arial"/>
                <w:color w:val="000000"/>
                <w:lang w:val="fr-BE"/>
              </w:rPr>
              <w:t xml:space="preserve"> §1er. </w:t>
            </w:r>
            <w:r w:rsidR="00854546" w:rsidRPr="008F69F8">
              <w:rPr>
                <w:rFonts w:ascii="Arial" w:hAnsi="Arial" w:cs="Arial"/>
                <w:color w:val="000000"/>
                <w:lang w:val="fr-BE"/>
              </w:rPr>
              <w:t>Un honoraire spécifique est octroyé pour chacun des entretiens visés</w:t>
            </w:r>
            <w:r w:rsidRPr="008F69F8">
              <w:rPr>
                <w:rFonts w:ascii="Arial" w:hAnsi="Arial" w:cs="Arial"/>
                <w:color w:val="000000"/>
                <w:lang w:val="fr-BE"/>
              </w:rPr>
              <w:t xml:space="preserve"> à l’article 4, 1° </w:t>
            </w:r>
            <w:r w:rsidR="00854546" w:rsidRPr="008F69F8">
              <w:rPr>
                <w:rFonts w:ascii="Arial" w:hAnsi="Arial" w:cs="Arial"/>
                <w:color w:val="000000"/>
                <w:lang w:val="fr-BE"/>
              </w:rPr>
              <w:t>pour autant que les conditions fixées par le Comité de l’assurance soins de santé sur proposition de la Commission de conventions pharmaciens – organismes assureurs soi</w:t>
            </w:r>
            <w:r w:rsidR="0036258C">
              <w:rPr>
                <w:rFonts w:ascii="Arial" w:hAnsi="Arial" w:cs="Arial"/>
                <w:color w:val="000000"/>
                <w:lang w:val="fr-BE"/>
              </w:rPr>
              <w:t xml:space="preserve">ent </w:t>
            </w:r>
            <w:r w:rsidR="00854546" w:rsidRPr="008F69F8">
              <w:rPr>
                <w:rFonts w:ascii="Arial" w:hAnsi="Arial" w:cs="Arial"/>
                <w:color w:val="000000"/>
                <w:lang w:val="fr-BE"/>
              </w:rPr>
              <w:t>remplies.</w:t>
            </w:r>
          </w:p>
        </w:tc>
      </w:tr>
      <w:tr w:rsidR="00B4036F" w:rsidRPr="00194241" w14:paraId="78F47B25" w14:textId="77777777" w:rsidTr="00F22339">
        <w:tc>
          <w:tcPr>
            <w:tcW w:w="5387" w:type="dxa"/>
          </w:tcPr>
          <w:p w14:paraId="4ADC5DD5" w14:textId="77777777" w:rsidR="00B4036F" w:rsidRPr="008F69F8" w:rsidRDefault="00B4036F" w:rsidP="002A1F86">
            <w:pPr>
              <w:tabs>
                <w:tab w:val="left" w:pos="0"/>
                <w:tab w:val="left" w:pos="2809"/>
              </w:tabs>
              <w:suppressAutoHyphens/>
              <w:jc w:val="both"/>
              <w:rPr>
                <w:rFonts w:ascii="Arial" w:hAnsi="Arial" w:cs="Arial"/>
                <w:color w:val="000000"/>
                <w:lang w:val="fr-BE"/>
              </w:rPr>
            </w:pPr>
          </w:p>
        </w:tc>
        <w:tc>
          <w:tcPr>
            <w:tcW w:w="5387" w:type="dxa"/>
          </w:tcPr>
          <w:p w14:paraId="03088575" w14:textId="77777777" w:rsidR="00B4036F" w:rsidRPr="008F69F8" w:rsidRDefault="00B4036F" w:rsidP="002A1F86">
            <w:pPr>
              <w:tabs>
                <w:tab w:val="left" w:pos="0"/>
                <w:tab w:val="left" w:pos="2809"/>
              </w:tabs>
              <w:suppressAutoHyphens/>
              <w:ind w:left="34"/>
              <w:jc w:val="both"/>
              <w:rPr>
                <w:rFonts w:ascii="Arial" w:hAnsi="Arial" w:cs="Arial"/>
                <w:color w:val="000000"/>
                <w:lang w:val="fr-BE"/>
              </w:rPr>
            </w:pPr>
          </w:p>
        </w:tc>
      </w:tr>
      <w:tr w:rsidR="00B4036F" w:rsidRPr="00194241" w14:paraId="6CC3911E" w14:textId="77777777" w:rsidTr="00F22339">
        <w:tc>
          <w:tcPr>
            <w:tcW w:w="5387" w:type="dxa"/>
          </w:tcPr>
          <w:p w14:paraId="562529A3" w14:textId="77777777" w:rsidR="00B4036F" w:rsidRPr="002A1F86" w:rsidRDefault="00B4036F" w:rsidP="002A1F86">
            <w:pPr>
              <w:tabs>
                <w:tab w:val="left" w:pos="0"/>
                <w:tab w:val="left" w:pos="2809"/>
              </w:tabs>
              <w:suppressAutoHyphens/>
              <w:jc w:val="both"/>
              <w:rPr>
                <w:rFonts w:ascii="Arial" w:hAnsi="Arial" w:cs="Arial"/>
                <w:color w:val="000000"/>
                <w:lang w:val="nl-BE"/>
              </w:rPr>
            </w:pPr>
            <w:r w:rsidRPr="002A1F86">
              <w:rPr>
                <w:rFonts w:ascii="Arial" w:hAnsi="Arial" w:cs="Arial"/>
                <w:color w:val="000000"/>
                <w:lang w:val="nl-BE"/>
              </w:rPr>
              <w:t>§2. Voor die honoraria bedraagt de coëfficiënt 10,47.</w:t>
            </w:r>
          </w:p>
        </w:tc>
        <w:tc>
          <w:tcPr>
            <w:tcW w:w="5387" w:type="dxa"/>
          </w:tcPr>
          <w:p w14:paraId="6ABB320C" w14:textId="77777777" w:rsidR="00B4036F" w:rsidRPr="008F69F8" w:rsidRDefault="00B4036F" w:rsidP="002A1F86">
            <w:pPr>
              <w:tabs>
                <w:tab w:val="left" w:pos="0"/>
                <w:tab w:val="left" w:pos="2809"/>
              </w:tabs>
              <w:suppressAutoHyphens/>
              <w:ind w:left="34"/>
              <w:jc w:val="both"/>
              <w:rPr>
                <w:rFonts w:ascii="Arial" w:hAnsi="Arial" w:cs="Arial"/>
                <w:color w:val="000000"/>
                <w:lang w:val="fr-BE"/>
              </w:rPr>
            </w:pPr>
            <w:r w:rsidRPr="008F69F8">
              <w:rPr>
                <w:rFonts w:ascii="Arial" w:hAnsi="Arial" w:cs="Arial"/>
                <w:color w:val="000000"/>
                <w:lang w:val="fr-BE"/>
              </w:rPr>
              <w:t>§2. Pour ces honoraires, le coefficient est fixé à 10,47.</w:t>
            </w:r>
          </w:p>
          <w:p w14:paraId="2A7BDC6A" w14:textId="77777777" w:rsidR="00B4036F" w:rsidRPr="008F69F8" w:rsidRDefault="00B4036F" w:rsidP="002A1F86">
            <w:pPr>
              <w:tabs>
                <w:tab w:val="left" w:pos="0"/>
                <w:tab w:val="left" w:pos="2809"/>
              </w:tabs>
              <w:suppressAutoHyphens/>
              <w:ind w:left="34"/>
              <w:jc w:val="both"/>
              <w:rPr>
                <w:rFonts w:ascii="Arial" w:hAnsi="Arial" w:cs="Arial"/>
                <w:color w:val="000000"/>
                <w:lang w:val="fr-BE"/>
              </w:rPr>
            </w:pPr>
          </w:p>
        </w:tc>
      </w:tr>
      <w:tr w:rsidR="006A74C5" w:rsidRPr="0036258C" w14:paraId="4076EE7B" w14:textId="77777777" w:rsidTr="00B4036F">
        <w:trPr>
          <w:trHeight w:val="417"/>
        </w:trPr>
        <w:tc>
          <w:tcPr>
            <w:tcW w:w="5387" w:type="dxa"/>
          </w:tcPr>
          <w:p w14:paraId="25A31819" w14:textId="77777777" w:rsidR="006A74C5" w:rsidRPr="005D2D3D" w:rsidRDefault="00B4036F" w:rsidP="0036258C">
            <w:pPr>
              <w:tabs>
                <w:tab w:val="left" w:pos="0"/>
                <w:tab w:val="left" w:pos="2809"/>
              </w:tabs>
              <w:suppressAutoHyphens/>
              <w:jc w:val="both"/>
              <w:rPr>
                <w:rFonts w:ascii="Arial" w:hAnsi="Arial" w:cs="Arial"/>
                <w:color w:val="000000"/>
                <w:lang w:val="nl-BE"/>
              </w:rPr>
            </w:pPr>
            <w:r w:rsidRPr="005D2D3D">
              <w:rPr>
                <w:rFonts w:ascii="Arial" w:hAnsi="Arial" w:cs="Arial"/>
                <w:color w:val="000000"/>
                <w:lang w:val="nl-BE"/>
              </w:rPr>
              <w:t>§3. De begeleidingsgesprekken</w:t>
            </w:r>
            <w:r w:rsidR="0041152D" w:rsidRPr="005D2D3D">
              <w:rPr>
                <w:rFonts w:ascii="Arial" w:hAnsi="Arial" w:cs="Arial"/>
                <w:color w:val="000000"/>
                <w:lang w:val="nl-BE"/>
              </w:rPr>
              <w:t xml:space="preserve"> ma</w:t>
            </w:r>
            <w:r w:rsidR="0036258C" w:rsidRPr="005D2D3D">
              <w:rPr>
                <w:rFonts w:ascii="Arial" w:hAnsi="Arial" w:cs="Arial"/>
                <w:color w:val="000000"/>
                <w:lang w:val="nl-BE"/>
              </w:rPr>
              <w:t>ken</w:t>
            </w:r>
            <w:r w:rsidR="0041152D" w:rsidRPr="005D2D3D">
              <w:rPr>
                <w:rFonts w:ascii="Arial" w:hAnsi="Arial" w:cs="Arial"/>
                <w:color w:val="000000"/>
                <w:lang w:val="nl-BE"/>
              </w:rPr>
              <w:t xml:space="preserve"> het onderwerp uit van een e-signalisatie en een vermelding op het kasticket.</w:t>
            </w:r>
          </w:p>
        </w:tc>
        <w:tc>
          <w:tcPr>
            <w:tcW w:w="5387" w:type="dxa"/>
          </w:tcPr>
          <w:p w14:paraId="7CE035A5" w14:textId="77777777" w:rsidR="006A74C5" w:rsidRPr="005D2D3D" w:rsidRDefault="00B4036F" w:rsidP="002A1F86">
            <w:pPr>
              <w:tabs>
                <w:tab w:val="left" w:pos="0"/>
                <w:tab w:val="left" w:pos="2809"/>
              </w:tabs>
              <w:suppressAutoHyphens/>
              <w:ind w:left="34"/>
              <w:jc w:val="both"/>
              <w:rPr>
                <w:rFonts w:ascii="Arial" w:hAnsi="Arial" w:cs="Arial"/>
                <w:color w:val="000000"/>
                <w:lang w:val="fr-BE"/>
              </w:rPr>
            </w:pPr>
            <w:r w:rsidRPr="005D2D3D">
              <w:rPr>
                <w:rFonts w:ascii="Arial" w:hAnsi="Arial" w:cs="Arial"/>
                <w:color w:val="000000"/>
                <w:lang w:val="fr-BE"/>
              </w:rPr>
              <w:t>§3. Les entretiens d’accompagnement l’accompagnement font l’objet d’une e-signalisation et d’une mention sur le ticket de caisse.</w:t>
            </w:r>
          </w:p>
        </w:tc>
      </w:tr>
      <w:tr w:rsidR="006A74C5" w:rsidRPr="006A74C5" w14:paraId="775FECD5" w14:textId="77777777" w:rsidTr="00F22339">
        <w:tc>
          <w:tcPr>
            <w:tcW w:w="5387" w:type="dxa"/>
          </w:tcPr>
          <w:p w14:paraId="2DA7C21F" w14:textId="77777777" w:rsidR="006A74C5" w:rsidRPr="008F69F8" w:rsidRDefault="006A74C5" w:rsidP="002A1F86">
            <w:pPr>
              <w:tabs>
                <w:tab w:val="left" w:pos="0"/>
                <w:tab w:val="left" w:pos="2809"/>
              </w:tabs>
              <w:suppressAutoHyphens/>
              <w:jc w:val="both"/>
              <w:rPr>
                <w:rFonts w:ascii="Arial" w:hAnsi="Arial" w:cs="Arial"/>
                <w:color w:val="000000"/>
                <w:lang w:val="fr-BE"/>
              </w:rPr>
            </w:pPr>
          </w:p>
        </w:tc>
        <w:tc>
          <w:tcPr>
            <w:tcW w:w="5387" w:type="dxa"/>
          </w:tcPr>
          <w:p w14:paraId="17CEE626" w14:textId="77777777" w:rsidR="006A74C5" w:rsidRPr="008F69F8" w:rsidRDefault="006A74C5" w:rsidP="002A1F86">
            <w:pPr>
              <w:tabs>
                <w:tab w:val="left" w:pos="0"/>
                <w:tab w:val="left" w:pos="2809"/>
              </w:tabs>
              <w:suppressAutoHyphens/>
              <w:ind w:left="34"/>
              <w:jc w:val="both"/>
              <w:rPr>
                <w:rFonts w:ascii="Arial" w:hAnsi="Arial" w:cs="Arial"/>
                <w:color w:val="000000"/>
                <w:lang w:val="fr-BE"/>
              </w:rPr>
            </w:pPr>
          </w:p>
        </w:tc>
      </w:tr>
      <w:tr w:rsidR="00D62193" w:rsidRPr="002161C1" w14:paraId="69D24A91" w14:textId="77777777" w:rsidTr="00F22339">
        <w:tc>
          <w:tcPr>
            <w:tcW w:w="5387" w:type="dxa"/>
          </w:tcPr>
          <w:p w14:paraId="360DADF3" w14:textId="77777777" w:rsidR="00D62193" w:rsidRPr="002161C1" w:rsidRDefault="00481E40" w:rsidP="002A1F86">
            <w:pPr>
              <w:tabs>
                <w:tab w:val="left" w:pos="0"/>
                <w:tab w:val="left" w:pos="2809"/>
              </w:tabs>
              <w:suppressAutoHyphens/>
              <w:jc w:val="both"/>
              <w:rPr>
                <w:rFonts w:ascii="Arial" w:hAnsi="Arial" w:cs="Arial"/>
                <w:color w:val="000000"/>
                <w:lang w:val="nl-BE"/>
              </w:rPr>
            </w:pPr>
            <w:r w:rsidRPr="0015557E">
              <w:rPr>
                <w:rFonts w:ascii="Arial" w:hAnsi="Arial" w:cs="Arial"/>
                <w:b/>
                <w:color w:val="000000"/>
                <w:lang w:val="nl-BE"/>
              </w:rPr>
              <w:t>Art. 6/1.</w:t>
            </w:r>
            <w:r w:rsidRPr="002161C1">
              <w:rPr>
                <w:rFonts w:ascii="Arial" w:hAnsi="Arial" w:cs="Arial"/>
                <w:color w:val="000000"/>
                <w:lang w:val="nl-BE"/>
              </w:rPr>
              <w:t xml:space="preserve"> §1. Een specifiek honorarium wordt toegekend voor de prestatie bedoeld in artikel 4, 3° voor zover de voorwaarden vastgesteld door het Comité van de verzekering voor geneeskundige verzorging op voorstel van de Overeenkomstencommissie tussen de apothekers en de verzekeringsinstellingen worden voldaan.</w:t>
            </w:r>
          </w:p>
        </w:tc>
        <w:tc>
          <w:tcPr>
            <w:tcW w:w="5387" w:type="dxa"/>
          </w:tcPr>
          <w:p w14:paraId="45D725CF" w14:textId="77777777" w:rsidR="00D62193" w:rsidRPr="002161C1" w:rsidRDefault="00454A26" w:rsidP="002A1F86">
            <w:pPr>
              <w:tabs>
                <w:tab w:val="left" w:pos="0"/>
                <w:tab w:val="left" w:pos="2809"/>
              </w:tabs>
              <w:suppressAutoHyphens/>
              <w:ind w:left="34"/>
              <w:jc w:val="both"/>
              <w:rPr>
                <w:rFonts w:ascii="Arial" w:hAnsi="Arial" w:cs="Arial"/>
                <w:color w:val="000000"/>
                <w:lang w:val="fr-BE"/>
              </w:rPr>
            </w:pPr>
            <w:r w:rsidRPr="002161C1">
              <w:rPr>
                <w:rFonts w:ascii="Arial" w:hAnsi="Arial" w:cs="Arial"/>
                <w:b/>
                <w:color w:val="000000"/>
                <w:lang w:val="fr-BE"/>
              </w:rPr>
              <w:t>Art. 6/1.</w:t>
            </w:r>
            <w:r w:rsidRPr="002161C1">
              <w:rPr>
                <w:rFonts w:ascii="Arial" w:hAnsi="Arial" w:cs="Arial"/>
                <w:color w:val="000000"/>
                <w:lang w:val="fr-BE"/>
              </w:rPr>
              <w:t xml:space="preserve"> §1er. Un honoraire spécifique est octroyé pour la prestation visée à l’article 4, 3° pour autant que les conditions fixées par le Comité de l’Assurance des soins de santé sur proposition de la Commission de conventions entre les pharmaciens et les organismes assureurs soient remplies.</w:t>
            </w:r>
          </w:p>
        </w:tc>
      </w:tr>
      <w:tr w:rsidR="00454A26" w:rsidRPr="002161C1" w14:paraId="354BBCFF" w14:textId="77777777" w:rsidTr="00F22339">
        <w:tc>
          <w:tcPr>
            <w:tcW w:w="5387" w:type="dxa"/>
          </w:tcPr>
          <w:p w14:paraId="43838ABF" w14:textId="77777777" w:rsidR="00454A26" w:rsidRPr="002161C1" w:rsidRDefault="00454A26" w:rsidP="002A1F86">
            <w:pPr>
              <w:tabs>
                <w:tab w:val="left" w:pos="0"/>
                <w:tab w:val="left" w:pos="2809"/>
              </w:tabs>
              <w:suppressAutoHyphens/>
              <w:jc w:val="both"/>
              <w:rPr>
                <w:rFonts w:ascii="Arial" w:hAnsi="Arial" w:cs="Arial"/>
                <w:color w:val="000000"/>
                <w:lang w:val="fr-BE"/>
              </w:rPr>
            </w:pPr>
          </w:p>
        </w:tc>
        <w:tc>
          <w:tcPr>
            <w:tcW w:w="5387" w:type="dxa"/>
          </w:tcPr>
          <w:p w14:paraId="286E94B5"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p>
        </w:tc>
      </w:tr>
      <w:tr w:rsidR="00454A26" w:rsidRPr="002161C1" w14:paraId="56AC2DF2" w14:textId="77777777" w:rsidTr="00F22339">
        <w:tc>
          <w:tcPr>
            <w:tcW w:w="5387" w:type="dxa"/>
          </w:tcPr>
          <w:p w14:paraId="359E42ED" w14:textId="77777777" w:rsidR="00454A26" w:rsidRPr="002161C1" w:rsidRDefault="00481E40" w:rsidP="002A1F86">
            <w:pPr>
              <w:tabs>
                <w:tab w:val="left" w:pos="0"/>
                <w:tab w:val="left" w:pos="2809"/>
              </w:tabs>
              <w:suppressAutoHyphens/>
              <w:jc w:val="both"/>
              <w:rPr>
                <w:rFonts w:ascii="Arial" w:hAnsi="Arial" w:cs="Arial"/>
                <w:color w:val="000000"/>
                <w:lang w:val="nl-BE"/>
              </w:rPr>
            </w:pPr>
            <w:r w:rsidRPr="002161C1">
              <w:rPr>
                <w:rFonts w:ascii="Arial" w:hAnsi="Arial" w:cs="Arial"/>
                <w:color w:val="000000"/>
                <w:lang w:val="nl-BE"/>
              </w:rPr>
              <w:t>§2. Voor dit honorarium bedraagt de coëfficiënt 16,29.</w:t>
            </w:r>
          </w:p>
        </w:tc>
        <w:tc>
          <w:tcPr>
            <w:tcW w:w="5387" w:type="dxa"/>
          </w:tcPr>
          <w:p w14:paraId="137A5218"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r w:rsidRPr="002161C1">
              <w:rPr>
                <w:rFonts w:ascii="Arial" w:hAnsi="Arial" w:cs="Arial"/>
                <w:color w:val="000000"/>
                <w:lang w:val="fr-BE"/>
              </w:rPr>
              <w:t>§2. Pour cet honoraire, le coefficient est fixé à 16,29.</w:t>
            </w:r>
          </w:p>
        </w:tc>
      </w:tr>
      <w:tr w:rsidR="00454A26" w:rsidRPr="002161C1" w14:paraId="31960ADB" w14:textId="77777777" w:rsidTr="00F22339">
        <w:tc>
          <w:tcPr>
            <w:tcW w:w="5387" w:type="dxa"/>
          </w:tcPr>
          <w:p w14:paraId="266B84D7" w14:textId="77777777" w:rsidR="00454A26" w:rsidRPr="002161C1" w:rsidRDefault="00454A26" w:rsidP="002A1F86">
            <w:pPr>
              <w:tabs>
                <w:tab w:val="left" w:pos="0"/>
                <w:tab w:val="left" w:pos="2809"/>
              </w:tabs>
              <w:suppressAutoHyphens/>
              <w:jc w:val="both"/>
              <w:rPr>
                <w:rFonts w:ascii="Arial" w:hAnsi="Arial" w:cs="Arial"/>
                <w:color w:val="000000"/>
                <w:lang w:val="fr-BE"/>
              </w:rPr>
            </w:pPr>
          </w:p>
        </w:tc>
        <w:tc>
          <w:tcPr>
            <w:tcW w:w="5387" w:type="dxa"/>
          </w:tcPr>
          <w:p w14:paraId="05D4037A"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p>
        </w:tc>
      </w:tr>
      <w:tr w:rsidR="00454A26" w:rsidRPr="002161C1" w14:paraId="3D55C417" w14:textId="77777777" w:rsidTr="00F22339">
        <w:tc>
          <w:tcPr>
            <w:tcW w:w="5387" w:type="dxa"/>
          </w:tcPr>
          <w:p w14:paraId="642B3B7D" w14:textId="77777777" w:rsidR="00454A26" w:rsidRPr="002161C1" w:rsidRDefault="00481E40" w:rsidP="002A1F86">
            <w:pPr>
              <w:tabs>
                <w:tab w:val="left" w:pos="0"/>
                <w:tab w:val="left" w:pos="2809"/>
              </w:tabs>
              <w:suppressAutoHyphens/>
              <w:jc w:val="both"/>
              <w:rPr>
                <w:rFonts w:ascii="Arial" w:hAnsi="Arial" w:cs="Arial"/>
                <w:color w:val="000000"/>
                <w:lang w:val="nl-BE"/>
              </w:rPr>
            </w:pPr>
            <w:r w:rsidRPr="002161C1">
              <w:rPr>
                <w:rFonts w:ascii="Arial" w:hAnsi="Arial" w:cs="Arial"/>
                <w:color w:val="000000"/>
                <w:lang w:val="nl-BE"/>
              </w:rPr>
              <w:t>§3. Dit honorarium is per kalenderjaar verschuldigd aan de apotheek voor iedere rechthebbende die behoort tot de doelgroep, zoals beschreven in de voorwaarden vastgesteld door het Comité van de verzekering voor geneeskundige verzorging op voorstel van de Overeenkomstencommissie tussen de apothekers en de verzekeringsinstellingen, en voor wie de prestatie “huisapotheker” zoals vermeld in artikel 1, 8° werd uitgevoerd.</w:t>
            </w:r>
          </w:p>
        </w:tc>
        <w:tc>
          <w:tcPr>
            <w:tcW w:w="5387" w:type="dxa"/>
          </w:tcPr>
          <w:p w14:paraId="699612A2"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r w:rsidRPr="002161C1">
              <w:rPr>
                <w:rFonts w:ascii="Arial" w:hAnsi="Arial" w:cs="Arial"/>
                <w:color w:val="000000"/>
                <w:lang w:val="fr-BE"/>
              </w:rPr>
              <w:t>§3. Cet honoraire est dû par année calendrier à la pharmacie pour chaque bénéficiaire qui appartient au groupe cible, comme décrit dans les conditions fixées par le Comité de l’Assurance des soins de santé sur proposition de la Commission de conventions entre les pharmaciens et les organismes assureurs, et pour lequel la prestation « pharmacien de référence », comme mentionnée dans l’article 1 , 8° a été effectuée.</w:t>
            </w:r>
          </w:p>
        </w:tc>
      </w:tr>
      <w:tr w:rsidR="00454A26" w:rsidRPr="002161C1" w14:paraId="50250DCB" w14:textId="77777777" w:rsidTr="00F22339">
        <w:tc>
          <w:tcPr>
            <w:tcW w:w="5387" w:type="dxa"/>
          </w:tcPr>
          <w:p w14:paraId="1E508E22" w14:textId="77777777" w:rsidR="00454A26" w:rsidRPr="002161C1" w:rsidRDefault="00454A26" w:rsidP="002A1F86">
            <w:pPr>
              <w:tabs>
                <w:tab w:val="left" w:pos="0"/>
                <w:tab w:val="left" w:pos="2809"/>
              </w:tabs>
              <w:suppressAutoHyphens/>
              <w:jc w:val="both"/>
              <w:rPr>
                <w:rFonts w:ascii="Arial" w:hAnsi="Arial" w:cs="Arial"/>
                <w:color w:val="000000"/>
                <w:lang w:val="fr-BE"/>
              </w:rPr>
            </w:pPr>
          </w:p>
        </w:tc>
        <w:tc>
          <w:tcPr>
            <w:tcW w:w="5387" w:type="dxa"/>
          </w:tcPr>
          <w:p w14:paraId="136977C9"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p>
        </w:tc>
      </w:tr>
      <w:tr w:rsidR="00454A26" w:rsidRPr="00AB32DE" w14:paraId="7A4FF7E3" w14:textId="77777777" w:rsidTr="00F22339">
        <w:tc>
          <w:tcPr>
            <w:tcW w:w="5387" w:type="dxa"/>
          </w:tcPr>
          <w:p w14:paraId="388F124B" w14:textId="77777777" w:rsidR="00454A26" w:rsidRPr="002161C1" w:rsidRDefault="00481E40" w:rsidP="002A1F86">
            <w:pPr>
              <w:tabs>
                <w:tab w:val="left" w:pos="0"/>
                <w:tab w:val="left" w:pos="2809"/>
              </w:tabs>
              <w:suppressAutoHyphens/>
              <w:jc w:val="both"/>
              <w:rPr>
                <w:rFonts w:ascii="Arial" w:hAnsi="Arial" w:cs="Arial"/>
                <w:color w:val="000000"/>
                <w:lang w:val="nl-BE"/>
              </w:rPr>
            </w:pPr>
            <w:r w:rsidRPr="002161C1">
              <w:rPr>
                <w:rFonts w:ascii="Arial" w:hAnsi="Arial" w:cs="Arial"/>
                <w:color w:val="000000"/>
                <w:lang w:val="nl-BE"/>
              </w:rPr>
              <w:t xml:space="preserve">§4. Die prestatie maakt het voorwerp uit van een registratie via het </w:t>
            </w:r>
            <w:proofErr w:type="spellStart"/>
            <w:r w:rsidRPr="002161C1">
              <w:rPr>
                <w:rFonts w:ascii="Arial" w:hAnsi="Arial" w:cs="Arial"/>
                <w:color w:val="000000"/>
                <w:lang w:val="nl-BE"/>
              </w:rPr>
              <w:t>Farmanet</w:t>
            </w:r>
            <w:proofErr w:type="spellEnd"/>
            <w:r w:rsidRPr="002161C1">
              <w:rPr>
                <w:rFonts w:ascii="Arial" w:hAnsi="Arial" w:cs="Arial"/>
                <w:color w:val="000000"/>
                <w:lang w:val="nl-BE"/>
              </w:rPr>
              <w:t xml:space="preserve"> factureringsbestand.</w:t>
            </w:r>
          </w:p>
        </w:tc>
        <w:tc>
          <w:tcPr>
            <w:tcW w:w="5387" w:type="dxa"/>
          </w:tcPr>
          <w:p w14:paraId="63BD9026" w14:textId="77777777" w:rsidR="00454A26" w:rsidRPr="002161C1" w:rsidRDefault="00454A26" w:rsidP="002A1F86">
            <w:pPr>
              <w:tabs>
                <w:tab w:val="left" w:pos="0"/>
                <w:tab w:val="left" w:pos="2809"/>
              </w:tabs>
              <w:suppressAutoHyphens/>
              <w:ind w:left="34"/>
              <w:jc w:val="both"/>
              <w:rPr>
                <w:rFonts w:ascii="Arial" w:hAnsi="Arial" w:cs="Arial"/>
                <w:color w:val="000000"/>
                <w:lang w:val="fr-BE"/>
              </w:rPr>
            </w:pPr>
            <w:r w:rsidRPr="002161C1">
              <w:rPr>
                <w:rFonts w:ascii="Arial" w:hAnsi="Arial" w:cs="Arial"/>
                <w:color w:val="000000"/>
                <w:lang w:val="fr-BE"/>
              </w:rPr>
              <w:t xml:space="preserve">§4. Cette prestation fait l’objet d’un enregistrement via le fichier de facturation </w:t>
            </w:r>
            <w:proofErr w:type="spellStart"/>
            <w:r w:rsidRPr="002161C1">
              <w:rPr>
                <w:rFonts w:ascii="Arial" w:hAnsi="Arial" w:cs="Arial"/>
                <w:color w:val="000000"/>
                <w:lang w:val="fr-BE"/>
              </w:rPr>
              <w:t>Pharmanet</w:t>
            </w:r>
            <w:proofErr w:type="spellEnd"/>
            <w:r w:rsidRPr="002161C1">
              <w:rPr>
                <w:rFonts w:ascii="Arial" w:hAnsi="Arial" w:cs="Arial"/>
                <w:color w:val="000000"/>
                <w:lang w:val="fr-BE"/>
              </w:rPr>
              <w:t>.</w:t>
            </w:r>
          </w:p>
        </w:tc>
      </w:tr>
      <w:tr w:rsidR="009F4D86" w:rsidRPr="00AB32DE" w14:paraId="2CB15145" w14:textId="77777777" w:rsidTr="00F22339">
        <w:tc>
          <w:tcPr>
            <w:tcW w:w="5387" w:type="dxa"/>
          </w:tcPr>
          <w:p w14:paraId="6B8D7BCF" w14:textId="77777777" w:rsidR="009F4D86" w:rsidRPr="008F69F8" w:rsidRDefault="009F4D86" w:rsidP="002A1F86">
            <w:pPr>
              <w:tabs>
                <w:tab w:val="left" w:pos="0"/>
                <w:tab w:val="left" w:pos="2809"/>
              </w:tabs>
              <w:suppressAutoHyphens/>
              <w:jc w:val="both"/>
              <w:rPr>
                <w:rFonts w:ascii="Arial" w:hAnsi="Arial" w:cs="Arial"/>
                <w:color w:val="000000"/>
                <w:lang w:val="fr-BE"/>
              </w:rPr>
            </w:pPr>
          </w:p>
        </w:tc>
        <w:tc>
          <w:tcPr>
            <w:tcW w:w="5387" w:type="dxa"/>
          </w:tcPr>
          <w:p w14:paraId="2DD3AD6F" w14:textId="77777777" w:rsidR="009F4D86" w:rsidRPr="008F69F8" w:rsidRDefault="009F4D86" w:rsidP="002A1F86">
            <w:pPr>
              <w:tabs>
                <w:tab w:val="left" w:pos="0"/>
                <w:tab w:val="left" w:pos="2809"/>
              </w:tabs>
              <w:suppressAutoHyphens/>
              <w:ind w:left="34"/>
              <w:jc w:val="both"/>
              <w:rPr>
                <w:rFonts w:ascii="Arial" w:hAnsi="Arial" w:cs="Arial"/>
                <w:color w:val="000000"/>
                <w:lang w:val="fr-BE"/>
              </w:rPr>
            </w:pPr>
          </w:p>
        </w:tc>
      </w:tr>
      <w:tr w:rsidR="00454A26" w:rsidRPr="00B46421" w14:paraId="3DB96A23" w14:textId="77777777" w:rsidTr="00F22339">
        <w:tc>
          <w:tcPr>
            <w:tcW w:w="5387" w:type="dxa"/>
          </w:tcPr>
          <w:p w14:paraId="68E5C9DB" w14:textId="509B93F6" w:rsidR="00454A26" w:rsidRPr="003A57BF" w:rsidRDefault="00B46421" w:rsidP="002A1F86">
            <w:pPr>
              <w:tabs>
                <w:tab w:val="left" w:pos="0"/>
                <w:tab w:val="left" w:pos="2809"/>
              </w:tabs>
              <w:suppressAutoHyphens/>
              <w:jc w:val="both"/>
              <w:rPr>
                <w:rFonts w:ascii="Arial" w:hAnsi="Arial" w:cs="Arial"/>
                <w:lang w:val="nl-NL"/>
              </w:rPr>
            </w:pPr>
            <w:r w:rsidRPr="003A57BF">
              <w:rPr>
                <w:rFonts w:ascii="Arial" w:hAnsi="Arial" w:cs="Arial"/>
                <w:b/>
                <w:spacing w:val="-2"/>
                <w:lang w:val="nl-BE"/>
              </w:rPr>
              <w:t xml:space="preserve">Art. 6/2. </w:t>
            </w:r>
            <w:r w:rsidRPr="003A57BF">
              <w:rPr>
                <w:rFonts w:ascii="Arial" w:hAnsi="Arial" w:cs="Arial"/>
                <w:spacing w:val="-2"/>
                <w:lang w:val="nl-BE"/>
              </w:rPr>
              <w:t>§1. Specifieke honoraria worden toegekend voor de prestatie bedoeld in artikel 4, 4° voor zover de voorwaarden vastgesteld door het Comité van de verzekering voor geneeskundige verzorging op voorstel van de Overeenkomstencommissie tussen de apothekers en de verzekeringsinstellingen worden voldaan.</w:t>
            </w:r>
          </w:p>
        </w:tc>
        <w:tc>
          <w:tcPr>
            <w:tcW w:w="5387" w:type="dxa"/>
          </w:tcPr>
          <w:p w14:paraId="527DC347" w14:textId="2FF02972" w:rsidR="00454A26" w:rsidRPr="003A57BF" w:rsidRDefault="00B46421" w:rsidP="002A1F86">
            <w:pPr>
              <w:tabs>
                <w:tab w:val="left" w:pos="0"/>
                <w:tab w:val="left" w:pos="2809"/>
              </w:tabs>
              <w:suppressAutoHyphens/>
              <w:ind w:left="34"/>
              <w:jc w:val="both"/>
              <w:rPr>
                <w:rFonts w:ascii="Arial" w:hAnsi="Arial" w:cs="Arial"/>
                <w:lang w:val="fr-BE"/>
              </w:rPr>
            </w:pPr>
            <w:r w:rsidRPr="003A57BF">
              <w:rPr>
                <w:rFonts w:ascii="Arial" w:hAnsi="Arial" w:cs="Arial"/>
                <w:b/>
                <w:spacing w:val="-2"/>
                <w:lang w:val="fr-BE"/>
              </w:rPr>
              <w:t xml:space="preserve">Art. 6/2. </w:t>
            </w:r>
            <w:r w:rsidRPr="003A57BF">
              <w:rPr>
                <w:rFonts w:ascii="Arial" w:hAnsi="Arial" w:cs="Arial"/>
                <w:spacing w:val="-2"/>
                <w:lang w:val="fr-BE"/>
              </w:rPr>
              <w:t>§1</w:t>
            </w:r>
            <w:r w:rsidRPr="003A57BF">
              <w:rPr>
                <w:rFonts w:ascii="Arial" w:hAnsi="Arial" w:cs="Arial"/>
                <w:spacing w:val="-2"/>
                <w:vertAlign w:val="superscript"/>
                <w:lang w:val="fr-BE"/>
              </w:rPr>
              <w:t>er</w:t>
            </w:r>
            <w:r w:rsidRPr="003A57BF">
              <w:rPr>
                <w:rFonts w:ascii="Arial" w:hAnsi="Arial" w:cs="Arial"/>
                <w:spacing w:val="-2"/>
                <w:lang w:val="fr-BE"/>
              </w:rPr>
              <w:t>.</w:t>
            </w:r>
            <w:r w:rsidRPr="003A57BF">
              <w:rPr>
                <w:rFonts w:ascii="Arial" w:hAnsi="Arial" w:cs="Arial"/>
                <w:b/>
                <w:spacing w:val="-2"/>
                <w:lang w:val="fr-BE"/>
              </w:rPr>
              <w:t xml:space="preserve"> </w:t>
            </w:r>
            <w:r w:rsidRPr="003A57BF">
              <w:rPr>
                <w:rFonts w:ascii="Arial" w:hAnsi="Arial" w:cs="Arial"/>
                <w:bCs/>
                <w:spacing w:val="-2"/>
                <w:lang w:val="fr-BE"/>
              </w:rPr>
              <w:t xml:space="preserve">Des honoraires spécifiques sont octroyés </w:t>
            </w:r>
            <w:r w:rsidRPr="003A57BF">
              <w:rPr>
                <w:rFonts w:ascii="Arial" w:hAnsi="Arial" w:cs="Arial"/>
                <w:spacing w:val="-2"/>
                <w:lang w:val="fr-BE"/>
              </w:rPr>
              <w:t>pour la prestation visée à l’article 4, 4° pour autant que les conditions fixées par le Comité de l’Assurance des soins de santé sur proposition de la Commission de conventions entre les pharmaciens et les organismes assureurs soient remplies.</w:t>
            </w:r>
          </w:p>
        </w:tc>
      </w:tr>
      <w:tr w:rsidR="009F4D86" w:rsidRPr="00B46421" w14:paraId="4FD90DC0" w14:textId="77777777" w:rsidTr="00F22339">
        <w:tc>
          <w:tcPr>
            <w:tcW w:w="5387" w:type="dxa"/>
          </w:tcPr>
          <w:p w14:paraId="3E4A6AE1" w14:textId="77777777" w:rsidR="009F4D86" w:rsidRPr="003A57BF" w:rsidRDefault="009F4D86" w:rsidP="002A1F86">
            <w:pPr>
              <w:tabs>
                <w:tab w:val="left" w:pos="0"/>
                <w:tab w:val="left" w:pos="2809"/>
              </w:tabs>
              <w:suppressAutoHyphens/>
              <w:jc w:val="both"/>
              <w:rPr>
                <w:rFonts w:ascii="Arial" w:hAnsi="Arial" w:cs="Arial"/>
                <w:lang w:val="fr-BE"/>
              </w:rPr>
            </w:pPr>
          </w:p>
        </w:tc>
        <w:tc>
          <w:tcPr>
            <w:tcW w:w="5387" w:type="dxa"/>
          </w:tcPr>
          <w:p w14:paraId="47F2FCCD" w14:textId="77777777" w:rsidR="009F4D86" w:rsidRPr="003A57BF" w:rsidRDefault="009F4D86" w:rsidP="002A1F86">
            <w:pPr>
              <w:tabs>
                <w:tab w:val="left" w:pos="0"/>
                <w:tab w:val="left" w:pos="2809"/>
              </w:tabs>
              <w:suppressAutoHyphens/>
              <w:ind w:left="34"/>
              <w:jc w:val="both"/>
              <w:rPr>
                <w:rFonts w:ascii="Arial" w:hAnsi="Arial" w:cs="Arial"/>
                <w:lang w:val="fr-BE"/>
              </w:rPr>
            </w:pPr>
          </w:p>
        </w:tc>
      </w:tr>
      <w:tr w:rsidR="009F4D86" w:rsidRPr="00AB32DE" w14:paraId="25B802BF" w14:textId="77777777" w:rsidTr="00F22339">
        <w:tc>
          <w:tcPr>
            <w:tcW w:w="5387" w:type="dxa"/>
          </w:tcPr>
          <w:p w14:paraId="37E34783" w14:textId="77777777" w:rsidR="00B46421" w:rsidRPr="003A57BF" w:rsidRDefault="00B46421" w:rsidP="00B46421">
            <w:pPr>
              <w:tabs>
                <w:tab w:val="left" w:pos="-5708"/>
                <w:tab w:val="left" w:pos="-5190"/>
                <w:tab w:val="left" w:pos="-4710"/>
                <w:tab w:val="left" w:pos="-4230"/>
                <w:tab w:val="left" w:pos="-3750"/>
                <w:tab w:val="left" w:pos="-3270"/>
                <w:tab w:val="left" w:pos="-2790"/>
                <w:tab w:val="left" w:pos="-2310"/>
                <w:tab w:val="left" w:pos="-1830"/>
                <w:tab w:val="left" w:pos="-1350"/>
                <w:tab w:val="left" w:pos="-30"/>
                <w:tab w:val="left" w:pos="450"/>
                <w:tab w:val="left" w:pos="930"/>
                <w:tab w:val="left" w:pos="1410"/>
                <w:tab w:val="left" w:pos="1890"/>
                <w:tab w:val="left" w:pos="2370"/>
                <w:tab w:val="left" w:pos="2850"/>
                <w:tab w:val="left" w:pos="3330"/>
                <w:tab w:val="left" w:pos="3810"/>
                <w:tab w:val="left" w:pos="4290"/>
              </w:tabs>
              <w:jc w:val="both"/>
              <w:rPr>
                <w:rFonts w:ascii="Arial" w:hAnsi="Arial" w:cs="Arial"/>
                <w:spacing w:val="-2"/>
                <w:lang w:val="nl-BE"/>
              </w:rPr>
            </w:pPr>
            <w:r w:rsidRPr="003A57BF">
              <w:rPr>
                <w:rFonts w:ascii="Arial" w:hAnsi="Arial" w:cs="Arial"/>
                <w:spacing w:val="-2"/>
                <w:lang w:val="nl-BE"/>
              </w:rPr>
              <w:t>§2. Voor deze honoraria bedragen de coëfficiënten :</w:t>
            </w:r>
          </w:p>
          <w:p w14:paraId="68281659" w14:textId="2C9FC954" w:rsidR="009F4D86" w:rsidRPr="003A57BF" w:rsidRDefault="00B46421" w:rsidP="00B46421">
            <w:pPr>
              <w:pStyle w:val="Paragraphedeliste"/>
              <w:numPr>
                <w:ilvl w:val="0"/>
                <w:numId w:val="34"/>
              </w:numPr>
              <w:tabs>
                <w:tab w:val="left" w:pos="0"/>
                <w:tab w:val="left" w:pos="2809"/>
              </w:tabs>
              <w:suppressAutoHyphens/>
              <w:jc w:val="both"/>
              <w:rPr>
                <w:rFonts w:ascii="Arial" w:hAnsi="Arial" w:cs="Arial"/>
                <w:lang w:val="fr-BE"/>
              </w:rPr>
            </w:pPr>
            <w:r w:rsidRPr="003A57BF">
              <w:rPr>
                <w:rFonts w:ascii="Arial" w:eastAsia="ArialMT" w:hAnsi="Arial" w:cs="Arial"/>
                <w:bCs/>
              </w:rPr>
              <w:t xml:space="preserve">42,20 </w:t>
            </w:r>
            <w:proofErr w:type="spellStart"/>
            <w:r w:rsidRPr="003A57BF">
              <w:rPr>
                <w:rFonts w:ascii="Arial" w:eastAsia="ArialMT" w:hAnsi="Arial" w:cs="Arial"/>
                <w:bCs/>
              </w:rPr>
              <w:t>voor</w:t>
            </w:r>
            <w:proofErr w:type="spellEnd"/>
            <w:r w:rsidRPr="003A57BF">
              <w:rPr>
                <w:rFonts w:ascii="Arial" w:eastAsia="ArialMT" w:hAnsi="Arial" w:cs="Arial"/>
                <w:bCs/>
              </w:rPr>
              <w:t xml:space="preserve"> de </w:t>
            </w:r>
            <w:proofErr w:type="spellStart"/>
            <w:r w:rsidRPr="003A57BF">
              <w:rPr>
                <w:rFonts w:ascii="Arial" w:eastAsia="ArialMT" w:hAnsi="Arial" w:cs="Arial"/>
                <w:bCs/>
              </w:rPr>
              <w:t>medicatienazicht</w:t>
            </w:r>
            <w:proofErr w:type="spellEnd"/>
          </w:p>
        </w:tc>
        <w:tc>
          <w:tcPr>
            <w:tcW w:w="5387" w:type="dxa"/>
          </w:tcPr>
          <w:p w14:paraId="18D3D232" w14:textId="77777777" w:rsidR="00B46421" w:rsidRPr="003A57BF" w:rsidRDefault="00B46421" w:rsidP="00B46421">
            <w:pPr>
              <w:tabs>
                <w:tab w:val="left" w:pos="-38"/>
                <w:tab w:val="left" w:pos="480"/>
                <w:tab w:val="left" w:pos="960"/>
                <w:tab w:val="left" w:pos="1440"/>
                <w:tab w:val="left" w:pos="1920"/>
                <w:tab w:val="left" w:pos="2400"/>
                <w:tab w:val="left" w:pos="2880"/>
                <w:tab w:val="left" w:pos="3360"/>
                <w:tab w:val="left" w:pos="3840"/>
                <w:tab w:val="left" w:pos="4320"/>
                <w:tab w:val="left" w:pos="5640"/>
              </w:tabs>
              <w:jc w:val="both"/>
              <w:rPr>
                <w:rFonts w:ascii="Arial" w:hAnsi="Arial" w:cs="Arial"/>
                <w:spacing w:val="-2"/>
                <w:lang w:val="fr-BE"/>
              </w:rPr>
            </w:pPr>
            <w:r w:rsidRPr="003A57BF">
              <w:rPr>
                <w:rFonts w:ascii="Arial" w:hAnsi="Arial" w:cs="Arial"/>
                <w:spacing w:val="-2"/>
                <w:lang w:val="fr-BE"/>
              </w:rPr>
              <w:t>§2. Pour ces honoraires, les coefficients sont fixés à :</w:t>
            </w:r>
          </w:p>
          <w:p w14:paraId="64EE5176" w14:textId="113379FF" w:rsidR="009F4D86" w:rsidRPr="003A57BF" w:rsidRDefault="00B46421" w:rsidP="00B46421">
            <w:pPr>
              <w:pStyle w:val="Paragraphedeliste"/>
              <w:numPr>
                <w:ilvl w:val="0"/>
                <w:numId w:val="34"/>
              </w:numPr>
              <w:tabs>
                <w:tab w:val="left" w:pos="0"/>
                <w:tab w:val="left" w:pos="2809"/>
              </w:tabs>
              <w:suppressAutoHyphens/>
              <w:jc w:val="both"/>
              <w:rPr>
                <w:rFonts w:ascii="Arial" w:hAnsi="Arial" w:cs="Arial"/>
                <w:lang w:val="fr-BE"/>
              </w:rPr>
            </w:pPr>
            <w:r w:rsidRPr="003A57BF">
              <w:rPr>
                <w:rFonts w:ascii="Arial" w:eastAsia="ArialMT" w:hAnsi="Arial" w:cs="Arial"/>
                <w:bCs/>
              </w:rPr>
              <w:t>42,20 pour la revue de la médication</w:t>
            </w:r>
          </w:p>
        </w:tc>
      </w:tr>
      <w:tr w:rsidR="009F4D86" w:rsidRPr="00AB32DE" w14:paraId="08C7F36C" w14:textId="77777777" w:rsidTr="00F22339">
        <w:tc>
          <w:tcPr>
            <w:tcW w:w="5387" w:type="dxa"/>
          </w:tcPr>
          <w:p w14:paraId="1F4E1BED" w14:textId="77777777" w:rsidR="009F4D86" w:rsidRPr="003A57BF" w:rsidRDefault="009F4D86" w:rsidP="002A1F86">
            <w:pPr>
              <w:tabs>
                <w:tab w:val="left" w:pos="0"/>
                <w:tab w:val="left" w:pos="2809"/>
              </w:tabs>
              <w:suppressAutoHyphens/>
              <w:jc w:val="both"/>
              <w:rPr>
                <w:rFonts w:ascii="Arial" w:hAnsi="Arial" w:cs="Arial"/>
                <w:lang w:val="fr-BE"/>
              </w:rPr>
            </w:pPr>
          </w:p>
        </w:tc>
        <w:tc>
          <w:tcPr>
            <w:tcW w:w="5387" w:type="dxa"/>
          </w:tcPr>
          <w:p w14:paraId="129211F7" w14:textId="77777777" w:rsidR="009F4D86" w:rsidRPr="003A57BF" w:rsidRDefault="009F4D86" w:rsidP="002A1F86">
            <w:pPr>
              <w:tabs>
                <w:tab w:val="left" w:pos="0"/>
                <w:tab w:val="left" w:pos="2809"/>
              </w:tabs>
              <w:suppressAutoHyphens/>
              <w:ind w:left="34"/>
              <w:jc w:val="both"/>
              <w:rPr>
                <w:rFonts w:ascii="Arial" w:hAnsi="Arial" w:cs="Arial"/>
                <w:lang w:val="fr-BE"/>
              </w:rPr>
            </w:pPr>
          </w:p>
        </w:tc>
      </w:tr>
      <w:tr w:rsidR="00B46421" w:rsidRPr="00B46421" w14:paraId="3FE26CAC" w14:textId="77777777" w:rsidTr="00F22339">
        <w:tc>
          <w:tcPr>
            <w:tcW w:w="5387" w:type="dxa"/>
          </w:tcPr>
          <w:p w14:paraId="2F799E6E" w14:textId="59C5C145" w:rsidR="00B46421" w:rsidRPr="003A57BF" w:rsidRDefault="00B46421" w:rsidP="002A1F86">
            <w:pPr>
              <w:tabs>
                <w:tab w:val="left" w:pos="0"/>
                <w:tab w:val="left" w:pos="2809"/>
              </w:tabs>
              <w:suppressAutoHyphens/>
              <w:jc w:val="both"/>
              <w:rPr>
                <w:rFonts w:ascii="Arial" w:hAnsi="Arial" w:cs="Arial"/>
                <w:lang w:val="nl-NL"/>
              </w:rPr>
            </w:pPr>
            <w:r w:rsidRPr="003A57BF">
              <w:rPr>
                <w:rFonts w:ascii="Arial" w:hAnsi="Arial" w:cs="Arial"/>
                <w:spacing w:val="-2"/>
                <w:lang w:val="nl-BE"/>
              </w:rPr>
              <w:t xml:space="preserve">§3. Deze honoraria zijn per medicatienazicht verschuldigd aan de apotheek voor iedere rechthebbende die behoort tot de doelgroep, zoals </w:t>
            </w:r>
            <w:r w:rsidRPr="003A57BF">
              <w:rPr>
                <w:rFonts w:ascii="Arial" w:hAnsi="Arial" w:cs="Arial"/>
                <w:lang w:val="nl-BE"/>
              </w:rPr>
              <w:t xml:space="preserve">beschreven in de </w:t>
            </w:r>
            <w:r w:rsidRPr="003A57BF">
              <w:rPr>
                <w:rFonts w:ascii="Arial" w:hAnsi="Arial" w:cs="Arial"/>
                <w:spacing w:val="-2"/>
                <w:lang w:val="nl-BE"/>
              </w:rPr>
              <w:t xml:space="preserve">voorwaarden vastgesteld door het Comité van de verzekering voor geneeskundige verzorging op voorstel van de </w:t>
            </w:r>
            <w:r w:rsidRPr="003A57BF">
              <w:rPr>
                <w:rFonts w:ascii="Arial" w:hAnsi="Arial" w:cs="Arial"/>
                <w:spacing w:val="-2"/>
                <w:lang w:val="nl-BE"/>
              </w:rPr>
              <w:lastRenderedPageBreak/>
              <w:t>Overeenkomstencommissie tussen de apothekers en de verzekeringsinstellingen</w:t>
            </w:r>
            <w:r w:rsidRPr="003A57BF">
              <w:rPr>
                <w:rFonts w:ascii="Arial" w:hAnsi="Arial" w:cs="Arial"/>
                <w:lang w:val="nl-BE"/>
              </w:rPr>
              <w:t>, en voor wie de prestatie “medicatienazicht” zoals vermeld in artikel 1, 9° werd uitgevoerd.</w:t>
            </w:r>
          </w:p>
        </w:tc>
        <w:tc>
          <w:tcPr>
            <w:tcW w:w="5387" w:type="dxa"/>
          </w:tcPr>
          <w:p w14:paraId="67BFB07C" w14:textId="67C13EC3" w:rsidR="00B46421" w:rsidRPr="003A57BF" w:rsidRDefault="00B46421" w:rsidP="002A1F86">
            <w:pPr>
              <w:tabs>
                <w:tab w:val="left" w:pos="0"/>
                <w:tab w:val="left" w:pos="2809"/>
              </w:tabs>
              <w:suppressAutoHyphens/>
              <w:ind w:left="34"/>
              <w:jc w:val="both"/>
              <w:rPr>
                <w:rFonts w:ascii="Arial" w:hAnsi="Arial" w:cs="Arial"/>
              </w:rPr>
            </w:pPr>
            <w:r w:rsidRPr="003A57BF">
              <w:rPr>
                <w:rFonts w:ascii="Arial" w:hAnsi="Arial" w:cs="Arial"/>
                <w:spacing w:val="-2"/>
                <w:lang w:val="fr-BE"/>
              </w:rPr>
              <w:lastRenderedPageBreak/>
              <w:t xml:space="preserve">§3. Ces honoraires sont dus par revue de la médication à la pharmacie pour chaque bénéficiaire </w:t>
            </w:r>
            <w:r w:rsidRPr="003A57BF">
              <w:rPr>
                <w:rFonts w:ascii="Arial" w:hAnsi="Arial" w:cs="Arial"/>
                <w:spacing w:val="-2"/>
              </w:rPr>
              <w:t xml:space="preserve">qui appartient au groupe cible, comme </w:t>
            </w:r>
            <w:r w:rsidRPr="003A57BF">
              <w:rPr>
                <w:rFonts w:ascii="Arial" w:hAnsi="Arial" w:cs="Arial"/>
                <w:lang w:val="fr-BE"/>
              </w:rPr>
              <w:t>décrit dans</w:t>
            </w:r>
            <w:r w:rsidRPr="003A57BF">
              <w:rPr>
                <w:rFonts w:ascii="Arial" w:hAnsi="Arial" w:cs="Arial"/>
                <w:spacing w:val="-2"/>
                <w:lang w:val="fr-BE"/>
              </w:rPr>
              <w:t xml:space="preserve"> les conditions fixées par le Comité de l’Assurance des soins de santé sur proposition de la Commission de conventions entre les pharmaciens et </w:t>
            </w:r>
            <w:r w:rsidRPr="003A57BF">
              <w:rPr>
                <w:rFonts w:ascii="Arial" w:hAnsi="Arial" w:cs="Arial"/>
                <w:spacing w:val="-2"/>
                <w:lang w:val="fr-BE"/>
              </w:rPr>
              <w:lastRenderedPageBreak/>
              <w:t>les organismes assureurs</w:t>
            </w:r>
            <w:r w:rsidRPr="003A57BF">
              <w:rPr>
                <w:rFonts w:ascii="Arial" w:hAnsi="Arial" w:cs="Arial"/>
                <w:spacing w:val="-2"/>
              </w:rPr>
              <w:t>, et pour lequel la prestation « revue de la médication », comme mentionnée dans l’article 1</w:t>
            </w:r>
            <w:r w:rsidRPr="003A57BF">
              <w:rPr>
                <w:rFonts w:ascii="Arial" w:hAnsi="Arial" w:cs="Arial"/>
                <w:spacing w:val="-2"/>
                <w:vertAlign w:val="superscript"/>
              </w:rPr>
              <w:t>er,</w:t>
            </w:r>
            <w:r w:rsidRPr="003A57BF">
              <w:rPr>
                <w:rFonts w:ascii="Arial" w:hAnsi="Arial" w:cs="Arial"/>
                <w:spacing w:val="-2"/>
              </w:rPr>
              <w:t>, 9° a été effectuée</w:t>
            </w:r>
            <w:r w:rsidRPr="003A57BF">
              <w:rPr>
                <w:rFonts w:ascii="Arial" w:hAnsi="Arial" w:cs="Arial"/>
                <w:spacing w:val="-2"/>
                <w:lang w:val="fr-BE"/>
              </w:rPr>
              <w:t>.</w:t>
            </w:r>
          </w:p>
        </w:tc>
      </w:tr>
      <w:tr w:rsidR="009F4D86" w:rsidRPr="00B46421" w14:paraId="5D90B1CC" w14:textId="77777777" w:rsidTr="00F22339">
        <w:tc>
          <w:tcPr>
            <w:tcW w:w="5387" w:type="dxa"/>
          </w:tcPr>
          <w:p w14:paraId="79D21CAB" w14:textId="77777777" w:rsidR="009F4D86" w:rsidRPr="00B46421" w:rsidRDefault="009F4D86" w:rsidP="002A1F86">
            <w:pPr>
              <w:tabs>
                <w:tab w:val="left" w:pos="0"/>
                <w:tab w:val="left" w:pos="2809"/>
              </w:tabs>
              <w:suppressAutoHyphens/>
              <w:jc w:val="both"/>
              <w:rPr>
                <w:rFonts w:ascii="Arial" w:hAnsi="Arial" w:cs="Arial"/>
                <w:color w:val="000000"/>
              </w:rPr>
            </w:pPr>
          </w:p>
        </w:tc>
        <w:tc>
          <w:tcPr>
            <w:tcW w:w="5387" w:type="dxa"/>
          </w:tcPr>
          <w:p w14:paraId="0CA2D34C" w14:textId="77777777" w:rsidR="009F4D86" w:rsidRPr="00B46421" w:rsidRDefault="009F4D86" w:rsidP="002A1F86">
            <w:pPr>
              <w:tabs>
                <w:tab w:val="left" w:pos="0"/>
                <w:tab w:val="left" w:pos="2809"/>
              </w:tabs>
              <w:suppressAutoHyphens/>
              <w:ind w:left="34"/>
              <w:jc w:val="both"/>
              <w:rPr>
                <w:rFonts w:ascii="Arial" w:hAnsi="Arial" w:cs="Arial"/>
                <w:color w:val="000000"/>
              </w:rPr>
            </w:pPr>
          </w:p>
        </w:tc>
      </w:tr>
      <w:tr w:rsidR="00B46421" w:rsidRPr="00B46421" w14:paraId="58AD01D5" w14:textId="77777777" w:rsidTr="00F22339">
        <w:tc>
          <w:tcPr>
            <w:tcW w:w="5387" w:type="dxa"/>
          </w:tcPr>
          <w:p w14:paraId="27AD136B" w14:textId="77777777" w:rsidR="00B46421" w:rsidRPr="00B46421" w:rsidRDefault="00B46421" w:rsidP="002A1F86">
            <w:pPr>
              <w:tabs>
                <w:tab w:val="left" w:pos="0"/>
                <w:tab w:val="left" w:pos="2809"/>
              </w:tabs>
              <w:suppressAutoHyphens/>
              <w:jc w:val="both"/>
              <w:rPr>
                <w:rFonts w:ascii="Arial" w:hAnsi="Arial" w:cs="Arial"/>
                <w:color w:val="000000"/>
              </w:rPr>
            </w:pPr>
          </w:p>
        </w:tc>
        <w:tc>
          <w:tcPr>
            <w:tcW w:w="5387" w:type="dxa"/>
          </w:tcPr>
          <w:p w14:paraId="35CEC6CA" w14:textId="77777777" w:rsidR="00B46421" w:rsidRPr="00B46421" w:rsidRDefault="00B46421" w:rsidP="002A1F86">
            <w:pPr>
              <w:tabs>
                <w:tab w:val="left" w:pos="0"/>
                <w:tab w:val="left" w:pos="2809"/>
              </w:tabs>
              <w:suppressAutoHyphens/>
              <w:ind w:left="34"/>
              <w:jc w:val="both"/>
              <w:rPr>
                <w:rFonts w:ascii="Arial" w:hAnsi="Arial" w:cs="Arial"/>
                <w:color w:val="000000"/>
              </w:rPr>
            </w:pPr>
          </w:p>
        </w:tc>
      </w:tr>
      <w:tr w:rsidR="00D62193" w:rsidRPr="006B4614" w14:paraId="60FE5CF5" w14:textId="77777777" w:rsidTr="00F22339">
        <w:tc>
          <w:tcPr>
            <w:tcW w:w="5387" w:type="dxa"/>
          </w:tcPr>
          <w:p w14:paraId="0D299769" w14:textId="77777777" w:rsidR="00D62193" w:rsidRPr="006B4614" w:rsidRDefault="00D62193" w:rsidP="002A1F86">
            <w:pPr>
              <w:tabs>
                <w:tab w:val="left" w:pos="0"/>
                <w:tab w:val="left" w:pos="2809"/>
              </w:tabs>
              <w:suppressAutoHyphens/>
              <w:jc w:val="both"/>
              <w:rPr>
                <w:rFonts w:ascii="Arial" w:hAnsi="Arial" w:cs="Arial"/>
                <w:b/>
                <w:color w:val="000000"/>
                <w:lang w:val="nl-BE"/>
              </w:rPr>
            </w:pPr>
            <w:r w:rsidRPr="006B4614">
              <w:rPr>
                <w:rFonts w:ascii="Arial" w:hAnsi="Arial" w:cs="Arial"/>
                <w:b/>
                <w:color w:val="000000"/>
                <w:lang w:val="nl-BE"/>
              </w:rPr>
              <w:t>Hoofdstuk II.- Honoraria voor de aflevering van een vergoedbare farmaceutische specialiteit die een « oraal-vaste » vorm heeft in een voor het publiek opengestelde apotheek aan een rechthebbende die een rust- een verzorgingstehuis of in een rusthuis verblijft.</w:t>
            </w:r>
          </w:p>
        </w:tc>
        <w:tc>
          <w:tcPr>
            <w:tcW w:w="5387" w:type="dxa"/>
          </w:tcPr>
          <w:p w14:paraId="0FA250B1" w14:textId="77777777" w:rsidR="00D62193" w:rsidRPr="006B4614" w:rsidRDefault="00D62193" w:rsidP="002A1F86">
            <w:pPr>
              <w:tabs>
                <w:tab w:val="left" w:pos="0"/>
                <w:tab w:val="left" w:pos="2809"/>
              </w:tabs>
              <w:suppressAutoHyphens/>
              <w:ind w:left="34"/>
              <w:jc w:val="both"/>
              <w:rPr>
                <w:rFonts w:ascii="Arial" w:hAnsi="Arial" w:cs="Arial"/>
                <w:b/>
                <w:color w:val="000000"/>
                <w:lang w:val="fr-BE"/>
              </w:rPr>
            </w:pPr>
            <w:r w:rsidRPr="006B4614">
              <w:rPr>
                <w:rFonts w:ascii="Arial" w:hAnsi="Arial" w:cs="Arial"/>
                <w:b/>
                <w:color w:val="000000"/>
                <w:lang w:val="fr-BE"/>
              </w:rPr>
              <w:t>Chapitre II.- Honoraires pour la délivrance d’une spécialité pharmaceutique remboursable ayant une forme pharmaceutique « orale-solide » dans une officine ouverte au public à un bénéficiaire résidant en maison de repos et de soins ou en maison de repos pour personnes âgées.</w:t>
            </w:r>
          </w:p>
        </w:tc>
      </w:tr>
      <w:tr w:rsidR="00AB32DE" w:rsidRPr="00AB32DE" w14:paraId="541D5865" w14:textId="77777777" w:rsidTr="00F22339">
        <w:tc>
          <w:tcPr>
            <w:tcW w:w="5387" w:type="dxa"/>
          </w:tcPr>
          <w:p w14:paraId="194107DC" w14:textId="77777777" w:rsidR="00AB32DE" w:rsidRPr="008F69F8" w:rsidRDefault="00AB32DE" w:rsidP="002A1F86">
            <w:pPr>
              <w:tabs>
                <w:tab w:val="left" w:pos="0"/>
                <w:tab w:val="left" w:pos="2809"/>
              </w:tabs>
              <w:suppressAutoHyphens/>
              <w:jc w:val="both"/>
              <w:rPr>
                <w:rFonts w:ascii="Arial" w:hAnsi="Arial" w:cs="Arial"/>
                <w:color w:val="000000"/>
                <w:lang w:val="fr-BE"/>
              </w:rPr>
            </w:pPr>
          </w:p>
        </w:tc>
        <w:tc>
          <w:tcPr>
            <w:tcW w:w="5387" w:type="dxa"/>
          </w:tcPr>
          <w:p w14:paraId="6ED74921" w14:textId="77777777" w:rsidR="00AB32DE" w:rsidRPr="008F69F8" w:rsidRDefault="00AB32DE" w:rsidP="002A1F86">
            <w:pPr>
              <w:tabs>
                <w:tab w:val="left" w:pos="0"/>
                <w:tab w:val="left" w:pos="2809"/>
              </w:tabs>
              <w:suppressAutoHyphens/>
              <w:ind w:left="34"/>
              <w:jc w:val="both"/>
              <w:rPr>
                <w:rFonts w:ascii="Arial" w:hAnsi="Arial" w:cs="Arial"/>
                <w:color w:val="000000"/>
                <w:lang w:val="fr-BE"/>
              </w:rPr>
            </w:pPr>
          </w:p>
        </w:tc>
      </w:tr>
      <w:tr w:rsidR="00ED5EFE" w:rsidRPr="00ED5EFE" w14:paraId="3DBD1438" w14:textId="77777777" w:rsidTr="00F22339">
        <w:tc>
          <w:tcPr>
            <w:tcW w:w="5387" w:type="dxa"/>
          </w:tcPr>
          <w:p w14:paraId="04D4F9A1" w14:textId="77777777" w:rsidR="00ED5EFE" w:rsidRPr="002A1F86" w:rsidRDefault="00ED5EFE" w:rsidP="002A1F86">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7/1.</w:t>
            </w:r>
            <w:r w:rsidRPr="002A1F86">
              <w:rPr>
                <w:rFonts w:ascii="Arial" w:hAnsi="Arial" w:cs="Arial"/>
                <w:color w:val="000000"/>
                <w:lang w:val="nl-BE"/>
              </w:rPr>
              <w:t xml:space="preserve"> Dit hoofdstuk is van toepassing op de honoraria voor de aflevering van een vergoedbare farmaceutische specialiteit die in een “oraal-vaste” vorm heeft in een voor het publiek opengestelde apotheek aan een rechthebbende die in een rust- en verzorgingstehuis of in een rusthuis verblijft.</w:t>
            </w:r>
          </w:p>
        </w:tc>
        <w:tc>
          <w:tcPr>
            <w:tcW w:w="5387" w:type="dxa"/>
          </w:tcPr>
          <w:p w14:paraId="79794E48" w14:textId="77777777" w:rsidR="00ED5EFE" w:rsidRPr="008F69F8" w:rsidRDefault="00ED5EFE" w:rsidP="000950DB">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7/1.</w:t>
            </w:r>
            <w:r w:rsidRPr="008F69F8">
              <w:rPr>
                <w:rFonts w:ascii="Arial" w:hAnsi="Arial" w:cs="Arial"/>
                <w:color w:val="000000"/>
                <w:lang w:val="fr-BE"/>
              </w:rPr>
              <w:t xml:space="preserve"> Ce chapitre s’applique aux honoraires pour la délivrance d’une spécialité pharmaceutique remboursable ayant une forme pharmaceutique « orale-solide » dans une officine ouverte au public à un bénéficiaire résidant en maison de repos et de soins ou en maison de repos pour personnes âgées.</w:t>
            </w:r>
          </w:p>
        </w:tc>
      </w:tr>
      <w:tr w:rsidR="00ED5EFE" w:rsidRPr="00ED5EFE" w14:paraId="1FF66671" w14:textId="77777777" w:rsidTr="00F22339">
        <w:tc>
          <w:tcPr>
            <w:tcW w:w="5387" w:type="dxa"/>
          </w:tcPr>
          <w:p w14:paraId="19BD901F" w14:textId="77777777" w:rsidR="00ED5EFE" w:rsidRPr="008F69F8" w:rsidRDefault="00ED5EFE" w:rsidP="002A1F86">
            <w:pPr>
              <w:tabs>
                <w:tab w:val="left" w:pos="0"/>
                <w:tab w:val="left" w:pos="2809"/>
              </w:tabs>
              <w:suppressAutoHyphens/>
              <w:jc w:val="both"/>
              <w:rPr>
                <w:rFonts w:ascii="Arial" w:hAnsi="Arial" w:cs="Arial"/>
                <w:color w:val="000000"/>
                <w:lang w:val="fr-BE"/>
              </w:rPr>
            </w:pPr>
          </w:p>
        </w:tc>
        <w:tc>
          <w:tcPr>
            <w:tcW w:w="5387" w:type="dxa"/>
          </w:tcPr>
          <w:p w14:paraId="184EBEB2" w14:textId="77777777" w:rsidR="00ED5EFE" w:rsidRPr="008F69F8" w:rsidRDefault="00ED5EFE" w:rsidP="002A1F86">
            <w:pPr>
              <w:tabs>
                <w:tab w:val="left" w:pos="0"/>
                <w:tab w:val="left" w:pos="2809"/>
              </w:tabs>
              <w:suppressAutoHyphens/>
              <w:jc w:val="both"/>
              <w:rPr>
                <w:rFonts w:ascii="Arial" w:hAnsi="Arial" w:cs="Arial"/>
                <w:color w:val="000000"/>
                <w:lang w:val="fr-BE"/>
              </w:rPr>
            </w:pPr>
          </w:p>
        </w:tc>
      </w:tr>
      <w:tr w:rsidR="00ED5EFE" w:rsidRPr="006A74C5" w14:paraId="62A69B1D" w14:textId="77777777" w:rsidTr="00F22339">
        <w:tc>
          <w:tcPr>
            <w:tcW w:w="5387" w:type="dxa"/>
          </w:tcPr>
          <w:p w14:paraId="4AC4C43B" w14:textId="77777777" w:rsidR="00ED5EFE" w:rsidRPr="002A1F86" w:rsidRDefault="00ED5EFE" w:rsidP="002A1F86">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7/2.</w:t>
            </w:r>
            <w:r w:rsidRPr="002A1F86">
              <w:rPr>
                <w:rFonts w:ascii="Arial" w:hAnsi="Arial" w:cs="Arial"/>
                <w:color w:val="000000"/>
                <w:lang w:val="nl-BE"/>
              </w:rPr>
              <w:t xml:space="preserve"> De aflevering van een vergoedbare farmaceutische specialiteit geeft recht op de betaling van honoraria waarvan het bedrag gelijk is aan het product van de in de nationale overeenkomst tussen de apothekers en de verzekeringsinstellingen vastgestelde waarde van de sleutelletter P en een coëfficiënt welke aan die sleutelletter is toegewezen.</w:t>
            </w:r>
          </w:p>
        </w:tc>
        <w:tc>
          <w:tcPr>
            <w:tcW w:w="5387" w:type="dxa"/>
          </w:tcPr>
          <w:p w14:paraId="79A8FAB3" w14:textId="77777777" w:rsidR="00ED5EFE" w:rsidRPr="008F69F8" w:rsidRDefault="00ED5EFE" w:rsidP="000950DB">
            <w:pPr>
              <w:tabs>
                <w:tab w:val="left" w:pos="0"/>
                <w:tab w:val="left" w:pos="2809"/>
              </w:tabs>
              <w:suppressAutoHyphens/>
              <w:jc w:val="both"/>
              <w:rPr>
                <w:rFonts w:ascii="Arial" w:hAnsi="Arial" w:cs="Arial"/>
                <w:color w:val="000000"/>
                <w:lang w:val="fr-BE"/>
              </w:rPr>
            </w:pPr>
            <w:r w:rsidRPr="008F69F8">
              <w:rPr>
                <w:rFonts w:ascii="Arial" w:hAnsi="Arial" w:cs="Arial"/>
                <w:b/>
                <w:color w:val="000000"/>
                <w:lang w:val="fr-BE"/>
              </w:rPr>
              <w:t>Art. 7/2.</w:t>
            </w:r>
            <w:r w:rsidRPr="008F69F8">
              <w:rPr>
                <w:rFonts w:ascii="Arial" w:hAnsi="Arial" w:cs="Arial"/>
                <w:color w:val="000000"/>
                <w:lang w:val="fr-BE"/>
              </w:rPr>
              <w:t xml:space="preserve"> La délivrance d’une spécialité pharmaceutique remboursable donne droit au paiement d’honoraires dont le montant équivaut au produit de la valeur de la lettre clé P telle que fixée dans l’accord national entre les pharmaciens et les organismes assureurs et du coefficient qui est attribué à cette lettre clé.</w:t>
            </w:r>
          </w:p>
        </w:tc>
      </w:tr>
      <w:tr w:rsidR="008F69F8" w:rsidRPr="006A74C5" w14:paraId="2AE74261" w14:textId="77777777" w:rsidTr="00F22339">
        <w:tc>
          <w:tcPr>
            <w:tcW w:w="5387" w:type="dxa"/>
          </w:tcPr>
          <w:p w14:paraId="2C998B91" w14:textId="77777777" w:rsidR="008F69F8" w:rsidRPr="008F69F8" w:rsidRDefault="008F69F8" w:rsidP="002A1F86">
            <w:pPr>
              <w:tabs>
                <w:tab w:val="left" w:pos="0"/>
                <w:tab w:val="left" w:pos="2809"/>
              </w:tabs>
              <w:suppressAutoHyphens/>
              <w:jc w:val="both"/>
              <w:rPr>
                <w:rFonts w:ascii="Arial" w:hAnsi="Arial" w:cs="Arial"/>
                <w:color w:val="000000"/>
                <w:lang w:val="fr-BE"/>
              </w:rPr>
            </w:pPr>
          </w:p>
        </w:tc>
        <w:tc>
          <w:tcPr>
            <w:tcW w:w="5387" w:type="dxa"/>
          </w:tcPr>
          <w:p w14:paraId="198BFFF6" w14:textId="77777777" w:rsidR="008F69F8" w:rsidRPr="008F69F8" w:rsidRDefault="008F69F8" w:rsidP="002A1F86">
            <w:pPr>
              <w:tabs>
                <w:tab w:val="left" w:pos="0"/>
                <w:tab w:val="left" w:pos="2809"/>
              </w:tabs>
              <w:suppressAutoHyphens/>
              <w:jc w:val="both"/>
              <w:rPr>
                <w:rFonts w:ascii="Arial" w:hAnsi="Arial" w:cs="Arial"/>
                <w:color w:val="000000"/>
                <w:lang w:val="fr-BE"/>
              </w:rPr>
            </w:pPr>
          </w:p>
        </w:tc>
      </w:tr>
      <w:tr w:rsidR="00ED5EFE" w:rsidRPr="008F69F8" w14:paraId="51C847D2" w14:textId="77777777" w:rsidTr="00F22339">
        <w:tc>
          <w:tcPr>
            <w:tcW w:w="5387" w:type="dxa"/>
          </w:tcPr>
          <w:p w14:paraId="04EA5E0E" w14:textId="77777777" w:rsidR="008F69F8" w:rsidRPr="002A1F86" w:rsidRDefault="008F69F8" w:rsidP="008F69F8">
            <w:pPr>
              <w:tabs>
                <w:tab w:val="left" w:pos="0"/>
                <w:tab w:val="left" w:pos="2809"/>
              </w:tabs>
              <w:suppressAutoHyphens/>
              <w:jc w:val="both"/>
              <w:rPr>
                <w:rFonts w:ascii="Arial" w:hAnsi="Arial" w:cs="Arial"/>
                <w:color w:val="000000"/>
                <w:lang w:val="nl-BE"/>
              </w:rPr>
            </w:pPr>
            <w:r w:rsidRPr="008F69F8">
              <w:rPr>
                <w:rFonts w:ascii="Arial" w:hAnsi="Arial" w:cs="Arial"/>
                <w:b/>
                <w:color w:val="000000"/>
                <w:lang w:val="nl-BE"/>
              </w:rPr>
              <w:t>Art. 7/3</w:t>
            </w:r>
            <w:r w:rsidRPr="002A1F86">
              <w:rPr>
                <w:rFonts w:ascii="Arial" w:hAnsi="Arial" w:cs="Arial"/>
                <w:color w:val="000000"/>
                <w:lang w:val="nl-BE"/>
              </w:rPr>
              <w:t>.</w:t>
            </w:r>
          </w:p>
          <w:p w14:paraId="2E26F842" w14:textId="77777777" w:rsidR="00ED5EFE" w:rsidRPr="008F69F8" w:rsidRDefault="008F69F8" w:rsidP="008F69F8">
            <w:pPr>
              <w:tabs>
                <w:tab w:val="left" w:pos="0"/>
                <w:tab w:val="left" w:pos="2809"/>
              </w:tabs>
              <w:suppressAutoHyphens/>
              <w:jc w:val="both"/>
              <w:rPr>
                <w:rFonts w:ascii="Arial" w:hAnsi="Arial" w:cs="Arial"/>
                <w:color w:val="000000"/>
                <w:lang w:val="nl-BE"/>
              </w:rPr>
            </w:pPr>
            <w:r w:rsidRPr="002A1F86">
              <w:rPr>
                <w:rFonts w:ascii="Arial" w:hAnsi="Arial" w:cs="Arial"/>
                <w:color w:val="000000"/>
                <w:lang w:val="nl-BE"/>
              </w:rPr>
              <w:t>§1. Een honorarium bedoeld in artikel 35</w:t>
            </w:r>
            <w:r w:rsidRPr="006B4614">
              <w:rPr>
                <w:rFonts w:ascii="Arial" w:hAnsi="Arial" w:cs="Arial"/>
                <w:i/>
                <w:color w:val="000000"/>
                <w:lang w:val="nl-BE"/>
              </w:rPr>
              <w:t>octies</w:t>
            </w:r>
            <w:r w:rsidRPr="002A1F86">
              <w:rPr>
                <w:rFonts w:ascii="Arial" w:hAnsi="Arial" w:cs="Arial"/>
                <w:color w:val="000000"/>
                <w:lang w:val="nl-BE"/>
              </w:rPr>
              <w:t>, §2, tweede en vijfde lid, van de wet wordt ingesteld per patiënt en per kalender-week voor het afleveren van vergoedbare farmaceutische specialiteiten.</w:t>
            </w:r>
          </w:p>
        </w:tc>
        <w:tc>
          <w:tcPr>
            <w:tcW w:w="5387" w:type="dxa"/>
          </w:tcPr>
          <w:p w14:paraId="280EC628" w14:textId="77777777" w:rsidR="008F69F8" w:rsidRPr="008F69F8" w:rsidRDefault="008F69F8" w:rsidP="008F69F8">
            <w:pPr>
              <w:tabs>
                <w:tab w:val="left" w:pos="0"/>
                <w:tab w:val="left" w:pos="2809"/>
              </w:tabs>
              <w:suppressAutoHyphens/>
              <w:rPr>
                <w:rFonts w:ascii="Arial" w:hAnsi="Arial" w:cs="Arial"/>
                <w:b/>
                <w:color w:val="000000"/>
                <w:lang w:val="fr-BE"/>
              </w:rPr>
            </w:pPr>
            <w:r w:rsidRPr="008F69F8">
              <w:rPr>
                <w:rFonts w:ascii="Arial" w:hAnsi="Arial" w:cs="Arial"/>
                <w:b/>
                <w:color w:val="000000"/>
                <w:lang w:val="fr-BE"/>
              </w:rPr>
              <w:t>Art. 7/3.</w:t>
            </w:r>
          </w:p>
          <w:p w14:paraId="59D4BFA0" w14:textId="77777777" w:rsidR="00ED5EFE" w:rsidRPr="008F69F8" w:rsidRDefault="008F69F8" w:rsidP="006B4614">
            <w:pPr>
              <w:tabs>
                <w:tab w:val="left" w:pos="0"/>
                <w:tab w:val="left" w:pos="2809"/>
              </w:tabs>
              <w:suppressAutoHyphens/>
              <w:jc w:val="both"/>
              <w:rPr>
                <w:rFonts w:ascii="Arial" w:hAnsi="Arial" w:cs="Arial"/>
                <w:color w:val="000000"/>
                <w:lang w:val="fr-BE"/>
              </w:rPr>
            </w:pPr>
            <w:r w:rsidRPr="008F69F8">
              <w:rPr>
                <w:rFonts w:ascii="Arial" w:hAnsi="Arial" w:cs="Arial"/>
                <w:color w:val="000000"/>
                <w:lang w:val="fr-BE"/>
              </w:rPr>
              <w:t>§1er.  Un honoraire visé à l’article 35</w:t>
            </w:r>
            <w:r w:rsidRPr="006B4614">
              <w:rPr>
                <w:rFonts w:ascii="Arial" w:hAnsi="Arial" w:cs="Arial"/>
                <w:i/>
                <w:color w:val="000000"/>
                <w:lang w:val="fr-BE"/>
              </w:rPr>
              <w:t>octies</w:t>
            </w:r>
            <w:r w:rsidRPr="008F69F8">
              <w:rPr>
                <w:rFonts w:ascii="Arial" w:hAnsi="Arial" w:cs="Arial"/>
                <w:color w:val="000000"/>
                <w:lang w:val="fr-BE"/>
              </w:rPr>
              <w:t>, §2, alinéa 2 et 5, de la loi est instauré par patient et par semaine calendrier pour la délivrance de spécialités pharmaceutiques remboursables.</w:t>
            </w:r>
          </w:p>
        </w:tc>
      </w:tr>
      <w:tr w:rsidR="008F69F8" w:rsidRPr="008F69F8" w14:paraId="21AEC40D" w14:textId="77777777" w:rsidTr="00F22339">
        <w:tc>
          <w:tcPr>
            <w:tcW w:w="5387" w:type="dxa"/>
          </w:tcPr>
          <w:p w14:paraId="0B78364F" w14:textId="77777777" w:rsidR="008F69F8" w:rsidRPr="006B4614" w:rsidRDefault="008F69F8" w:rsidP="002A1F86">
            <w:pPr>
              <w:tabs>
                <w:tab w:val="left" w:pos="0"/>
                <w:tab w:val="left" w:pos="2809"/>
              </w:tabs>
              <w:suppressAutoHyphens/>
              <w:jc w:val="both"/>
              <w:rPr>
                <w:rFonts w:ascii="Arial" w:hAnsi="Arial" w:cs="Arial"/>
                <w:color w:val="000000"/>
                <w:lang w:val="fr-BE"/>
              </w:rPr>
            </w:pPr>
          </w:p>
        </w:tc>
        <w:tc>
          <w:tcPr>
            <w:tcW w:w="5387" w:type="dxa"/>
          </w:tcPr>
          <w:p w14:paraId="1DC82136" w14:textId="77777777" w:rsidR="008F69F8" w:rsidRPr="008F69F8" w:rsidRDefault="008F69F8" w:rsidP="002A1F86">
            <w:pPr>
              <w:tabs>
                <w:tab w:val="left" w:pos="0"/>
                <w:tab w:val="left" w:pos="2809"/>
              </w:tabs>
              <w:suppressAutoHyphens/>
              <w:ind w:left="34"/>
              <w:jc w:val="both"/>
              <w:rPr>
                <w:rFonts w:ascii="Arial" w:hAnsi="Arial" w:cs="Arial"/>
                <w:color w:val="000000"/>
                <w:lang w:val="fr-BE"/>
              </w:rPr>
            </w:pPr>
          </w:p>
        </w:tc>
      </w:tr>
      <w:tr w:rsidR="00ED5EFE" w:rsidRPr="008F69F8" w14:paraId="6498F91E" w14:textId="77777777" w:rsidTr="00F22339">
        <w:tc>
          <w:tcPr>
            <w:tcW w:w="5387" w:type="dxa"/>
          </w:tcPr>
          <w:p w14:paraId="48A3D960" w14:textId="77777777" w:rsidR="00ED5EFE" w:rsidRPr="008F69F8" w:rsidRDefault="008F69F8" w:rsidP="002A1F86">
            <w:pPr>
              <w:tabs>
                <w:tab w:val="left" w:pos="0"/>
                <w:tab w:val="left" w:pos="2809"/>
              </w:tabs>
              <w:suppressAutoHyphens/>
              <w:jc w:val="both"/>
              <w:rPr>
                <w:rFonts w:ascii="Arial" w:hAnsi="Arial" w:cs="Arial"/>
                <w:color w:val="000000"/>
                <w:lang w:val="nl-BE"/>
              </w:rPr>
            </w:pPr>
            <w:r w:rsidRPr="002A1F86">
              <w:rPr>
                <w:rFonts w:ascii="Arial" w:hAnsi="Arial" w:cs="Arial"/>
                <w:color w:val="000000"/>
                <w:lang w:val="nl-BE"/>
              </w:rPr>
              <w:t>§2. Voor dit honorarium bedraagt de coëfficiënt 1,64. Dit specifiek honorarium is verschuldigd per patiënt en per kalender-week.</w:t>
            </w:r>
          </w:p>
        </w:tc>
        <w:tc>
          <w:tcPr>
            <w:tcW w:w="5387" w:type="dxa"/>
          </w:tcPr>
          <w:p w14:paraId="50D7099F" w14:textId="77777777" w:rsidR="00ED5EFE" w:rsidRPr="008F69F8" w:rsidRDefault="008F69F8" w:rsidP="002A1F86">
            <w:pPr>
              <w:tabs>
                <w:tab w:val="left" w:pos="0"/>
                <w:tab w:val="left" w:pos="2809"/>
              </w:tabs>
              <w:suppressAutoHyphens/>
              <w:ind w:left="34"/>
              <w:jc w:val="both"/>
              <w:rPr>
                <w:rFonts w:ascii="Arial" w:hAnsi="Arial" w:cs="Arial"/>
                <w:color w:val="000000"/>
                <w:lang w:val="fr-BE"/>
              </w:rPr>
            </w:pPr>
            <w:r w:rsidRPr="008F69F8">
              <w:rPr>
                <w:rFonts w:ascii="Arial" w:hAnsi="Arial" w:cs="Arial"/>
                <w:color w:val="000000"/>
                <w:lang w:val="fr-BE"/>
              </w:rPr>
              <w:t>§2. Pour cet honoraire, le coefficient est fixé à 1,64. Cet honoraire spécifique est dû par patient et par semaine calendrier.</w:t>
            </w:r>
          </w:p>
        </w:tc>
      </w:tr>
      <w:tr w:rsidR="008F69F8" w:rsidRPr="008F69F8" w14:paraId="168F8A40" w14:textId="77777777" w:rsidTr="00F22339">
        <w:tc>
          <w:tcPr>
            <w:tcW w:w="5387" w:type="dxa"/>
          </w:tcPr>
          <w:p w14:paraId="5B99E45D" w14:textId="77777777" w:rsidR="008F69F8" w:rsidRPr="008F69F8" w:rsidRDefault="008F69F8" w:rsidP="002A1F86">
            <w:pPr>
              <w:tabs>
                <w:tab w:val="left" w:pos="0"/>
                <w:tab w:val="left" w:pos="2809"/>
              </w:tabs>
              <w:suppressAutoHyphens/>
              <w:jc w:val="both"/>
              <w:rPr>
                <w:rFonts w:ascii="Arial" w:hAnsi="Arial" w:cs="Arial"/>
                <w:color w:val="000000"/>
                <w:lang w:val="fr-BE"/>
              </w:rPr>
            </w:pPr>
          </w:p>
        </w:tc>
        <w:tc>
          <w:tcPr>
            <w:tcW w:w="5387" w:type="dxa"/>
          </w:tcPr>
          <w:p w14:paraId="39DAB647" w14:textId="77777777" w:rsidR="008F69F8" w:rsidRPr="008F69F8" w:rsidRDefault="008F69F8" w:rsidP="002A1F86">
            <w:pPr>
              <w:tabs>
                <w:tab w:val="left" w:pos="0"/>
                <w:tab w:val="left" w:pos="2809"/>
              </w:tabs>
              <w:suppressAutoHyphens/>
              <w:ind w:left="34"/>
              <w:jc w:val="both"/>
              <w:rPr>
                <w:rFonts w:ascii="Arial" w:hAnsi="Arial" w:cs="Arial"/>
                <w:color w:val="000000"/>
                <w:lang w:val="fr-BE"/>
              </w:rPr>
            </w:pPr>
          </w:p>
        </w:tc>
      </w:tr>
      <w:tr w:rsidR="005D2D3D" w:rsidRPr="003B5C45" w14:paraId="418A3989" w14:textId="77777777" w:rsidTr="00283BE4">
        <w:tc>
          <w:tcPr>
            <w:tcW w:w="5387" w:type="dxa"/>
          </w:tcPr>
          <w:p w14:paraId="1BB78588" w14:textId="77777777" w:rsidR="005D2D3D" w:rsidRPr="0015557E" w:rsidRDefault="005D2D3D" w:rsidP="005D2D3D">
            <w:pPr>
              <w:autoSpaceDE w:val="0"/>
              <w:autoSpaceDN w:val="0"/>
              <w:adjustRightInd w:val="0"/>
              <w:ind w:right="34"/>
              <w:jc w:val="both"/>
              <w:rPr>
                <w:rFonts w:ascii="Arial" w:hAnsi="Arial" w:cs="Arial"/>
                <w:bCs/>
                <w:strike/>
                <w:color w:val="000000"/>
                <w:lang w:val="nl-BE"/>
              </w:rPr>
            </w:pPr>
            <w:r w:rsidRPr="0015557E">
              <w:rPr>
                <w:rFonts w:ascii="Arial" w:hAnsi="Arial" w:cs="Arial"/>
                <w:b/>
                <w:bCs/>
                <w:strike/>
                <w:color w:val="000000"/>
                <w:lang w:val="nl-BE"/>
              </w:rPr>
              <w:t xml:space="preserve">Art. 8. </w:t>
            </w:r>
            <w:r w:rsidRPr="0015557E">
              <w:rPr>
                <w:rFonts w:ascii="Arial" w:hAnsi="Arial" w:cs="Arial"/>
                <w:bCs/>
                <w:strike/>
                <w:color w:val="000000"/>
                <w:lang w:val="nl-BE"/>
              </w:rPr>
              <w:t>Treden in werking op 1april 2010 :</w:t>
            </w:r>
          </w:p>
          <w:p w14:paraId="6A8A626F" w14:textId="77777777" w:rsidR="005D2D3D" w:rsidRPr="0015557E" w:rsidRDefault="005D2D3D" w:rsidP="005D2D3D">
            <w:pPr>
              <w:autoSpaceDE w:val="0"/>
              <w:autoSpaceDN w:val="0"/>
              <w:adjustRightInd w:val="0"/>
              <w:ind w:right="34"/>
              <w:jc w:val="both"/>
              <w:rPr>
                <w:rFonts w:ascii="Arial" w:hAnsi="Arial" w:cs="Arial"/>
                <w:bCs/>
                <w:strike/>
                <w:color w:val="000000"/>
                <w:lang w:val="nl-BE"/>
              </w:rPr>
            </w:pPr>
            <w:r w:rsidRPr="0015557E">
              <w:rPr>
                <w:rFonts w:ascii="Arial" w:hAnsi="Arial" w:cs="Arial"/>
                <w:bCs/>
                <w:strike/>
                <w:color w:val="000000"/>
                <w:lang w:val="nl-BE"/>
              </w:rPr>
              <w:t>1° de artikelen 226 tot 233 van de wet van 25 april 2007 houdende diverse bepalingen (IV);</w:t>
            </w:r>
          </w:p>
          <w:p w14:paraId="59EF26B9" w14:textId="77777777" w:rsidR="005D2D3D" w:rsidRPr="0015557E" w:rsidRDefault="005D2D3D" w:rsidP="005D2D3D">
            <w:pPr>
              <w:autoSpaceDE w:val="0"/>
              <w:autoSpaceDN w:val="0"/>
              <w:adjustRightInd w:val="0"/>
              <w:ind w:right="34"/>
              <w:jc w:val="both"/>
              <w:rPr>
                <w:rFonts w:ascii="Arial" w:hAnsi="Arial" w:cs="Arial"/>
                <w:strike/>
                <w:color w:val="000000"/>
                <w:lang w:val="nl-BE"/>
              </w:rPr>
            </w:pPr>
            <w:r w:rsidRPr="0015557E">
              <w:rPr>
                <w:rFonts w:ascii="Arial" w:hAnsi="Arial" w:cs="Arial"/>
                <w:bCs/>
                <w:strike/>
                <w:color w:val="000000"/>
                <w:lang w:val="nl-BE"/>
              </w:rPr>
              <w:t>2° de artikelen 27 en 28 van de wet van 10 december 2009 houdende diverse bepalingen inzake gezondheid.</w:t>
            </w:r>
          </w:p>
        </w:tc>
        <w:tc>
          <w:tcPr>
            <w:tcW w:w="5387" w:type="dxa"/>
          </w:tcPr>
          <w:p w14:paraId="46AD5E59" w14:textId="77777777" w:rsidR="005D2D3D" w:rsidRPr="0015557E" w:rsidRDefault="005D2D3D" w:rsidP="005D2D3D">
            <w:pPr>
              <w:autoSpaceDE w:val="0"/>
              <w:autoSpaceDN w:val="0"/>
              <w:adjustRightInd w:val="0"/>
              <w:ind w:left="34"/>
              <w:jc w:val="both"/>
              <w:rPr>
                <w:rFonts w:ascii="Arial" w:hAnsi="Arial" w:cs="Arial"/>
                <w:strike/>
                <w:color w:val="000000"/>
                <w:lang w:val="fr-BE"/>
              </w:rPr>
            </w:pPr>
            <w:r w:rsidRPr="0015557E">
              <w:rPr>
                <w:rFonts w:ascii="Arial" w:hAnsi="Arial" w:cs="Arial"/>
                <w:b/>
                <w:bCs/>
                <w:strike/>
                <w:color w:val="000000"/>
                <w:lang w:val="fr-BE"/>
              </w:rPr>
              <w:t>Art. 8.</w:t>
            </w:r>
            <w:r w:rsidRPr="0015557E">
              <w:rPr>
                <w:rFonts w:ascii="Arial" w:hAnsi="Arial" w:cs="Arial"/>
                <w:strike/>
                <w:lang w:val="fr-BE"/>
              </w:rPr>
              <w:t xml:space="preserve"> </w:t>
            </w:r>
            <w:r w:rsidRPr="0015557E">
              <w:rPr>
                <w:rFonts w:ascii="Arial" w:hAnsi="Arial" w:cs="Arial"/>
                <w:strike/>
                <w:color w:val="000000"/>
                <w:lang w:val="fr-BE"/>
              </w:rPr>
              <w:t>Entrent en vigueur le 1</w:t>
            </w:r>
            <w:r w:rsidRPr="0015557E">
              <w:rPr>
                <w:rFonts w:ascii="Arial" w:hAnsi="Arial" w:cs="Arial"/>
                <w:strike/>
                <w:color w:val="000000"/>
                <w:vertAlign w:val="superscript"/>
                <w:lang w:val="fr-BE"/>
              </w:rPr>
              <w:t>er</w:t>
            </w:r>
            <w:r w:rsidRPr="0015557E">
              <w:rPr>
                <w:rFonts w:ascii="Arial" w:hAnsi="Arial" w:cs="Arial"/>
                <w:strike/>
                <w:color w:val="000000"/>
                <w:lang w:val="fr-BE"/>
              </w:rPr>
              <w:t xml:space="preserve"> avril 2010 :</w:t>
            </w:r>
          </w:p>
          <w:p w14:paraId="04095FB1" w14:textId="77777777" w:rsidR="005D2D3D" w:rsidRPr="0015557E" w:rsidRDefault="005D2D3D" w:rsidP="005D2D3D">
            <w:pPr>
              <w:autoSpaceDE w:val="0"/>
              <w:autoSpaceDN w:val="0"/>
              <w:adjustRightInd w:val="0"/>
              <w:ind w:left="34"/>
              <w:jc w:val="both"/>
              <w:rPr>
                <w:rFonts w:ascii="Arial" w:hAnsi="Arial" w:cs="Arial"/>
                <w:strike/>
                <w:color w:val="000000"/>
                <w:lang w:val="fr-BE"/>
              </w:rPr>
            </w:pPr>
            <w:r w:rsidRPr="0015557E">
              <w:rPr>
                <w:rFonts w:ascii="Arial" w:hAnsi="Arial" w:cs="Arial"/>
                <w:strike/>
                <w:color w:val="000000"/>
                <w:lang w:val="fr-BE"/>
              </w:rPr>
              <w:t>1° les articles 226 à 233 de la loi du 25 avril 2007 portant des dispositions diverses (IV) ;</w:t>
            </w:r>
          </w:p>
          <w:p w14:paraId="76A8B73B" w14:textId="77777777" w:rsidR="005D2D3D" w:rsidRPr="0015557E" w:rsidRDefault="005D2D3D" w:rsidP="005D2D3D">
            <w:pPr>
              <w:autoSpaceDE w:val="0"/>
              <w:autoSpaceDN w:val="0"/>
              <w:adjustRightInd w:val="0"/>
              <w:ind w:left="34"/>
              <w:jc w:val="both"/>
              <w:rPr>
                <w:rFonts w:ascii="Arial" w:hAnsi="Arial" w:cs="Arial"/>
                <w:strike/>
                <w:color w:val="000000"/>
                <w:lang w:val="fr-BE"/>
              </w:rPr>
            </w:pPr>
            <w:r w:rsidRPr="0015557E">
              <w:rPr>
                <w:rFonts w:ascii="Arial" w:hAnsi="Arial" w:cs="Arial"/>
                <w:strike/>
                <w:color w:val="000000"/>
                <w:lang w:val="fr-BE"/>
              </w:rPr>
              <w:t xml:space="preserve">2° les articles 27 et 28 de la loi du 10 décembre 2009 portant des dispositions diverses en matière de santé. </w:t>
            </w:r>
          </w:p>
        </w:tc>
      </w:tr>
      <w:tr w:rsidR="005D2D3D" w:rsidRPr="00CD57D8" w14:paraId="1DEC3D02" w14:textId="77777777" w:rsidTr="00283BE4">
        <w:tc>
          <w:tcPr>
            <w:tcW w:w="5387" w:type="dxa"/>
          </w:tcPr>
          <w:p w14:paraId="6ECE1435" w14:textId="77777777" w:rsidR="005D2D3D" w:rsidRPr="0015557E" w:rsidRDefault="005D2D3D" w:rsidP="002A1F86">
            <w:pPr>
              <w:tabs>
                <w:tab w:val="left" w:pos="0"/>
                <w:tab w:val="left" w:pos="2809"/>
              </w:tabs>
              <w:suppressAutoHyphens/>
              <w:jc w:val="both"/>
              <w:rPr>
                <w:rFonts w:ascii="Arial" w:hAnsi="Arial" w:cs="Arial"/>
                <w:color w:val="000000"/>
                <w:lang w:val="fr-BE"/>
              </w:rPr>
            </w:pPr>
          </w:p>
        </w:tc>
        <w:tc>
          <w:tcPr>
            <w:tcW w:w="5387" w:type="dxa"/>
          </w:tcPr>
          <w:p w14:paraId="72EA347B" w14:textId="77777777" w:rsidR="005D2D3D" w:rsidRPr="0015557E" w:rsidRDefault="005D2D3D" w:rsidP="000950DB">
            <w:pPr>
              <w:tabs>
                <w:tab w:val="left" w:pos="0"/>
                <w:tab w:val="left" w:pos="2809"/>
              </w:tabs>
              <w:suppressAutoHyphens/>
              <w:jc w:val="both"/>
              <w:rPr>
                <w:rFonts w:ascii="Arial" w:hAnsi="Arial" w:cs="Arial"/>
                <w:color w:val="000000"/>
                <w:lang w:val="fr-BE"/>
              </w:rPr>
            </w:pPr>
          </w:p>
        </w:tc>
      </w:tr>
      <w:tr w:rsidR="00ED5EFE" w:rsidRPr="00CD57D8" w14:paraId="2CE020B8" w14:textId="77777777" w:rsidTr="00283BE4">
        <w:tc>
          <w:tcPr>
            <w:tcW w:w="5387" w:type="dxa"/>
          </w:tcPr>
          <w:p w14:paraId="0AED45FA" w14:textId="0CE7FFFD" w:rsidR="00ED5EFE" w:rsidRPr="0015557E" w:rsidRDefault="00ED5EFE" w:rsidP="002A1F86">
            <w:pPr>
              <w:tabs>
                <w:tab w:val="left" w:pos="0"/>
                <w:tab w:val="left" w:pos="2809"/>
              </w:tabs>
              <w:suppressAutoHyphens/>
              <w:jc w:val="both"/>
              <w:rPr>
                <w:rFonts w:ascii="Arial" w:hAnsi="Arial" w:cs="Arial"/>
                <w:color w:val="000000"/>
                <w:lang w:val="nl-BE"/>
              </w:rPr>
            </w:pPr>
            <w:r w:rsidRPr="0015557E">
              <w:rPr>
                <w:rFonts w:ascii="Arial" w:hAnsi="Arial" w:cs="Arial"/>
                <w:b/>
                <w:color w:val="000000"/>
                <w:lang w:val="nl-BE"/>
              </w:rPr>
              <w:t>Art. 9.</w:t>
            </w:r>
            <w:r w:rsidRPr="0015557E">
              <w:rPr>
                <w:rFonts w:ascii="Arial" w:hAnsi="Arial" w:cs="Arial"/>
                <w:color w:val="000000"/>
                <w:lang w:val="nl-BE"/>
              </w:rPr>
              <w:t xml:space="preserve"> De aanpassing voorzien in artikel 35</w:t>
            </w:r>
            <w:r w:rsidRPr="0015557E">
              <w:rPr>
                <w:rFonts w:ascii="Arial" w:hAnsi="Arial" w:cs="Arial"/>
                <w:i/>
                <w:color w:val="000000"/>
                <w:lang w:val="nl-BE"/>
              </w:rPr>
              <w:t>octies</w:t>
            </w:r>
            <w:r w:rsidRPr="0015557E">
              <w:rPr>
                <w:rFonts w:ascii="Arial" w:hAnsi="Arial" w:cs="Arial"/>
                <w:color w:val="000000"/>
                <w:lang w:val="nl-BE"/>
              </w:rPr>
              <w:t>, §2, vierde lid van de wet heeft plaats op 1 januari van het jaar T, tenzij de Overeenkomstencommissie ten laatste op 31 oktober van het jaar T-1 besloten heeft de indexmassa voor het jaar T toe te kennen aan een honorarium zoals bedoeld in voormeld artikel 35</w:t>
            </w:r>
            <w:r w:rsidRPr="0015557E">
              <w:rPr>
                <w:rFonts w:ascii="Arial" w:hAnsi="Arial" w:cs="Arial"/>
                <w:i/>
                <w:color w:val="000000"/>
                <w:lang w:val="nl-BE"/>
              </w:rPr>
              <w:t>octies</w:t>
            </w:r>
            <w:r w:rsidRPr="0015557E">
              <w:rPr>
                <w:rFonts w:ascii="Arial" w:hAnsi="Arial" w:cs="Arial"/>
                <w:color w:val="000000"/>
                <w:lang w:val="nl-BE"/>
              </w:rPr>
              <w:t>, §2 vierde lid. De lijst van de farmaceutische specialiteiten wordt van rechtswege aangepast.</w:t>
            </w:r>
          </w:p>
        </w:tc>
        <w:tc>
          <w:tcPr>
            <w:tcW w:w="5387" w:type="dxa"/>
          </w:tcPr>
          <w:p w14:paraId="4BA24FE7" w14:textId="77777777" w:rsidR="00ED5EFE" w:rsidRPr="0015557E" w:rsidRDefault="00ED5EFE" w:rsidP="000950DB">
            <w:pPr>
              <w:tabs>
                <w:tab w:val="left" w:pos="0"/>
                <w:tab w:val="left" w:pos="2809"/>
              </w:tabs>
              <w:suppressAutoHyphens/>
              <w:jc w:val="both"/>
              <w:rPr>
                <w:rFonts w:ascii="Arial" w:hAnsi="Arial" w:cs="Arial"/>
                <w:color w:val="000000"/>
                <w:lang w:val="fr-BE"/>
              </w:rPr>
            </w:pPr>
            <w:r w:rsidRPr="0015557E">
              <w:rPr>
                <w:rFonts w:ascii="Arial" w:hAnsi="Arial" w:cs="Arial"/>
                <w:b/>
                <w:color w:val="000000"/>
                <w:lang w:val="fr-BE"/>
              </w:rPr>
              <w:t>Art. 9.</w:t>
            </w:r>
            <w:r w:rsidRPr="0015557E">
              <w:rPr>
                <w:rFonts w:ascii="Arial" w:hAnsi="Arial" w:cs="Arial"/>
                <w:color w:val="000000"/>
                <w:lang w:val="fr-BE"/>
              </w:rPr>
              <w:t xml:space="preserve"> L’adaptation prévue à l’article 35</w:t>
            </w:r>
            <w:r w:rsidRPr="0015557E">
              <w:rPr>
                <w:rFonts w:ascii="Arial" w:hAnsi="Arial" w:cs="Arial"/>
                <w:i/>
                <w:color w:val="000000"/>
                <w:lang w:val="fr-BE"/>
              </w:rPr>
              <w:t>octies</w:t>
            </w:r>
            <w:r w:rsidRPr="0015557E">
              <w:rPr>
                <w:rFonts w:ascii="Arial" w:hAnsi="Arial" w:cs="Arial"/>
                <w:color w:val="000000"/>
                <w:lang w:val="fr-BE"/>
              </w:rPr>
              <w:t>, §2, alinéa 4 de la loi a lieu le 1</w:t>
            </w:r>
            <w:r w:rsidRPr="0015557E">
              <w:rPr>
                <w:rFonts w:ascii="Arial" w:hAnsi="Arial" w:cs="Arial"/>
                <w:color w:val="000000"/>
                <w:vertAlign w:val="superscript"/>
                <w:lang w:val="fr-BE"/>
              </w:rPr>
              <w:t>er</w:t>
            </w:r>
            <w:r w:rsidRPr="0015557E">
              <w:rPr>
                <w:rFonts w:ascii="Arial" w:hAnsi="Arial" w:cs="Arial"/>
                <w:color w:val="000000"/>
                <w:lang w:val="fr-BE"/>
              </w:rPr>
              <w:t xml:space="preserve"> janvier de l’année T sauf si la </w:t>
            </w:r>
            <w:r w:rsidR="000950DB" w:rsidRPr="0015557E">
              <w:rPr>
                <w:rFonts w:ascii="Arial" w:hAnsi="Arial" w:cs="Arial"/>
                <w:color w:val="000000"/>
                <w:lang w:val="fr-BE"/>
              </w:rPr>
              <w:t>C</w:t>
            </w:r>
            <w:r w:rsidRPr="0015557E">
              <w:rPr>
                <w:rFonts w:ascii="Arial" w:hAnsi="Arial" w:cs="Arial"/>
                <w:color w:val="000000"/>
                <w:lang w:val="fr-BE"/>
              </w:rPr>
              <w:t>ommission de conventions a décidé au plus tard le 31 octobre de l’année T-1 d’allouer pour l’année T la masse d’indexation à un honoraire tel que visé à l’article 35</w:t>
            </w:r>
            <w:r w:rsidRPr="0015557E">
              <w:rPr>
                <w:rFonts w:ascii="Arial" w:hAnsi="Arial" w:cs="Arial"/>
                <w:i/>
                <w:color w:val="000000"/>
                <w:lang w:val="fr-BE"/>
              </w:rPr>
              <w:t>octies</w:t>
            </w:r>
            <w:r w:rsidRPr="0015557E">
              <w:rPr>
                <w:rFonts w:ascii="Arial" w:hAnsi="Arial" w:cs="Arial"/>
                <w:color w:val="000000"/>
                <w:lang w:val="fr-BE"/>
              </w:rPr>
              <w:t>, §2 alinéa 4 précité. La liste des spécialités est adaptée de plein droit.</w:t>
            </w:r>
          </w:p>
        </w:tc>
      </w:tr>
    </w:tbl>
    <w:p w14:paraId="2D53F77B" w14:textId="77777777" w:rsidR="00762D42" w:rsidRPr="00AB32DE" w:rsidRDefault="00762D42">
      <w:pPr>
        <w:rPr>
          <w:lang w:val="fr-BE"/>
        </w:rPr>
      </w:pPr>
    </w:p>
    <w:sectPr w:rsidR="00762D42" w:rsidRPr="00AB32DE" w:rsidSect="00657D0D">
      <w:headerReference w:type="default" r:id="rId8"/>
      <w:footerReference w:type="default" r:id="rId9"/>
      <w:pgSz w:w="11906" w:h="16838" w:code="9"/>
      <w:pgMar w:top="425" w:right="567" w:bottom="1134" w:left="567" w:header="720" w:footer="720"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205E" w14:textId="77777777" w:rsidR="00DF38F8" w:rsidRDefault="00DF38F8">
      <w:r>
        <w:separator/>
      </w:r>
    </w:p>
  </w:endnote>
  <w:endnote w:type="continuationSeparator" w:id="0">
    <w:p w14:paraId="69375FB9" w14:textId="77777777" w:rsidR="00DF38F8" w:rsidRDefault="00DF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6D44" w14:textId="77777777" w:rsidR="00DF38F8" w:rsidRDefault="00DF38F8">
    <w:pPr>
      <w:pStyle w:val="Pieddepage"/>
      <w:rPr>
        <w:b/>
        <w:sz w:val="16"/>
        <w:lang w:val="nl-BE"/>
      </w:rPr>
    </w:pPr>
  </w:p>
  <w:p w14:paraId="00097863" w14:textId="77777777" w:rsidR="00DF38F8" w:rsidRPr="005531B0" w:rsidRDefault="00DF38F8">
    <w:pPr>
      <w:pStyle w:val="Pieddepage"/>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EBD9" w14:textId="77777777" w:rsidR="00DF38F8" w:rsidRDefault="00DF38F8">
      <w:r>
        <w:separator/>
      </w:r>
    </w:p>
  </w:footnote>
  <w:footnote w:type="continuationSeparator" w:id="0">
    <w:p w14:paraId="659A89A2" w14:textId="77777777" w:rsidR="00DF38F8" w:rsidRDefault="00DF3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A67D" w14:textId="77777777" w:rsidR="00DF38F8" w:rsidRDefault="00DF38F8" w:rsidP="00657D0D">
    <w:pPr>
      <w:pStyle w:val="En-tte"/>
      <w:framePr w:wrap="around" w:vAnchor="text" w:hAnchor="margin" w:xAlign="center" w:y="51"/>
      <w:rPr>
        <w:rStyle w:val="Numrodepage"/>
      </w:rPr>
    </w:pPr>
  </w:p>
  <w:p w14:paraId="025FF709" w14:textId="77777777" w:rsidR="00DF38F8" w:rsidRDefault="00DF38F8" w:rsidP="00657D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06"/>
    <w:multiLevelType w:val="hybridMultilevel"/>
    <w:tmpl w:val="160E6DD8"/>
    <w:lvl w:ilvl="0" w:tplc="080C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469C"/>
    <w:multiLevelType w:val="hybridMultilevel"/>
    <w:tmpl w:val="2490F53A"/>
    <w:lvl w:ilvl="0" w:tplc="558093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FF4A12"/>
    <w:multiLevelType w:val="singleLevel"/>
    <w:tmpl w:val="B12ECC4E"/>
    <w:lvl w:ilvl="0">
      <w:numFmt w:val="bullet"/>
      <w:lvlText w:val="-"/>
      <w:lvlJc w:val="left"/>
      <w:pPr>
        <w:tabs>
          <w:tab w:val="num" w:pos="2160"/>
        </w:tabs>
        <w:ind w:left="2160" w:hanging="720"/>
      </w:pPr>
      <w:rPr>
        <w:rFonts w:hint="default"/>
      </w:rPr>
    </w:lvl>
  </w:abstractNum>
  <w:abstractNum w:abstractNumId="3" w15:restartNumberingAfterBreak="0">
    <w:nsid w:val="14CF72E4"/>
    <w:multiLevelType w:val="hybridMultilevel"/>
    <w:tmpl w:val="460CBEB6"/>
    <w:lvl w:ilvl="0" w:tplc="C44E67E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D71AB1CC">
      <w:start w:val="1"/>
      <w:numFmt w:val="lowerRoman"/>
      <w:lvlText w:val="%3"/>
      <w:lvlJc w:val="righ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74E478C"/>
    <w:multiLevelType w:val="hybridMultilevel"/>
    <w:tmpl w:val="FADED55C"/>
    <w:lvl w:ilvl="0" w:tplc="080C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47DC1"/>
    <w:multiLevelType w:val="hybridMultilevel"/>
    <w:tmpl w:val="2E303BF0"/>
    <w:lvl w:ilvl="0" w:tplc="3968CE70">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1C383BC2"/>
    <w:multiLevelType w:val="hybridMultilevel"/>
    <w:tmpl w:val="6E46E84A"/>
    <w:lvl w:ilvl="0" w:tplc="03D4535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C0DB6"/>
    <w:multiLevelType w:val="hybridMultilevel"/>
    <w:tmpl w:val="9E2683D2"/>
    <w:lvl w:ilvl="0" w:tplc="AA5284EA">
      <w:start w:val="1"/>
      <w:numFmt w:val="low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6C745E"/>
    <w:multiLevelType w:val="hybridMultilevel"/>
    <w:tmpl w:val="8166A87A"/>
    <w:lvl w:ilvl="0" w:tplc="BC1E8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709DD"/>
    <w:multiLevelType w:val="singleLevel"/>
    <w:tmpl w:val="15DACCE2"/>
    <w:lvl w:ilvl="0">
      <w:start w:val="4"/>
      <w:numFmt w:val="bullet"/>
      <w:lvlText w:val="-"/>
      <w:lvlJc w:val="left"/>
      <w:pPr>
        <w:tabs>
          <w:tab w:val="num" w:pos="502"/>
        </w:tabs>
        <w:ind w:left="502" w:hanging="360"/>
      </w:pPr>
      <w:rPr>
        <w:rFonts w:ascii="Times New Roman" w:hAnsi="Times New Roman" w:cs="Times New Roman" w:hint="default"/>
      </w:rPr>
    </w:lvl>
  </w:abstractNum>
  <w:abstractNum w:abstractNumId="10" w15:restartNumberingAfterBreak="0">
    <w:nsid w:val="36BF7D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942548"/>
    <w:multiLevelType w:val="hybridMultilevel"/>
    <w:tmpl w:val="8A6CF39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6557B"/>
    <w:multiLevelType w:val="hybridMultilevel"/>
    <w:tmpl w:val="7514E232"/>
    <w:lvl w:ilvl="0" w:tplc="72E05C9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4B5"/>
    <w:multiLevelType w:val="hybridMultilevel"/>
    <w:tmpl w:val="F0B85422"/>
    <w:lvl w:ilvl="0" w:tplc="D90C2A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1D0679"/>
    <w:multiLevelType w:val="singleLevel"/>
    <w:tmpl w:val="0809000F"/>
    <w:lvl w:ilvl="0">
      <w:start w:val="3"/>
      <w:numFmt w:val="decimal"/>
      <w:lvlText w:val="%1."/>
      <w:lvlJc w:val="left"/>
      <w:pPr>
        <w:tabs>
          <w:tab w:val="num" w:pos="360"/>
        </w:tabs>
        <w:ind w:left="360" w:hanging="360"/>
      </w:pPr>
      <w:rPr>
        <w:rFonts w:hint="default"/>
      </w:rPr>
    </w:lvl>
  </w:abstractNum>
  <w:abstractNum w:abstractNumId="16" w15:restartNumberingAfterBreak="0">
    <w:nsid w:val="4C7D0F7D"/>
    <w:multiLevelType w:val="hybridMultilevel"/>
    <w:tmpl w:val="C168684A"/>
    <w:lvl w:ilvl="0" w:tplc="04090001">
      <w:start w:val="1"/>
      <w:numFmt w:val="bullet"/>
      <w:lvlText w:val=""/>
      <w:lvlJc w:val="left"/>
      <w:pPr>
        <w:ind w:left="2165" w:hanging="360"/>
      </w:pPr>
      <w:rPr>
        <w:rFonts w:ascii="Symbol" w:hAnsi="Symbol" w:hint="default"/>
      </w:rPr>
    </w:lvl>
    <w:lvl w:ilvl="1" w:tplc="04090003" w:tentative="1">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17" w15:restartNumberingAfterBreak="0">
    <w:nsid w:val="517651D3"/>
    <w:multiLevelType w:val="hybridMultilevel"/>
    <w:tmpl w:val="5B2C29DA"/>
    <w:lvl w:ilvl="0" w:tplc="9E362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232660"/>
    <w:multiLevelType w:val="hybridMultilevel"/>
    <w:tmpl w:val="C78CDBD4"/>
    <w:lvl w:ilvl="0" w:tplc="FDD67DF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58A210AA"/>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5B2145CA"/>
    <w:multiLevelType w:val="hybridMultilevel"/>
    <w:tmpl w:val="3D08BA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E72195"/>
    <w:multiLevelType w:val="hybridMultilevel"/>
    <w:tmpl w:val="02CA6F6C"/>
    <w:lvl w:ilvl="0" w:tplc="D71AB1CC">
      <w:start w:val="1"/>
      <w:numFmt w:val="lowerRoman"/>
      <w:lvlText w:val="%1"/>
      <w:lvlJc w:val="right"/>
      <w:pPr>
        <w:ind w:left="2160" w:hanging="1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2EC552B"/>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63C84324"/>
    <w:multiLevelType w:val="hybridMultilevel"/>
    <w:tmpl w:val="D71A7E06"/>
    <w:lvl w:ilvl="0" w:tplc="6A080EA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6BB9677B"/>
    <w:multiLevelType w:val="hybridMultilevel"/>
    <w:tmpl w:val="3D649872"/>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1396F"/>
    <w:multiLevelType w:val="hybridMultilevel"/>
    <w:tmpl w:val="2BAA7D06"/>
    <w:lvl w:ilvl="0" w:tplc="04A6C9E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6" w15:restartNumberingAfterBreak="0">
    <w:nsid w:val="75411EE9"/>
    <w:multiLevelType w:val="singleLevel"/>
    <w:tmpl w:val="F2789172"/>
    <w:lvl w:ilvl="0">
      <w:start w:val="1"/>
      <w:numFmt w:val="decimal"/>
      <w:lvlText w:val="%1."/>
      <w:lvlJc w:val="left"/>
      <w:pPr>
        <w:tabs>
          <w:tab w:val="num" w:pos="360"/>
        </w:tabs>
        <w:ind w:left="360" w:hanging="360"/>
      </w:pPr>
      <w:rPr>
        <w:rFonts w:hint="default"/>
        <w:b w:val="0"/>
        <w:sz w:val="22"/>
      </w:rPr>
    </w:lvl>
  </w:abstractNum>
  <w:abstractNum w:abstractNumId="27" w15:restartNumberingAfterBreak="0">
    <w:nsid w:val="79701445"/>
    <w:multiLevelType w:val="hybridMultilevel"/>
    <w:tmpl w:val="EBFA5900"/>
    <w:lvl w:ilvl="0" w:tplc="D916CD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5239F"/>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FC74106"/>
    <w:multiLevelType w:val="hybridMultilevel"/>
    <w:tmpl w:val="C8283E7C"/>
    <w:lvl w:ilvl="0" w:tplc="53D45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7962626">
    <w:abstractNumId w:val="10"/>
  </w:num>
  <w:num w:numId="2" w16cid:durableId="1177035090">
    <w:abstractNumId w:val="28"/>
  </w:num>
  <w:num w:numId="3" w16cid:durableId="2024669581">
    <w:abstractNumId w:val="26"/>
  </w:num>
  <w:num w:numId="4" w16cid:durableId="1399591315">
    <w:abstractNumId w:val="15"/>
  </w:num>
  <w:num w:numId="5" w16cid:durableId="768239905">
    <w:abstractNumId w:val="0"/>
  </w:num>
  <w:num w:numId="6" w16cid:durableId="1617327149">
    <w:abstractNumId w:val="2"/>
  </w:num>
  <w:num w:numId="7" w16cid:durableId="1483811536">
    <w:abstractNumId w:val="20"/>
  </w:num>
  <w:num w:numId="8" w16cid:durableId="1016343577">
    <w:abstractNumId w:val="6"/>
  </w:num>
  <w:num w:numId="9" w16cid:durableId="1229270465">
    <w:abstractNumId w:val="16"/>
  </w:num>
  <w:num w:numId="10" w16cid:durableId="852064539">
    <w:abstractNumId w:val="11"/>
  </w:num>
  <w:num w:numId="11" w16cid:durableId="1820267692">
    <w:abstractNumId w:val="19"/>
  </w:num>
  <w:num w:numId="12" w16cid:durableId="206987873">
    <w:abstractNumId w:val="22"/>
  </w:num>
  <w:num w:numId="13" w16cid:durableId="256255890">
    <w:abstractNumId w:val="25"/>
  </w:num>
  <w:num w:numId="14" w16cid:durableId="1735926438">
    <w:abstractNumId w:val="5"/>
  </w:num>
  <w:num w:numId="15" w16cid:durableId="1664121362">
    <w:abstractNumId w:val="4"/>
  </w:num>
  <w:num w:numId="16" w16cid:durableId="1085416097">
    <w:abstractNumId w:val="4"/>
  </w:num>
  <w:num w:numId="17" w16cid:durableId="310866778">
    <w:abstractNumId w:val="0"/>
  </w:num>
  <w:num w:numId="18" w16cid:durableId="1266965059">
    <w:abstractNumId w:val="27"/>
  </w:num>
  <w:num w:numId="19" w16cid:durableId="355497007">
    <w:abstractNumId w:val="9"/>
  </w:num>
  <w:num w:numId="20" w16cid:durableId="721486852">
    <w:abstractNumId w:val="0"/>
  </w:num>
  <w:num w:numId="21" w16cid:durableId="2076079463">
    <w:abstractNumId w:val="9"/>
  </w:num>
  <w:num w:numId="22" w16cid:durableId="1616212701">
    <w:abstractNumId w:val="1"/>
  </w:num>
  <w:num w:numId="23" w16cid:durableId="1432777207">
    <w:abstractNumId w:val="7"/>
  </w:num>
  <w:num w:numId="24" w16cid:durableId="30617987">
    <w:abstractNumId w:val="23"/>
  </w:num>
  <w:num w:numId="25" w16cid:durableId="1210189199">
    <w:abstractNumId w:val="12"/>
  </w:num>
  <w:num w:numId="26" w16cid:durableId="63534605">
    <w:abstractNumId w:val="18"/>
  </w:num>
  <w:num w:numId="27" w16cid:durableId="1680616958">
    <w:abstractNumId w:val="3"/>
  </w:num>
  <w:num w:numId="28" w16cid:durableId="263078335">
    <w:abstractNumId w:val="21"/>
  </w:num>
  <w:num w:numId="29" w16cid:durableId="1092167699">
    <w:abstractNumId w:val="29"/>
  </w:num>
  <w:num w:numId="30" w16cid:durableId="887571323">
    <w:abstractNumId w:val="14"/>
  </w:num>
  <w:num w:numId="31" w16cid:durableId="901645536">
    <w:abstractNumId w:val="17"/>
  </w:num>
  <w:num w:numId="32" w16cid:durableId="570308429">
    <w:abstractNumId w:val="8"/>
  </w:num>
  <w:num w:numId="33" w16cid:durableId="467746559">
    <w:abstractNumId w:val="13"/>
  </w:num>
  <w:num w:numId="34" w16cid:durableId="18650542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2A"/>
    <w:rsid w:val="0000166D"/>
    <w:rsid w:val="000039A9"/>
    <w:rsid w:val="00005627"/>
    <w:rsid w:val="00020B0C"/>
    <w:rsid w:val="00024047"/>
    <w:rsid w:val="00025D9B"/>
    <w:rsid w:val="000379FF"/>
    <w:rsid w:val="00041300"/>
    <w:rsid w:val="000460BC"/>
    <w:rsid w:val="00046148"/>
    <w:rsid w:val="00050145"/>
    <w:rsid w:val="00051F44"/>
    <w:rsid w:val="00053954"/>
    <w:rsid w:val="0005745D"/>
    <w:rsid w:val="00066CE0"/>
    <w:rsid w:val="00075C0E"/>
    <w:rsid w:val="000836A1"/>
    <w:rsid w:val="00092886"/>
    <w:rsid w:val="00093706"/>
    <w:rsid w:val="00093D0C"/>
    <w:rsid w:val="000950DB"/>
    <w:rsid w:val="000978CF"/>
    <w:rsid w:val="000A2473"/>
    <w:rsid w:val="000A329F"/>
    <w:rsid w:val="000A6B6B"/>
    <w:rsid w:val="000B0E66"/>
    <w:rsid w:val="000B27BC"/>
    <w:rsid w:val="000B3978"/>
    <w:rsid w:val="000C1395"/>
    <w:rsid w:val="000C2053"/>
    <w:rsid w:val="000D0F6F"/>
    <w:rsid w:val="001121F7"/>
    <w:rsid w:val="001147FB"/>
    <w:rsid w:val="0011696B"/>
    <w:rsid w:val="00120B5D"/>
    <w:rsid w:val="00132D67"/>
    <w:rsid w:val="001360AE"/>
    <w:rsid w:val="00137680"/>
    <w:rsid w:val="00142A9A"/>
    <w:rsid w:val="0015557E"/>
    <w:rsid w:val="00156448"/>
    <w:rsid w:val="00167F07"/>
    <w:rsid w:val="00170E4C"/>
    <w:rsid w:val="0017257B"/>
    <w:rsid w:val="00181629"/>
    <w:rsid w:val="00183F7F"/>
    <w:rsid w:val="00193E1F"/>
    <w:rsid w:val="00194241"/>
    <w:rsid w:val="00195B17"/>
    <w:rsid w:val="001A5572"/>
    <w:rsid w:val="001A6F7F"/>
    <w:rsid w:val="001B0695"/>
    <w:rsid w:val="001B4189"/>
    <w:rsid w:val="001C5A7F"/>
    <w:rsid w:val="001C7302"/>
    <w:rsid w:val="001D4480"/>
    <w:rsid w:val="001E16C0"/>
    <w:rsid w:val="001E3D0E"/>
    <w:rsid w:val="001E3D7E"/>
    <w:rsid w:val="001E71FE"/>
    <w:rsid w:val="001E7662"/>
    <w:rsid w:val="001F1268"/>
    <w:rsid w:val="001F4E9F"/>
    <w:rsid w:val="001F50D9"/>
    <w:rsid w:val="0021059F"/>
    <w:rsid w:val="00215196"/>
    <w:rsid w:val="002161C1"/>
    <w:rsid w:val="002208C9"/>
    <w:rsid w:val="00237F4C"/>
    <w:rsid w:val="00241D23"/>
    <w:rsid w:val="00246C79"/>
    <w:rsid w:val="00260460"/>
    <w:rsid w:val="00260DEA"/>
    <w:rsid w:val="0027771E"/>
    <w:rsid w:val="002808B8"/>
    <w:rsid w:val="00287110"/>
    <w:rsid w:val="002916ED"/>
    <w:rsid w:val="00295037"/>
    <w:rsid w:val="002A1F86"/>
    <w:rsid w:val="002B53F8"/>
    <w:rsid w:val="002B6BD0"/>
    <w:rsid w:val="002C31F5"/>
    <w:rsid w:val="002C3E28"/>
    <w:rsid w:val="002D1805"/>
    <w:rsid w:val="002F20CD"/>
    <w:rsid w:val="002F445F"/>
    <w:rsid w:val="002F62EE"/>
    <w:rsid w:val="00300C58"/>
    <w:rsid w:val="00301AD7"/>
    <w:rsid w:val="00302410"/>
    <w:rsid w:val="00312002"/>
    <w:rsid w:val="00316848"/>
    <w:rsid w:val="00316C86"/>
    <w:rsid w:val="00325CBC"/>
    <w:rsid w:val="00335E8C"/>
    <w:rsid w:val="00361B70"/>
    <w:rsid w:val="0036258C"/>
    <w:rsid w:val="003875E2"/>
    <w:rsid w:val="00391C1A"/>
    <w:rsid w:val="00393728"/>
    <w:rsid w:val="003A253D"/>
    <w:rsid w:val="003A3898"/>
    <w:rsid w:val="003A4D06"/>
    <w:rsid w:val="003A57BF"/>
    <w:rsid w:val="003B1869"/>
    <w:rsid w:val="003B5C45"/>
    <w:rsid w:val="003D2D65"/>
    <w:rsid w:val="003D3BE4"/>
    <w:rsid w:val="003E1AD8"/>
    <w:rsid w:val="003E4369"/>
    <w:rsid w:val="003F05CA"/>
    <w:rsid w:val="003F48F4"/>
    <w:rsid w:val="00400FEC"/>
    <w:rsid w:val="00401DC8"/>
    <w:rsid w:val="0041152D"/>
    <w:rsid w:val="0043786A"/>
    <w:rsid w:val="00440985"/>
    <w:rsid w:val="00447E35"/>
    <w:rsid w:val="00451C59"/>
    <w:rsid w:val="00451F06"/>
    <w:rsid w:val="00454A26"/>
    <w:rsid w:val="004708D7"/>
    <w:rsid w:val="00471C43"/>
    <w:rsid w:val="00481E40"/>
    <w:rsid w:val="00485BE2"/>
    <w:rsid w:val="00487CA3"/>
    <w:rsid w:val="00494346"/>
    <w:rsid w:val="00494713"/>
    <w:rsid w:val="00494AA2"/>
    <w:rsid w:val="004A7C80"/>
    <w:rsid w:val="004B6FE1"/>
    <w:rsid w:val="004B7147"/>
    <w:rsid w:val="004C268C"/>
    <w:rsid w:val="004C597C"/>
    <w:rsid w:val="004D5FFD"/>
    <w:rsid w:val="004D760C"/>
    <w:rsid w:val="004F1801"/>
    <w:rsid w:val="004F5A5E"/>
    <w:rsid w:val="004F6731"/>
    <w:rsid w:val="0050178C"/>
    <w:rsid w:val="00512565"/>
    <w:rsid w:val="00526006"/>
    <w:rsid w:val="005279CA"/>
    <w:rsid w:val="00534DCD"/>
    <w:rsid w:val="00536F3C"/>
    <w:rsid w:val="0053702B"/>
    <w:rsid w:val="00555ECA"/>
    <w:rsid w:val="005865A3"/>
    <w:rsid w:val="00595F9F"/>
    <w:rsid w:val="005B24B1"/>
    <w:rsid w:val="005B3274"/>
    <w:rsid w:val="005C1575"/>
    <w:rsid w:val="005C2CD7"/>
    <w:rsid w:val="005D1392"/>
    <w:rsid w:val="005D2D3D"/>
    <w:rsid w:val="005D39E3"/>
    <w:rsid w:val="005E5E49"/>
    <w:rsid w:val="005F5DB3"/>
    <w:rsid w:val="005F7655"/>
    <w:rsid w:val="0060168E"/>
    <w:rsid w:val="006025A4"/>
    <w:rsid w:val="00617F7C"/>
    <w:rsid w:val="006212C1"/>
    <w:rsid w:val="00624FE0"/>
    <w:rsid w:val="00630664"/>
    <w:rsid w:val="00641EB3"/>
    <w:rsid w:val="00651953"/>
    <w:rsid w:val="00653282"/>
    <w:rsid w:val="00657D0D"/>
    <w:rsid w:val="00662326"/>
    <w:rsid w:val="006641D1"/>
    <w:rsid w:val="006650BD"/>
    <w:rsid w:val="00676587"/>
    <w:rsid w:val="006804AF"/>
    <w:rsid w:val="006834B1"/>
    <w:rsid w:val="00683561"/>
    <w:rsid w:val="00692758"/>
    <w:rsid w:val="00696587"/>
    <w:rsid w:val="006A0A77"/>
    <w:rsid w:val="006A2175"/>
    <w:rsid w:val="006A74C5"/>
    <w:rsid w:val="006B0D3B"/>
    <w:rsid w:val="006B4614"/>
    <w:rsid w:val="006B4787"/>
    <w:rsid w:val="006C15A3"/>
    <w:rsid w:val="006C319A"/>
    <w:rsid w:val="006C42F2"/>
    <w:rsid w:val="006D5721"/>
    <w:rsid w:val="006E6061"/>
    <w:rsid w:val="006E7913"/>
    <w:rsid w:val="006F074E"/>
    <w:rsid w:val="006F38A8"/>
    <w:rsid w:val="006F76D2"/>
    <w:rsid w:val="00706644"/>
    <w:rsid w:val="00714728"/>
    <w:rsid w:val="0072162F"/>
    <w:rsid w:val="0072274E"/>
    <w:rsid w:val="00732DCE"/>
    <w:rsid w:val="00733C5E"/>
    <w:rsid w:val="0073797C"/>
    <w:rsid w:val="00744D1A"/>
    <w:rsid w:val="007477D5"/>
    <w:rsid w:val="00762715"/>
    <w:rsid w:val="00762D42"/>
    <w:rsid w:val="00775512"/>
    <w:rsid w:val="0077612C"/>
    <w:rsid w:val="007A2651"/>
    <w:rsid w:val="007B1910"/>
    <w:rsid w:val="007C175A"/>
    <w:rsid w:val="007C2DCB"/>
    <w:rsid w:val="007C6D4C"/>
    <w:rsid w:val="007F08EF"/>
    <w:rsid w:val="007F5BEB"/>
    <w:rsid w:val="0080141A"/>
    <w:rsid w:val="008129A9"/>
    <w:rsid w:val="00825682"/>
    <w:rsid w:val="00842D80"/>
    <w:rsid w:val="00844CBC"/>
    <w:rsid w:val="00846B8B"/>
    <w:rsid w:val="00847395"/>
    <w:rsid w:val="00854497"/>
    <w:rsid w:val="00854546"/>
    <w:rsid w:val="00857C15"/>
    <w:rsid w:val="008643D3"/>
    <w:rsid w:val="00864B79"/>
    <w:rsid w:val="00883FB6"/>
    <w:rsid w:val="008C26AC"/>
    <w:rsid w:val="008C3BE6"/>
    <w:rsid w:val="008C4E06"/>
    <w:rsid w:val="008C6153"/>
    <w:rsid w:val="008D01D4"/>
    <w:rsid w:val="008D3D80"/>
    <w:rsid w:val="008D4304"/>
    <w:rsid w:val="008E3970"/>
    <w:rsid w:val="008E43C6"/>
    <w:rsid w:val="008F1500"/>
    <w:rsid w:val="008F3C43"/>
    <w:rsid w:val="008F5A85"/>
    <w:rsid w:val="008F6431"/>
    <w:rsid w:val="008F69F8"/>
    <w:rsid w:val="009006FA"/>
    <w:rsid w:val="00901D2E"/>
    <w:rsid w:val="009264D5"/>
    <w:rsid w:val="0093049E"/>
    <w:rsid w:val="00936F6F"/>
    <w:rsid w:val="00940001"/>
    <w:rsid w:val="00941683"/>
    <w:rsid w:val="00942482"/>
    <w:rsid w:val="0096007B"/>
    <w:rsid w:val="00960BFD"/>
    <w:rsid w:val="009669E6"/>
    <w:rsid w:val="00971204"/>
    <w:rsid w:val="00986D6A"/>
    <w:rsid w:val="009A032E"/>
    <w:rsid w:val="009A6D46"/>
    <w:rsid w:val="009B11E0"/>
    <w:rsid w:val="009C3047"/>
    <w:rsid w:val="009C473F"/>
    <w:rsid w:val="009C4C76"/>
    <w:rsid w:val="009D2B6E"/>
    <w:rsid w:val="009D5D88"/>
    <w:rsid w:val="009D68B2"/>
    <w:rsid w:val="009E0B7A"/>
    <w:rsid w:val="009E3563"/>
    <w:rsid w:val="009F4D86"/>
    <w:rsid w:val="00A0673C"/>
    <w:rsid w:val="00A07B55"/>
    <w:rsid w:val="00A21B76"/>
    <w:rsid w:val="00A23C55"/>
    <w:rsid w:val="00A25EEF"/>
    <w:rsid w:val="00A30A49"/>
    <w:rsid w:val="00A374C2"/>
    <w:rsid w:val="00A409C6"/>
    <w:rsid w:val="00A438A0"/>
    <w:rsid w:val="00A61BCC"/>
    <w:rsid w:val="00A62ABB"/>
    <w:rsid w:val="00A73C83"/>
    <w:rsid w:val="00A75B3C"/>
    <w:rsid w:val="00A8215D"/>
    <w:rsid w:val="00A958F4"/>
    <w:rsid w:val="00A96EF9"/>
    <w:rsid w:val="00AA7EF6"/>
    <w:rsid w:val="00AB32DE"/>
    <w:rsid w:val="00AB7252"/>
    <w:rsid w:val="00AB7AE0"/>
    <w:rsid w:val="00AC4C7C"/>
    <w:rsid w:val="00AD5704"/>
    <w:rsid w:val="00AE1494"/>
    <w:rsid w:val="00AE301A"/>
    <w:rsid w:val="00AE6E7E"/>
    <w:rsid w:val="00AE7DEC"/>
    <w:rsid w:val="00B0100C"/>
    <w:rsid w:val="00B20E72"/>
    <w:rsid w:val="00B241E1"/>
    <w:rsid w:val="00B259F2"/>
    <w:rsid w:val="00B32C73"/>
    <w:rsid w:val="00B36241"/>
    <w:rsid w:val="00B37C1B"/>
    <w:rsid w:val="00B4036F"/>
    <w:rsid w:val="00B44FC5"/>
    <w:rsid w:val="00B45412"/>
    <w:rsid w:val="00B46421"/>
    <w:rsid w:val="00B60039"/>
    <w:rsid w:val="00B656B3"/>
    <w:rsid w:val="00B7188B"/>
    <w:rsid w:val="00B73150"/>
    <w:rsid w:val="00B91A63"/>
    <w:rsid w:val="00B97832"/>
    <w:rsid w:val="00BB5100"/>
    <w:rsid w:val="00BC3ED9"/>
    <w:rsid w:val="00BD2AE6"/>
    <w:rsid w:val="00BE57B6"/>
    <w:rsid w:val="00BF1176"/>
    <w:rsid w:val="00BF4A12"/>
    <w:rsid w:val="00C034FD"/>
    <w:rsid w:val="00C12998"/>
    <w:rsid w:val="00C2520F"/>
    <w:rsid w:val="00C27BC6"/>
    <w:rsid w:val="00C33F8B"/>
    <w:rsid w:val="00C35693"/>
    <w:rsid w:val="00C35B37"/>
    <w:rsid w:val="00C36101"/>
    <w:rsid w:val="00C36199"/>
    <w:rsid w:val="00C458E5"/>
    <w:rsid w:val="00C71D77"/>
    <w:rsid w:val="00C71F76"/>
    <w:rsid w:val="00C730F4"/>
    <w:rsid w:val="00C816BF"/>
    <w:rsid w:val="00CA2593"/>
    <w:rsid w:val="00CA6141"/>
    <w:rsid w:val="00CB5574"/>
    <w:rsid w:val="00CD5EE1"/>
    <w:rsid w:val="00CE034B"/>
    <w:rsid w:val="00CE0C85"/>
    <w:rsid w:val="00CE56AC"/>
    <w:rsid w:val="00CF0C58"/>
    <w:rsid w:val="00CF1372"/>
    <w:rsid w:val="00D142DC"/>
    <w:rsid w:val="00D23812"/>
    <w:rsid w:val="00D26873"/>
    <w:rsid w:val="00D35F95"/>
    <w:rsid w:val="00D4427F"/>
    <w:rsid w:val="00D47A15"/>
    <w:rsid w:val="00D50722"/>
    <w:rsid w:val="00D60E2C"/>
    <w:rsid w:val="00D62193"/>
    <w:rsid w:val="00D72AFB"/>
    <w:rsid w:val="00D772DF"/>
    <w:rsid w:val="00D80EF1"/>
    <w:rsid w:val="00D8117D"/>
    <w:rsid w:val="00D86687"/>
    <w:rsid w:val="00D96F95"/>
    <w:rsid w:val="00D97FF3"/>
    <w:rsid w:val="00DB004E"/>
    <w:rsid w:val="00DC06E0"/>
    <w:rsid w:val="00DD6CE5"/>
    <w:rsid w:val="00DE5EB5"/>
    <w:rsid w:val="00DF38F8"/>
    <w:rsid w:val="00E00714"/>
    <w:rsid w:val="00E02B80"/>
    <w:rsid w:val="00E14229"/>
    <w:rsid w:val="00E14A0C"/>
    <w:rsid w:val="00E32B6D"/>
    <w:rsid w:val="00E46D75"/>
    <w:rsid w:val="00E47CEC"/>
    <w:rsid w:val="00E510C8"/>
    <w:rsid w:val="00E514ED"/>
    <w:rsid w:val="00E63265"/>
    <w:rsid w:val="00E64E84"/>
    <w:rsid w:val="00E67FA7"/>
    <w:rsid w:val="00E74A39"/>
    <w:rsid w:val="00E850F8"/>
    <w:rsid w:val="00E904E0"/>
    <w:rsid w:val="00E95C91"/>
    <w:rsid w:val="00E9662A"/>
    <w:rsid w:val="00EA05B3"/>
    <w:rsid w:val="00EA273A"/>
    <w:rsid w:val="00EA34EE"/>
    <w:rsid w:val="00EB151A"/>
    <w:rsid w:val="00EC068C"/>
    <w:rsid w:val="00EC1C73"/>
    <w:rsid w:val="00EC393B"/>
    <w:rsid w:val="00EC6BB2"/>
    <w:rsid w:val="00ED4434"/>
    <w:rsid w:val="00ED5639"/>
    <w:rsid w:val="00ED57AF"/>
    <w:rsid w:val="00ED5EFE"/>
    <w:rsid w:val="00EE000E"/>
    <w:rsid w:val="00EE45C8"/>
    <w:rsid w:val="00EF2077"/>
    <w:rsid w:val="00EF4085"/>
    <w:rsid w:val="00F00889"/>
    <w:rsid w:val="00F054E5"/>
    <w:rsid w:val="00F05964"/>
    <w:rsid w:val="00F22339"/>
    <w:rsid w:val="00F3231A"/>
    <w:rsid w:val="00F329DF"/>
    <w:rsid w:val="00F33791"/>
    <w:rsid w:val="00F33B99"/>
    <w:rsid w:val="00F555D3"/>
    <w:rsid w:val="00F55A31"/>
    <w:rsid w:val="00F55F82"/>
    <w:rsid w:val="00F700F9"/>
    <w:rsid w:val="00F736C0"/>
    <w:rsid w:val="00F775EE"/>
    <w:rsid w:val="00F863A1"/>
    <w:rsid w:val="00F93C49"/>
    <w:rsid w:val="00F94A40"/>
    <w:rsid w:val="00F95238"/>
    <w:rsid w:val="00F954AE"/>
    <w:rsid w:val="00FA0835"/>
    <w:rsid w:val="00FA08DD"/>
    <w:rsid w:val="00FA3263"/>
    <w:rsid w:val="00FA59EE"/>
    <w:rsid w:val="00FA7847"/>
    <w:rsid w:val="00FB2901"/>
    <w:rsid w:val="00FB3F91"/>
    <w:rsid w:val="00FB5714"/>
    <w:rsid w:val="00FB5F8D"/>
    <w:rsid w:val="00FC6DCC"/>
    <w:rsid w:val="00FC7D32"/>
    <w:rsid w:val="00FC7E7D"/>
    <w:rsid w:val="00FD26AA"/>
    <w:rsid w:val="00FD3198"/>
    <w:rsid w:val="00FD50C5"/>
    <w:rsid w:val="00FF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15795"/>
  <w15:docId w15:val="{6D7A9438-BC3D-4FAB-8E4A-1D5506B4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252"/>
    <w:rPr>
      <w:lang w:val="fr-FR"/>
    </w:rPr>
  </w:style>
  <w:style w:type="paragraph" w:styleId="Titre1">
    <w:name w:val="heading 1"/>
    <w:basedOn w:val="Normal"/>
    <w:next w:val="Normal"/>
    <w:link w:val="Titre1Car"/>
    <w:qFormat/>
    <w:rsid w:val="00120B5D"/>
    <w:pPr>
      <w:widowControl w:val="0"/>
      <w:tabs>
        <w:tab w:val="left" w:pos="-720"/>
      </w:tabs>
      <w:suppressAutoHyphens/>
      <w:outlineLvl w:val="0"/>
    </w:pPr>
    <w:rPr>
      <w:rFonts w:ascii="Arial" w:hAnsi="Arial"/>
      <w:b/>
      <w:snapToGrid w:val="0"/>
      <w:u w:val="single"/>
    </w:rPr>
  </w:style>
  <w:style w:type="paragraph" w:styleId="Titre2">
    <w:name w:val="heading 2"/>
    <w:basedOn w:val="Normal"/>
    <w:next w:val="Normal"/>
    <w:link w:val="Titre2Car"/>
    <w:qFormat/>
    <w:rsid w:val="00120B5D"/>
    <w:pPr>
      <w:keepNext/>
      <w:widowControl w:val="0"/>
      <w:suppressAutoHyphens/>
      <w:outlineLvl w:val="1"/>
    </w:pPr>
    <w:rPr>
      <w:rFonts w:ascii="Courier New" w:hAnsi="Courier New"/>
      <w:b/>
      <w:snapToGrid w:val="0"/>
      <w:lang w:val="nl-NL"/>
    </w:rPr>
  </w:style>
  <w:style w:type="paragraph" w:styleId="Titre3">
    <w:name w:val="heading 3"/>
    <w:basedOn w:val="Normal"/>
    <w:next w:val="Normal"/>
    <w:link w:val="Titre3Car"/>
    <w:qFormat/>
    <w:rsid w:val="00120B5D"/>
    <w:pPr>
      <w:keepNext/>
      <w:jc w:val="center"/>
      <w:outlineLvl w:val="2"/>
    </w:pPr>
    <w:rPr>
      <w:rFonts w:ascii="Arial" w:hAnsi="Arial"/>
      <w:b/>
      <w:spacing w:val="-4"/>
      <w:sz w:val="18"/>
    </w:rPr>
  </w:style>
  <w:style w:type="paragraph" w:styleId="Titre4">
    <w:name w:val="heading 4"/>
    <w:basedOn w:val="Normal"/>
    <w:next w:val="Normal"/>
    <w:link w:val="Titre4Car"/>
    <w:qFormat/>
    <w:rsid w:val="00120B5D"/>
    <w:pPr>
      <w:keepNext/>
      <w:spacing w:after="120"/>
      <w:jc w:val="both"/>
      <w:outlineLvl w:val="3"/>
    </w:pPr>
    <w:rPr>
      <w:rFonts w:ascii="Arial" w:hAnsi="Arial"/>
      <w:b/>
      <w:color w:val="000080"/>
      <w:sz w:val="22"/>
      <w:u w:val="single"/>
      <w:lang w:val="fr-BE"/>
    </w:rPr>
  </w:style>
  <w:style w:type="paragraph" w:styleId="Titre5">
    <w:name w:val="heading 5"/>
    <w:basedOn w:val="Normal"/>
    <w:next w:val="Normal"/>
    <w:link w:val="Titre5Car"/>
    <w:qFormat/>
    <w:rsid w:val="00120B5D"/>
    <w:pPr>
      <w:keepNext/>
      <w:jc w:val="center"/>
      <w:outlineLvl w:val="4"/>
    </w:pPr>
    <w:rPr>
      <w:rFonts w:ascii="Arial" w:hAnsi="Arial"/>
      <w:b/>
      <w:lang w:val="nl-NL"/>
    </w:rPr>
  </w:style>
  <w:style w:type="paragraph" w:styleId="Titre6">
    <w:name w:val="heading 6"/>
    <w:basedOn w:val="Normal"/>
    <w:next w:val="Normal"/>
    <w:link w:val="Titre6Car"/>
    <w:qFormat/>
    <w:rsid w:val="00120B5D"/>
    <w:pPr>
      <w:keepNext/>
      <w:spacing w:after="120"/>
      <w:jc w:val="center"/>
      <w:outlineLvl w:val="5"/>
    </w:pPr>
    <w:rPr>
      <w:rFonts w:ascii="Arial" w:hAnsi="Arial"/>
      <w:b/>
      <w:caps/>
      <w:sz w:val="22"/>
    </w:rPr>
  </w:style>
  <w:style w:type="paragraph" w:styleId="Titre7">
    <w:name w:val="heading 7"/>
    <w:basedOn w:val="Normal"/>
    <w:next w:val="Normal"/>
    <w:link w:val="Titre7Car"/>
    <w:qFormat/>
    <w:rsid w:val="00120B5D"/>
    <w:pPr>
      <w:keepNext/>
      <w:spacing w:after="240"/>
      <w:jc w:val="center"/>
      <w:outlineLvl w:val="6"/>
    </w:pPr>
    <w:rPr>
      <w:rFonts w:ascii="Arial" w:hAnsi="Arial"/>
      <w:b/>
      <w:sz w:val="22"/>
      <w:u w:val="single"/>
    </w:rPr>
  </w:style>
  <w:style w:type="paragraph" w:styleId="Titre8">
    <w:name w:val="heading 8"/>
    <w:basedOn w:val="Normal"/>
    <w:next w:val="Normal"/>
    <w:link w:val="Titre8Car"/>
    <w:unhideWhenUsed/>
    <w:qFormat/>
    <w:rsid w:val="00F33B99"/>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F33B9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20B5D"/>
    <w:pPr>
      <w:tabs>
        <w:tab w:val="left" w:pos="1116"/>
      </w:tabs>
      <w:jc w:val="both"/>
    </w:pPr>
    <w:rPr>
      <w:rFonts w:ascii="Arial" w:hAnsi="Arial"/>
      <w:sz w:val="22"/>
    </w:rPr>
  </w:style>
  <w:style w:type="paragraph" w:styleId="Titre">
    <w:name w:val="Title"/>
    <w:basedOn w:val="Normal"/>
    <w:link w:val="TitreCar"/>
    <w:qFormat/>
    <w:rsid w:val="00120B5D"/>
    <w:pPr>
      <w:jc w:val="center"/>
    </w:pPr>
    <w:rPr>
      <w:rFonts w:ascii="Arial" w:hAnsi="Arial"/>
      <w:b/>
      <w:sz w:val="22"/>
    </w:rPr>
  </w:style>
  <w:style w:type="paragraph" w:styleId="En-tte">
    <w:name w:val="header"/>
    <w:basedOn w:val="Normal"/>
    <w:link w:val="En-tteCar"/>
    <w:rsid w:val="00120B5D"/>
    <w:pPr>
      <w:tabs>
        <w:tab w:val="center" w:pos="4153"/>
        <w:tab w:val="right" w:pos="8306"/>
      </w:tabs>
    </w:pPr>
  </w:style>
  <w:style w:type="paragraph" w:styleId="Pieddepage">
    <w:name w:val="footer"/>
    <w:basedOn w:val="Normal"/>
    <w:link w:val="PieddepageCar"/>
    <w:rsid w:val="00120B5D"/>
    <w:pPr>
      <w:tabs>
        <w:tab w:val="center" w:pos="4153"/>
        <w:tab w:val="right" w:pos="8306"/>
      </w:tabs>
    </w:pPr>
  </w:style>
  <w:style w:type="table" w:styleId="Grilledutableau">
    <w:name w:val="Table Grid"/>
    <w:basedOn w:val="TableauNormal"/>
    <w:rsid w:val="003D2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EF4085"/>
    <w:rPr>
      <w:rFonts w:ascii="Tahoma" w:hAnsi="Tahoma" w:cs="Tahoma"/>
      <w:sz w:val="16"/>
      <w:szCs w:val="16"/>
    </w:rPr>
  </w:style>
  <w:style w:type="character" w:customStyle="1" w:styleId="TextedebullesCar">
    <w:name w:val="Texte de bulles Car"/>
    <w:basedOn w:val="Policepardfaut"/>
    <w:link w:val="Textedebulles"/>
    <w:rsid w:val="00EF4085"/>
    <w:rPr>
      <w:rFonts w:ascii="Tahoma" w:hAnsi="Tahoma" w:cs="Tahoma"/>
      <w:sz w:val="16"/>
      <w:szCs w:val="16"/>
      <w:lang w:val="fr-FR"/>
    </w:rPr>
  </w:style>
  <w:style w:type="character" w:styleId="Lienhypertexte">
    <w:name w:val="Hyperlink"/>
    <w:basedOn w:val="Policepardfaut"/>
    <w:rsid w:val="00E95C91"/>
    <w:rPr>
      <w:color w:val="0000FF" w:themeColor="hyperlink"/>
      <w:u w:val="single"/>
    </w:rPr>
  </w:style>
  <w:style w:type="character" w:customStyle="1" w:styleId="En-tteCar">
    <w:name w:val="En-tête Car"/>
    <w:basedOn w:val="Policepardfaut"/>
    <w:link w:val="En-tte"/>
    <w:rsid w:val="00335E8C"/>
    <w:rPr>
      <w:lang w:val="fr-FR"/>
    </w:rPr>
  </w:style>
  <w:style w:type="paragraph" w:styleId="Corpsdetexte2">
    <w:name w:val="Body Text 2"/>
    <w:basedOn w:val="Normal"/>
    <w:link w:val="Corpsdetexte2Car"/>
    <w:rsid w:val="00335E8C"/>
    <w:pPr>
      <w:spacing w:after="120" w:line="480" w:lineRule="auto"/>
    </w:pPr>
  </w:style>
  <w:style w:type="character" w:customStyle="1" w:styleId="Corpsdetexte2Car">
    <w:name w:val="Corps de texte 2 Car"/>
    <w:basedOn w:val="Policepardfaut"/>
    <w:link w:val="Corpsdetexte2"/>
    <w:rsid w:val="00335E8C"/>
    <w:rPr>
      <w:lang w:val="fr-FR"/>
    </w:rPr>
  </w:style>
  <w:style w:type="paragraph" w:styleId="Paragraphedeliste">
    <w:name w:val="List Paragraph"/>
    <w:basedOn w:val="Normal"/>
    <w:link w:val="ParagraphedelisteCar"/>
    <w:uiPriority w:val="34"/>
    <w:qFormat/>
    <w:rsid w:val="00335E8C"/>
    <w:pPr>
      <w:ind w:left="720"/>
      <w:contextualSpacing/>
    </w:pPr>
  </w:style>
  <w:style w:type="character" w:customStyle="1" w:styleId="Titre8Car">
    <w:name w:val="Titre 8 Car"/>
    <w:basedOn w:val="Policepardfaut"/>
    <w:link w:val="Titre8"/>
    <w:rsid w:val="00F33B99"/>
    <w:rPr>
      <w:rFonts w:asciiTheme="majorHAnsi" w:eastAsiaTheme="majorEastAsia" w:hAnsiTheme="majorHAnsi" w:cstheme="majorBidi"/>
      <w:color w:val="404040" w:themeColor="text1" w:themeTint="BF"/>
      <w:lang w:val="fr-FR"/>
    </w:rPr>
  </w:style>
  <w:style w:type="character" w:customStyle="1" w:styleId="Titre9Car">
    <w:name w:val="Titre 9 Car"/>
    <w:basedOn w:val="Policepardfaut"/>
    <w:link w:val="Titre9"/>
    <w:rsid w:val="00F33B99"/>
    <w:rPr>
      <w:rFonts w:asciiTheme="majorHAnsi" w:eastAsiaTheme="majorEastAsia" w:hAnsiTheme="majorHAnsi" w:cstheme="majorBidi"/>
      <w:i/>
      <w:iCs/>
      <w:color w:val="404040" w:themeColor="text1" w:themeTint="BF"/>
      <w:lang w:val="fr-FR"/>
    </w:rPr>
  </w:style>
  <w:style w:type="character" w:customStyle="1" w:styleId="Titre1Car">
    <w:name w:val="Titre 1 Car"/>
    <w:basedOn w:val="Policepardfaut"/>
    <w:link w:val="Titre1"/>
    <w:rsid w:val="00F33B99"/>
    <w:rPr>
      <w:rFonts w:ascii="Arial" w:hAnsi="Arial"/>
      <w:b/>
      <w:snapToGrid w:val="0"/>
      <w:u w:val="single"/>
      <w:lang w:val="fr-FR"/>
    </w:rPr>
  </w:style>
  <w:style w:type="character" w:customStyle="1" w:styleId="Titre2Car">
    <w:name w:val="Titre 2 Car"/>
    <w:basedOn w:val="Policepardfaut"/>
    <w:link w:val="Titre2"/>
    <w:rsid w:val="00F33B99"/>
    <w:rPr>
      <w:rFonts w:ascii="Courier New" w:hAnsi="Courier New"/>
      <w:b/>
      <w:snapToGrid w:val="0"/>
      <w:lang w:val="nl-NL"/>
    </w:rPr>
  </w:style>
  <w:style w:type="character" w:customStyle="1" w:styleId="Titre3Car">
    <w:name w:val="Titre 3 Car"/>
    <w:basedOn w:val="Policepardfaut"/>
    <w:link w:val="Titre3"/>
    <w:rsid w:val="00F33B99"/>
    <w:rPr>
      <w:rFonts w:ascii="Arial" w:hAnsi="Arial"/>
      <w:b/>
      <w:spacing w:val="-4"/>
      <w:sz w:val="18"/>
      <w:lang w:val="fr-FR"/>
    </w:rPr>
  </w:style>
  <w:style w:type="character" w:customStyle="1" w:styleId="Titre4Car">
    <w:name w:val="Titre 4 Car"/>
    <w:basedOn w:val="Policepardfaut"/>
    <w:link w:val="Titre4"/>
    <w:rsid w:val="00F33B99"/>
    <w:rPr>
      <w:rFonts w:ascii="Arial" w:hAnsi="Arial"/>
      <w:b/>
      <w:color w:val="000080"/>
      <w:sz w:val="22"/>
      <w:u w:val="single"/>
      <w:lang w:val="fr-BE"/>
    </w:rPr>
  </w:style>
  <w:style w:type="character" w:customStyle="1" w:styleId="Titre5Car">
    <w:name w:val="Titre 5 Car"/>
    <w:basedOn w:val="Policepardfaut"/>
    <w:link w:val="Titre5"/>
    <w:rsid w:val="00F33B99"/>
    <w:rPr>
      <w:rFonts w:ascii="Arial" w:hAnsi="Arial"/>
      <w:b/>
      <w:lang w:val="nl-NL"/>
    </w:rPr>
  </w:style>
  <w:style w:type="character" w:customStyle="1" w:styleId="Titre6Car">
    <w:name w:val="Titre 6 Car"/>
    <w:basedOn w:val="Policepardfaut"/>
    <w:link w:val="Titre6"/>
    <w:rsid w:val="00F33B99"/>
    <w:rPr>
      <w:rFonts w:ascii="Arial" w:hAnsi="Arial"/>
      <w:b/>
      <w:caps/>
      <w:sz w:val="22"/>
      <w:lang w:val="fr-FR"/>
    </w:rPr>
  </w:style>
  <w:style w:type="character" w:customStyle="1" w:styleId="Titre7Car">
    <w:name w:val="Titre 7 Car"/>
    <w:basedOn w:val="Policepardfaut"/>
    <w:link w:val="Titre7"/>
    <w:rsid w:val="00F33B99"/>
    <w:rPr>
      <w:rFonts w:ascii="Arial" w:hAnsi="Arial"/>
      <w:b/>
      <w:sz w:val="22"/>
      <w:u w:val="single"/>
      <w:lang w:val="fr-FR"/>
    </w:rPr>
  </w:style>
  <w:style w:type="character" w:customStyle="1" w:styleId="CorpsdetexteCar">
    <w:name w:val="Corps de texte Car"/>
    <w:basedOn w:val="Policepardfaut"/>
    <w:link w:val="Corpsdetexte"/>
    <w:rsid w:val="00F33B99"/>
    <w:rPr>
      <w:rFonts w:ascii="Arial" w:hAnsi="Arial"/>
      <w:sz w:val="22"/>
      <w:lang w:val="fr-FR"/>
    </w:rPr>
  </w:style>
  <w:style w:type="character" w:customStyle="1" w:styleId="TitreCar">
    <w:name w:val="Titre Car"/>
    <w:basedOn w:val="Policepardfaut"/>
    <w:link w:val="Titre"/>
    <w:rsid w:val="00F33B99"/>
    <w:rPr>
      <w:rFonts w:ascii="Arial" w:hAnsi="Arial"/>
      <w:b/>
      <w:sz w:val="22"/>
      <w:lang w:val="fr-FR"/>
    </w:rPr>
  </w:style>
  <w:style w:type="character" w:customStyle="1" w:styleId="PieddepageCar">
    <w:name w:val="Pied de page Car"/>
    <w:basedOn w:val="Policepardfaut"/>
    <w:link w:val="Pieddepage"/>
    <w:rsid w:val="00F33B99"/>
    <w:rPr>
      <w:lang w:val="fr-FR"/>
    </w:rPr>
  </w:style>
  <w:style w:type="paragraph" w:styleId="Retraitcorpsdetexte3">
    <w:name w:val="Body Text Indent 3"/>
    <w:basedOn w:val="Normal"/>
    <w:link w:val="Retraitcorpsdetexte3Car"/>
    <w:rsid w:val="00F33B99"/>
    <w:pPr>
      <w:tabs>
        <w:tab w:val="left" w:pos="-851"/>
      </w:tabs>
      <w:ind w:left="426" w:hanging="426"/>
      <w:jc w:val="both"/>
    </w:pPr>
    <w:rPr>
      <w:rFonts w:ascii="Arial" w:hAnsi="Arial"/>
      <w:spacing w:val="-2"/>
      <w:lang w:val="nl-NL" w:eastAsia="nl-NL"/>
    </w:rPr>
  </w:style>
  <w:style w:type="character" w:customStyle="1" w:styleId="Retraitcorpsdetexte3Car">
    <w:name w:val="Retrait corps de texte 3 Car"/>
    <w:basedOn w:val="Policepardfaut"/>
    <w:link w:val="Retraitcorpsdetexte3"/>
    <w:rsid w:val="00F33B99"/>
    <w:rPr>
      <w:rFonts w:ascii="Arial" w:hAnsi="Arial"/>
      <w:spacing w:val="-2"/>
      <w:lang w:val="nl-NL" w:eastAsia="nl-NL"/>
    </w:rPr>
  </w:style>
  <w:style w:type="paragraph" w:styleId="Retraitcorpsdetexte">
    <w:name w:val="Body Text Indent"/>
    <w:basedOn w:val="Normal"/>
    <w:link w:val="RetraitcorpsdetexteCar"/>
    <w:rsid w:val="00F33B99"/>
    <w:pPr>
      <w:ind w:left="426"/>
    </w:pPr>
    <w:rPr>
      <w:rFonts w:ascii="Arial" w:hAnsi="Arial"/>
      <w:lang w:val="nl-NL" w:eastAsia="nl-NL"/>
    </w:rPr>
  </w:style>
  <w:style w:type="character" w:customStyle="1" w:styleId="RetraitcorpsdetexteCar">
    <w:name w:val="Retrait corps de texte Car"/>
    <w:basedOn w:val="Policepardfaut"/>
    <w:link w:val="Retraitcorpsdetexte"/>
    <w:rsid w:val="00F33B99"/>
    <w:rPr>
      <w:rFonts w:ascii="Arial" w:hAnsi="Arial"/>
      <w:lang w:val="nl-NL" w:eastAsia="nl-NL"/>
    </w:rPr>
  </w:style>
  <w:style w:type="paragraph" w:styleId="Notedefin">
    <w:name w:val="endnote text"/>
    <w:basedOn w:val="Normal"/>
    <w:link w:val="NotedefinCar"/>
    <w:rsid w:val="00F33B99"/>
    <w:pPr>
      <w:widowControl w:val="0"/>
    </w:pPr>
    <w:rPr>
      <w:rFonts w:ascii="Courier" w:hAnsi="Courier"/>
      <w:snapToGrid w:val="0"/>
      <w:sz w:val="24"/>
      <w:lang w:val="en-GB"/>
    </w:rPr>
  </w:style>
  <w:style w:type="character" w:customStyle="1" w:styleId="NotedefinCar">
    <w:name w:val="Note de fin Car"/>
    <w:basedOn w:val="Policepardfaut"/>
    <w:link w:val="Notedefin"/>
    <w:rsid w:val="00F33B99"/>
    <w:rPr>
      <w:rFonts w:ascii="Courier" w:hAnsi="Courier"/>
      <w:snapToGrid w:val="0"/>
      <w:sz w:val="24"/>
      <w:lang w:val="en-GB"/>
    </w:rPr>
  </w:style>
  <w:style w:type="character" w:styleId="Numrodepage">
    <w:name w:val="page number"/>
    <w:basedOn w:val="Policepardfaut"/>
    <w:rsid w:val="00F33B99"/>
  </w:style>
  <w:style w:type="paragraph" w:customStyle="1" w:styleId="Document1">
    <w:name w:val="Document 1"/>
    <w:rsid w:val="00F33B99"/>
    <w:pPr>
      <w:keepNext/>
      <w:keepLines/>
      <w:widowControl w:val="0"/>
      <w:tabs>
        <w:tab w:val="left" w:pos="-720"/>
      </w:tabs>
      <w:suppressAutoHyphens/>
    </w:pPr>
    <w:rPr>
      <w:rFonts w:ascii="Courier" w:hAnsi="Courier"/>
      <w:snapToGrid w:val="0"/>
    </w:rPr>
  </w:style>
  <w:style w:type="character" w:styleId="Appeldenotedefin">
    <w:name w:val="endnote reference"/>
    <w:basedOn w:val="Policepardfaut"/>
    <w:rsid w:val="00F33B99"/>
    <w:rPr>
      <w:vertAlign w:val="superscript"/>
    </w:rPr>
  </w:style>
  <w:style w:type="paragraph" w:styleId="Retraitcorpsdetexte2">
    <w:name w:val="Body Text Indent 2"/>
    <w:basedOn w:val="Normal"/>
    <w:link w:val="Retraitcorpsdetexte2Car"/>
    <w:rsid w:val="00F33B99"/>
    <w:pPr>
      <w:ind w:left="426"/>
    </w:pPr>
    <w:rPr>
      <w:rFonts w:ascii="Arial" w:hAnsi="Arial"/>
      <w:i/>
      <w:lang w:val="nl-NL" w:eastAsia="nl-NL"/>
    </w:rPr>
  </w:style>
  <w:style w:type="character" w:customStyle="1" w:styleId="Retraitcorpsdetexte2Car">
    <w:name w:val="Retrait corps de texte 2 Car"/>
    <w:basedOn w:val="Policepardfaut"/>
    <w:link w:val="Retraitcorpsdetexte2"/>
    <w:rsid w:val="00F33B99"/>
    <w:rPr>
      <w:rFonts w:ascii="Arial" w:hAnsi="Arial"/>
      <w:i/>
      <w:lang w:val="nl-NL" w:eastAsia="nl-NL"/>
    </w:rPr>
  </w:style>
  <w:style w:type="paragraph" w:styleId="Corpsdetexte3">
    <w:name w:val="Body Text 3"/>
    <w:basedOn w:val="Normal"/>
    <w:link w:val="Corpsdetexte3Car"/>
    <w:rsid w:val="00F33B99"/>
    <w:pPr>
      <w:suppressAutoHyphens/>
    </w:pPr>
    <w:rPr>
      <w:rFonts w:ascii="Arial" w:hAnsi="Arial"/>
      <w:b/>
      <w:lang w:val="nl-NL" w:eastAsia="nl-NL"/>
    </w:rPr>
  </w:style>
  <w:style w:type="character" w:customStyle="1" w:styleId="Corpsdetexte3Car">
    <w:name w:val="Corps de texte 3 Car"/>
    <w:basedOn w:val="Policepardfaut"/>
    <w:link w:val="Corpsdetexte3"/>
    <w:rsid w:val="00F33B99"/>
    <w:rPr>
      <w:rFonts w:ascii="Arial" w:hAnsi="Arial"/>
      <w:b/>
      <w:lang w:val="nl-NL" w:eastAsia="nl-NL"/>
    </w:rPr>
  </w:style>
  <w:style w:type="paragraph" w:styleId="Textebrut">
    <w:name w:val="Plain Text"/>
    <w:basedOn w:val="Normal"/>
    <w:link w:val="TextebrutCar"/>
    <w:rsid w:val="00F33B99"/>
    <w:rPr>
      <w:rFonts w:ascii="Courier New" w:hAnsi="Courier New"/>
      <w:lang w:val="fr-BE" w:eastAsia="nl-NL"/>
    </w:rPr>
  </w:style>
  <w:style w:type="character" w:customStyle="1" w:styleId="TextebrutCar">
    <w:name w:val="Texte brut Car"/>
    <w:basedOn w:val="Policepardfaut"/>
    <w:link w:val="Textebrut"/>
    <w:rsid w:val="00F33B99"/>
    <w:rPr>
      <w:rFonts w:ascii="Courier New" w:hAnsi="Courier New"/>
      <w:lang w:val="fr-BE" w:eastAsia="nl-NL"/>
    </w:rPr>
  </w:style>
  <w:style w:type="character" w:customStyle="1" w:styleId="longtext">
    <w:name w:val="long_text"/>
    <w:basedOn w:val="Policepardfaut"/>
    <w:rsid w:val="00F33B99"/>
  </w:style>
  <w:style w:type="character" w:customStyle="1" w:styleId="hps">
    <w:name w:val="hps"/>
    <w:basedOn w:val="Policepardfaut"/>
    <w:rsid w:val="00F33B99"/>
  </w:style>
  <w:style w:type="character" w:customStyle="1" w:styleId="Policepardfaut1">
    <w:name w:val="Police par défaut1"/>
    <w:rsid w:val="009D2B6E"/>
  </w:style>
  <w:style w:type="numbering" w:customStyle="1" w:styleId="NoList1">
    <w:name w:val="No List1"/>
    <w:next w:val="Aucuneliste"/>
    <w:uiPriority w:val="99"/>
    <w:semiHidden/>
    <w:unhideWhenUsed/>
    <w:rsid w:val="0021059F"/>
  </w:style>
  <w:style w:type="table" w:customStyle="1" w:styleId="TableGrid1">
    <w:name w:val="Table Grid1"/>
    <w:basedOn w:val="TableauNormal"/>
    <w:next w:val="Grilledutableau"/>
    <w:rsid w:val="0021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21059F"/>
  </w:style>
  <w:style w:type="table" w:customStyle="1" w:styleId="TableGrid2">
    <w:name w:val="Table Grid2"/>
    <w:basedOn w:val="TableauNormal"/>
    <w:next w:val="Grilledutableau"/>
    <w:rsid w:val="0021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1059F"/>
  </w:style>
  <w:style w:type="table" w:customStyle="1" w:styleId="TableGrid3">
    <w:name w:val="Table Grid3"/>
    <w:basedOn w:val="TableauNormal"/>
    <w:next w:val="Grilledutableau"/>
    <w:rsid w:val="0021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Policepardfaut"/>
    <w:rsid w:val="0021059F"/>
    <w:rPr>
      <w:color w:val="0000FF"/>
      <w:u w:val="single"/>
    </w:rPr>
  </w:style>
  <w:style w:type="numbering" w:customStyle="1" w:styleId="NoList3">
    <w:name w:val="No List3"/>
    <w:next w:val="Aucuneliste"/>
    <w:uiPriority w:val="99"/>
    <w:semiHidden/>
    <w:unhideWhenUsed/>
    <w:rsid w:val="0021059F"/>
  </w:style>
  <w:style w:type="table" w:customStyle="1" w:styleId="TableGrid4">
    <w:name w:val="Table Grid4"/>
    <w:basedOn w:val="TableauNormal"/>
    <w:next w:val="Grilledutableau"/>
    <w:rsid w:val="0021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D80"/>
    <w:pPr>
      <w:autoSpaceDE w:val="0"/>
      <w:autoSpaceDN w:val="0"/>
      <w:adjustRightInd w:val="0"/>
    </w:pPr>
    <w:rPr>
      <w:rFonts w:ascii="Arial" w:hAnsi="Arial" w:cs="Arial"/>
      <w:color w:val="000000"/>
      <w:sz w:val="24"/>
      <w:szCs w:val="24"/>
    </w:rPr>
  </w:style>
  <w:style w:type="character" w:customStyle="1" w:styleId="ParagraphedelisteCar">
    <w:name w:val="Paragraphe de liste Car"/>
    <w:basedOn w:val="Policepardfaut"/>
    <w:link w:val="Paragraphedeliste"/>
    <w:uiPriority w:val="34"/>
    <w:rsid w:val="009F4D8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969">
      <w:bodyDiv w:val="1"/>
      <w:marLeft w:val="0"/>
      <w:marRight w:val="0"/>
      <w:marTop w:val="0"/>
      <w:marBottom w:val="0"/>
      <w:divBdr>
        <w:top w:val="none" w:sz="0" w:space="0" w:color="auto"/>
        <w:left w:val="none" w:sz="0" w:space="0" w:color="auto"/>
        <w:bottom w:val="none" w:sz="0" w:space="0" w:color="auto"/>
        <w:right w:val="none" w:sz="0" w:space="0" w:color="auto"/>
      </w:divBdr>
    </w:div>
    <w:div w:id="168571275">
      <w:bodyDiv w:val="1"/>
      <w:marLeft w:val="0"/>
      <w:marRight w:val="0"/>
      <w:marTop w:val="0"/>
      <w:marBottom w:val="0"/>
      <w:divBdr>
        <w:top w:val="none" w:sz="0" w:space="0" w:color="auto"/>
        <w:left w:val="none" w:sz="0" w:space="0" w:color="auto"/>
        <w:bottom w:val="none" w:sz="0" w:space="0" w:color="auto"/>
        <w:right w:val="none" w:sz="0" w:space="0" w:color="auto"/>
      </w:divBdr>
    </w:div>
    <w:div w:id="470101656">
      <w:bodyDiv w:val="1"/>
      <w:marLeft w:val="0"/>
      <w:marRight w:val="0"/>
      <w:marTop w:val="0"/>
      <w:marBottom w:val="0"/>
      <w:divBdr>
        <w:top w:val="none" w:sz="0" w:space="0" w:color="auto"/>
        <w:left w:val="none" w:sz="0" w:space="0" w:color="auto"/>
        <w:bottom w:val="none" w:sz="0" w:space="0" w:color="auto"/>
        <w:right w:val="none" w:sz="0" w:space="0" w:color="auto"/>
      </w:divBdr>
    </w:div>
    <w:div w:id="629677657">
      <w:bodyDiv w:val="1"/>
      <w:marLeft w:val="0"/>
      <w:marRight w:val="0"/>
      <w:marTop w:val="0"/>
      <w:marBottom w:val="0"/>
      <w:divBdr>
        <w:top w:val="none" w:sz="0" w:space="0" w:color="auto"/>
        <w:left w:val="none" w:sz="0" w:space="0" w:color="auto"/>
        <w:bottom w:val="none" w:sz="0" w:space="0" w:color="auto"/>
        <w:right w:val="none" w:sz="0" w:space="0" w:color="auto"/>
      </w:divBdr>
    </w:div>
    <w:div w:id="1194465664">
      <w:bodyDiv w:val="1"/>
      <w:marLeft w:val="0"/>
      <w:marRight w:val="0"/>
      <w:marTop w:val="0"/>
      <w:marBottom w:val="0"/>
      <w:divBdr>
        <w:top w:val="none" w:sz="0" w:space="0" w:color="auto"/>
        <w:left w:val="none" w:sz="0" w:space="0" w:color="auto"/>
        <w:bottom w:val="none" w:sz="0" w:space="0" w:color="auto"/>
        <w:right w:val="none" w:sz="0" w:space="0" w:color="auto"/>
      </w:divBdr>
    </w:div>
    <w:div w:id="15867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BCC3-3C90-4857-8C1F-C1C913FB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2907</Words>
  <Characters>16336</Characters>
  <Application>Microsoft Office Word</Application>
  <DocSecurity>4</DocSecurity>
  <Lines>136</Lines>
  <Paragraphs>38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INSTITUT NATIONAL D’ASSURANCE MALADIE INVALIDITÉ</vt:lpstr>
      <vt:lpstr>INSTITUT NATIONAL D’ASSURANCE MALADIE INVALIDITÉ</vt:lpstr>
      <vt:lpstr>INSTITUT NATIONAL D’ASSURANCE MALADIE INVALIDITÉ</vt:lpstr>
    </vt:vector>
  </TitlesOfParts>
  <Company>R.I.Z.I.V. - I.N.A.M.I.</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NATIONAL D’ASSURANCE MALADIE INVALIDITÉ</dc:title>
  <dc:creator>Blandine Divry</dc:creator>
  <cp:lastModifiedBy>David Constant (RIZIV-INAMI)</cp:lastModifiedBy>
  <cp:revision>2</cp:revision>
  <cp:lastPrinted>2017-03-24T09:47:00Z</cp:lastPrinted>
  <dcterms:created xsi:type="dcterms:W3CDTF">2024-07-22T08:49:00Z</dcterms:created>
  <dcterms:modified xsi:type="dcterms:W3CDTF">2024-07-22T08:49:00Z</dcterms:modified>
</cp:coreProperties>
</file>