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8DE8" w14:textId="7EB35A48" w:rsidR="00300A60" w:rsidRPr="00300A60" w:rsidRDefault="00300A60" w:rsidP="00864248">
      <w:pPr>
        <w:pBdr>
          <w:bottom w:val="single" w:sz="4" w:space="1" w:color="auto"/>
        </w:pBdr>
        <w:jc w:val="both"/>
        <w:rPr>
          <w:lang w:val="en-GB"/>
        </w:rPr>
      </w:pPr>
      <w:r w:rsidRPr="00300A60">
        <w:rPr>
          <w:lang w:val="en-GB"/>
        </w:rPr>
        <w:t>WAIT Indicator 2025</w:t>
      </w:r>
      <w:r>
        <w:rPr>
          <w:lang w:val="en-GB"/>
        </w:rPr>
        <w:tab/>
      </w:r>
      <w:r w:rsidRPr="00300A60">
        <w:rPr>
          <w:lang w:val="en-GB"/>
        </w:rPr>
        <w:br/>
        <w:t>Summary of the analysis by the Pharmaceutical Policy Directorate of NIHDI (situation as of 20/05/2025)</w:t>
      </w:r>
    </w:p>
    <w:p w14:paraId="16A7ECA7" w14:textId="77777777" w:rsidR="00476DED" w:rsidRPr="00300A60" w:rsidRDefault="00476DED" w:rsidP="005D094E">
      <w:pPr>
        <w:jc w:val="both"/>
        <w:rPr>
          <w:lang w:val="en-GB"/>
        </w:rPr>
      </w:pPr>
    </w:p>
    <w:p w14:paraId="432E87D4" w14:textId="77777777" w:rsidR="00476DED" w:rsidRPr="00300A60" w:rsidRDefault="00476DED" w:rsidP="005D094E">
      <w:pPr>
        <w:jc w:val="both"/>
        <w:rPr>
          <w:lang w:val="en-GB"/>
        </w:rPr>
      </w:pPr>
    </w:p>
    <w:p w14:paraId="6B1D9C97" w14:textId="13F0AFEF" w:rsidR="00476DED" w:rsidRPr="00864248" w:rsidRDefault="00300A60" w:rsidP="005D094E">
      <w:pPr>
        <w:pBdr>
          <w:bottom w:val="single" w:sz="4" w:space="1" w:color="auto"/>
        </w:pBdr>
        <w:jc w:val="both"/>
        <w:rPr>
          <w:b/>
          <w:bCs/>
          <w:lang w:val="fr-BE"/>
        </w:rPr>
      </w:pPr>
      <w:r w:rsidRPr="00300A60">
        <w:rPr>
          <w:b/>
          <w:bCs/>
          <w:lang w:val="fr-BE"/>
        </w:rPr>
        <w:t>WAIT Indicator Data – EFPIA/IQVIA</w:t>
      </w:r>
    </w:p>
    <w:p w14:paraId="6A0D3F1E" w14:textId="77777777" w:rsidR="00476DED" w:rsidRPr="00864248" w:rsidRDefault="00476DED" w:rsidP="005D094E">
      <w:pPr>
        <w:jc w:val="both"/>
        <w:rPr>
          <w:lang w:val="fr-BE"/>
        </w:rPr>
      </w:pPr>
    </w:p>
    <w:p w14:paraId="05E178FD" w14:textId="77777777" w:rsidR="00476DED" w:rsidRPr="00864248" w:rsidRDefault="00476DED" w:rsidP="005D094E">
      <w:pPr>
        <w:jc w:val="both"/>
        <w:rPr>
          <w:lang w:val="fr-BE"/>
        </w:rPr>
      </w:pPr>
    </w:p>
    <w:p w14:paraId="192A22A2" w14:textId="28E2BE65" w:rsidR="00476DED" w:rsidRDefault="00476DED" w:rsidP="005D094E">
      <w:pPr>
        <w:jc w:val="both"/>
      </w:pPr>
      <w:r>
        <w:rPr>
          <w:noProof/>
        </w:rPr>
        <w:drawing>
          <wp:inline distT="0" distB="0" distL="0" distR="0" wp14:anchorId="1DAEEDB4" wp14:editId="1417DB54">
            <wp:extent cx="5810250" cy="3231759"/>
            <wp:effectExtent l="0" t="0" r="0" b="6985"/>
            <wp:docPr id="1953794061" name="Picture 1" descr="A blue and white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94061" name="Picture 1" descr="A blue and white information&#10;&#10;AI-generated content may be incorrect."/>
                    <pic:cNvPicPr/>
                  </pic:nvPicPr>
                  <pic:blipFill>
                    <a:blip r:embed="rId8"/>
                    <a:stretch>
                      <a:fillRect/>
                    </a:stretch>
                  </pic:blipFill>
                  <pic:spPr>
                    <a:xfrm>
                      <a:off x="0" y="0"/>
                      <a:ext cx="5810735" cy="3232029"/>
                    </a:xfrm>
                    <a:prstGeom prst="rect">
                      <a:avLst/>
                    </a:prstGeom>
                  </pic:spPr>
                </pic:pic>
              </a:graphicData>
            </a:graphic>
          </wp:inline>
        </w:drawing>
      </w:r>
    </w:p>
    <w:p w14:paraId="163510DD" w14:textId="77777777" w:rsidR="00476DED" w:rsidRDefault="00476DED" w:rsidP="005D094E">
      <w:pPr>
        <w:jc w:val="both"/>
      </w:pPr>
    </w:p>
    <w:p w14:paraId="0CD49913" w14:textId="73F47575" w:rsidR="00476DED" w:rsidRDefault="00476DED" w:rsidP="005D094E">
      <w:pPr>
        <w:jc w:val="both"/>
      </w:pPr>
    </w:p>
    <w:p w14:paraId="53011683" w14:textId="509435E7" w:rsidR="00476DED" w:rsidRDefault="00476DED" w:rsidP="005D094E">
      <w:pPr>
        <w:jc w:val="both"/>
      </w:pPr>
      <w:r>
        <w:rPr>
          <w:noProof/>
        </w:rPr>
        <w:drawing>
          <wp:inline distT="0" distB="0" distL="0" distR="0" wp14:anchorId="5043639C" wp14:editId="7BA48862">
            <wp:extent cx="5760720" cy="3227705"/>
            <wp:effectExtent l="0" t="0" r="0" b="0"/>
            <wp:docPr id="68656613" name="Picture 1" descr="A green and whit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56613" name="Picture 1" descr="A green and white graph&#10;&#10;AI-generated content may be incorrect."/>
                    <pic:cNvPicPr/>
                  </pic:nvPicPr>
                  <pic:blipFill>
                    <a:blip r:embed="rId9"/>
                    <a:stretch>
                      <a:fillRect/>
                    </a:stretch>
                  </pic:blipFill>
                  <pic:spPr>
                    <a:xfrm>
                      <a:off x="0" y="0"/>
                      <a:ext cx="5760720" cy="3227705"/>
                    </a:xfrm>
                    <a:prstGeom prst="rect">
                      <a:avLst/>
                    </a:prstGeom>
                  </pic:spPr>
                </pic:pic>
              </a:graphicData>
            </a:graphic>
          </wp:inline>
        </w:drawing>
      </w:r>
    </w:p>
    <w:p w14:paraId="6BC98AA9" w14:textId="77777777" w:rsidR="00476DED" w:rsidRDefault="00476DED" w:rsidP="005D094E">
      <w:pPr>
        <w:jc w:val="both"/>
      </w:pPr>
    </w:p>
    <w:p w14:paraId="2DD964E4" w14:textId="77777777" w:rsidR="00476DED" w:rsidRDefault="00476DED" w:rsidP="005D094E">
      <w:pPr>
        <w:jc w:val="both"/>
      </w:pPr>
    </w:p>
    <w:p w14:paraId="08003D19" w14:textId="25B0352B" w:rsidR="00476DED" w:rsidRDefault="00476DED" w:rsidP="005D094E">
      <w:pPr>
        <w:jc w:val="both"/>
      </w:pPr>
    </w:p>
    <w:p w14:paraId="0C349963" w14:textId="77777777" w:rsidR="00476DED" w:rsidRDefault="00476DED" w:rsidP="005D094E">
      <w:pPr>
        <w:jc w:val="both"/>
      </w:pPr>
    </w:p>
    <w:p w14:paraId="58ED325F" w14:textId="78311F8C" w:rsidR="00476DED" w:rsidRDefault="00D133B6" w:rsidP="005D094E">
      <w:pPr>
        <w:jc w:val="both"/>
      </w:pPr>
      <w:r>
        <w:rPr>
          <w:noProof/>
        </w:rPr>
        <w:drawing>
          <wp:inline distT="0" distB="0" distL="0" distR="0" wp14:anchorId="0F943E11" wp14:editId="14C3D731">
            <wp:extent cx="5760720" cy="3115945"/>
            <wp:effectExtent l="0" t="0" r="0" b="8255"/>
            <wp:docPr id="1454383095" name="Picture 1" descr="A chart with number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83095" name="Picture 1" descr="A chart with numbers and dots&#10;&#10;AI-generated content may be incorrect."/>
                    <pic:cNvPicPr/>
                  </pic:nvPicPr>
                  <pic:blipFill>
                    <a:blip r:embed="rId10"/>
                    <a:stretch>
                      <a:fillRect/>
                    </a:stretch>
                  </pic:blipFill>
                  <pic:spPr>
                    <a:xfrm>
                      <a:off x="0" y="0"/>
                      <a:ext cx="5760720" cy="3115945"/>
                    </a:xfrm>
                    <a:prstGeom prst="rect">
                      <a:avLst/>
                    </a:prstGeom>
                  </pic:spPr>
                </pic:pic>
              </a:graphicData>
            </a:graphic>
          </wp:inline>
        </w:drawing>
      </w:r>
    </w:p>
    <w:p w14:paraId="4F3848C7" w14:textId="77777777" w:rsidR="008F125F" w:rsidRDefault="008F125F" w:rsidP="008F125F">
      <w:pPr>
        <w:jc w:val="both"/>
        <w:rPr>
          <w:lang w:val="fr-BE"/>
        </w:rPr>
      </w:pPr>
    </w:p>
    <w:p w14:paraId="1C4F771F" w14:textId="00D84DD3" w:rsidR="00167CBB" w:rsidRPr="00BE671C" w:rsidRDefault="00167CBB" w:rsidP="00167CBB">
      <w:pPr>
        <w:jc w:val="both"/>
        <w:rPr>
          <w:lang w:val="en-GB"/>
        </w:rPr>
      </w:pPr>
      <w:r w:rsidRPr="00167CBB">
        <w:rPr>
          <w:lang w:val="en-GB"/>
        </w:rPr>
        <w:t>Main data from the EFPIA/IQVIA WAIT Indicator 2024 for Belgium</w:t>
      </w:r>
    </w:p>
    <w:p w14:paraId="09B44F2B" w14:textId="160960EE" w:rsidR="008F125F" w:rsidRPr="008F125F" w:rsidRDefault="00167CBB" w:rsidP="008F125F">
      <w:pPr>
        <w:numPr>
          <w:ilvl w:val="0"/>
          <w:numId w:val="5"/>
        </w:numPr>
        <w:jc w:val="both"/>
        <w:rPr>
          <w:lang w:val="fr-BE"/>
        </w:rPr>
      </w:pPr>
      <w:r w:rsidRPr="00167CBB">
        <w:rPr>
          <w:lang w:val="en-GB"/>
        </w:rPr>
        <w:t>173 medicines were considered</w:t>
      </w:r>
    </w:p>
    <w:p w14:paraId="654DD2DA" w14:textId="6D45A24D" w:rsidR="008F125F" w:rsidRPr="00B66C0F" w:rsidRDefault="00B66C0F" w:rsidP="008F125F">
      <w:pPr>
        <w:numPr>
          <w:ilvl w:val="0"/>
          <w:numId w:val="5"/>
        </w:numPr>
        <w:jc w:val="both"/>
        <w:rPr>
          <w:lang w:val="en-GB"/>
        </w:rPr>
      </w:pPr>
      <w:r w:rsidRPr="00B66C0F">
        <w:rPr>
          <w:lang w:val="en-GB"/>
        </w:rPr>
        <w:t>In Belgium, 88 of them are ‘available’ (= reimbursed)</w:t>
      </w:r>
      <w:r w:rsidRPr="00B66C0F">
        <w:rPr>
          <w:lang w:val="en-GB"/>
        </w:rPr>
        <w:tab/>
      </w:r>
    </w:p>
    <w:p w14:paraId="43FB7A5E" w14:textId="63EF3D10" w:rsidR="00476DED" w:rsidRPr="00B66C0F" w:rsidRDefault="00B66C0F" w:rsidP="005D094E">
      <w:pPr>
        <w:numPr>
          <w:ilvl w:val="0"/>
          <w:numId w:val="5"/>
        </w:numPr>
        <w:jc w:val="both"/>
        <w:rPr>
          <w:lang w:val="en-GB"/>
        </w:rPr>
      </w:pPr>
      <w:r w:rsidRPr="00B66C0F">
        <w:rPr>
          <w:lang w:val="en-GB"/>
        </w:rPr>
        <w:t>Average time between (centralised) marketing authorisation and reimbursement: 549 days</w:t>
      </w:r>
      <w:r w:rsidR="00476DED" w:rsidRPr="00B66C0F">
        <w:rPr>
          <w:lang w:val="en-GB"/>
        </w:rPr>
        <w:br w:type="page"/>
      </w:r>
    </w:p>
    <w:p w14:paraId="2192394C" w14:textId="6A2BCFCA" w:rsidR="00476DED" w:rsidRPr="00BE671C" w:rsidRDefault="00B66C0F" w:rsidP="005D094E">
      <w:pPr>
        <w:pBdr>
          <w:bottom w:val="single" w:sz="4" w:space="1" w:color="auto"/>
        </w:pBdr>
        <w:jc w:val="both"/>
        <w:rPr>
          <w:b/>
          <w:bCs/>
          <w:lang w:val="en-GB"/>
        </w:rPr>
      </w:pPr>
      <w:r w:rsidRPr="00BE671C">
        <w:rPr>
          <w:b/>
          <w:bCs/>
          <w:lang w:val="en-GB"/>
        </w:rPr>
        <w:lastRenderedPageBreak/>
        <w:t>NIHDI Data – Pharmaceutical Policy Directorate</w:t>
      </w:r>
    </w:p>
    <w:p w14:paraId="01ACE797" w14:textId="77777777" w:rsidR="00476DED" w:rsidRPr="00BE671C" w:rsidRDefault="00476DED" w:rsidP="005D094E">
      <w:pPr>
        <w:jc w:val="both"/>
        <w:rPr>
          <w:lang w:val="en-GB"/>
        </w:rPr>
      </w:pPr>
    </w:p>
    <w:p w14:paraId="7A578A43" w14:textId="193E1131" w:rsidR="008F125F" w:rsidRPr="00AD4C5A" w:rsidRDefault="00AD4C5A" w:rsidP="00AD4C5A">
      <w:pPr>
        <w:rPr>
          <w:b/>
          <w:bCs/>
          <w:lang w:val="en-GB"/>
        </w:rPr>
      </w:pPr>
      <w:r w:rsidRPr="00AD4C5A">
        <w:rPr>
          <w:b/>
          <w:bCs/>
          <w:lang w:val="en-GB"/>
        </w:rPr>
        <w:t>ACCESSIBILITY ANALYSIS</w:t>
      </w:r>
    </w:p>
    <w:p w14:paraId="613D2A33" w14:textId="0B6034A3" w:rsidR="00476DED" w:rsidRPr="00AD4C5A" w:rsidRDefault="00476DED" w:rsidP="005D094E">
      <w:pPr>
        <w:jc w:val="both"/>
        <w:rPr>
          <w:b/>
          <w:bCs/>
          <w:lang w:val="en-GB"/>
        </w:rPr>
      </w:pPr>
    </w:p>
    <w:p w14:paraId="55EFBFB0" w14:textId="77777777" w:rsidR="00AD4C5A" w:rsidRPr="00AD4C5A" w:rsidRDefault="00AD4C5A" w:rsidP="00AD4C5A">
      <w:pPr>
        <w:rPr>
          <w:lang w:val="en-GB"/>
        </w:rPr>
      </w:pPr>
      <w:r w:rsidRPr="00AD4C5A">
        <w:rPr>
          <w:lang w:val="en-GB"/>
        </w:rPr>
        <w:t>Of the 173 medicines included in the WAIT indicator, a reimbursement application was submitted in Belgium for 135 medicines (78%), while for 38 medicines this is (not yet) the case (22%).</w:t>
      </w:r>
    </w:p>
    <w:p w14:paraId="2C80B6D8" w14:textId="77777777" w:rsidR="00AD4C5A" w:rsidRPr="00AD4C5A" w:rsidRDefault="00AD4C5A" w:rsidP="008F125F">
      <w:pPr>
        <w:rPr>
          <w:lang w:val="en-GB"/>
        </w:rPr>
      </w:pPr>
    </w:p>
    <w:p w14:paraId="7F0A2398" w14:textId="77777777" w:rsidR="00AD4C5A" w:rsidRPr="00AD4C5A" w:rsidRDefault="00AD4C5A" w:rsidP="00AD4C5A">
      <w:pPr>
        <w:rPr>
          <w:lang w:val="en-GB"/>
        </w:rPr>
      </w:pPr>
      <w:r w:rsidRPr="00AD4C5A">
        <w:rPr>
          <w:lang w:val="en-GB"/>
        </w:rPr>
        <w:t>Among the 135 medicines for which an application was submitted:</w:t>
      </w:r>
    </w:p>
    <w:p w14:paraId="43047E1F" w14:textId="77777777" w:rsidR="00AD4C5A" w:rsidRPr="00AD4C5A" w:rsidRDefault="00AD4C5A" w:rsidP="00AD4C5A">
      <w:pPr>
        <w:numPr>
          <w:ilvl w:val="0"/>
          <w:numId w:val="11"/>
        </w:numPr>
        <w:rPr>
          <w:lang w:val="en-GB"/>
        </w:rPr>
      </w:pPr>
      <w:r w:rsidRPr="00AD4C5A">
        <w:rPr>
          <w:lang w:val="en-GB"/>
        </w:rPr>
        <w:t>28 medicines (21%) were submitted in class 2 (no added value – at the request of the company),</w:t>
      </w:r>
    </w:p>
    <w:p w14:paraId="1E674780" w14:textId="77777777" w:rsidR="00AD4C5A" w:rsidRPr="00AD4C5A" w:rsidRDefault="00AD4C5A" w:rsidP="00AD4C5A">
      <w:pPr>
        <w:numPr>
          <w:ilvl w:val="0"/>
          <w:numId w:val="11"/>
        </w:numPr>
        <w:rPr>
          <w:lang w:val="en-GB"/>
        </w:rPr>
      </w:pPr>
      <w:r w:rsidRPr="00AD4C5A">
        <w:rPr>
          <w:lang w:val="en-GB"/>
        </w:rPr>
        <w:t>58 medicines (43%) in class 1,</w:t>
      </w:r>
    </w:p>
    <w:p w14:paraId="7B2EC3FA" w14:textId="77777777" w:rsidR="00AD4C5A" w:rsidRPr="00AD4C5A" w:rsidRDefault="00AD4C5A" w:rsidP="00AD4C5A">
      <w:pPr>
        <w:numPr>
          <w:ilvl w:val="0"/>
          <w:numId w:val="11"/>
        </w:numPr>
        <w:rPr>
          <w:lang w:val="en-GB"/>
        </w:rPr>
      </w:pPr>
      <w:r w:rsidRPr="00AD4C5A">
        <w:rPr>
          <w:lang w:val="en-GB"/>
        </w:rPr>
        <w:t>48 medicines (36%) in the orphan class,</w:t>
      </w:r>
    </w:p>
    <w:p w14:paraId="4C213CCA" w14:textId="77777777" w:rsidR="00AD4C5A" w:rsidRDefault="00AD4C5A" w:rsidP="00AD4C5A">
      <w:pPr>
        <w:numPr>
          <w:ilvl w:val="0"/>
          <w:numId w:val="11"/>
        </w:numPr>
        <w:rPr>
          <w:lang w:val="en-GB"/>
        </w:rPr>
      </w:pPr>
      <w:r w:rsidRPr="00AD4C5A">
        <w:rPr>
          <w:lang w:val="en-GB"/>
        </w:rPr>
        <w:t>and 1 medicine (1%) in the radiopharmaceutical class.</w:t>
      </w:r>
    </w:p>
    <w:p w14:paraId="2F7DC751" w14:textId="77777777" w:rsidR="00AD4C5A" w:rsidRPr="00AD4C5A" w:rsidRDefault="00AD4C5A" w:rsidP="00AD4C5A">
      <w:pPr>
        <w:ind w:left="720"/>
        <w:rPr>
          <w:lang w:val="en-GB"/>
        </w:rPr>
      </w:pPr>
    </w:p>
    <w:p w14:paraId="3225EBAC" w14:textId="77777777" w:rsidR="00AD4C5A" w:rsidRPr="00AD4C5A" w:rsidRDefault="00AD4C5A" w:rsidP="00AD4C5A">
      <w:pPr>
        <w:rPr>
          <w:lang w:val="en-GB"/>
        </w:rPr>
      </w:pPr>
      <w:r w:rsidRPr="00AD4C5A">
        <w:rPr>
          <w:lang w:val="en-GB"/>
        </w:rPr>
        <w:t>Among these 135 medicines:</w:t>
      </w:r>
    </w:p>
    <w:p w14:paraId="73CEFA9A" w14:textId="77777777" w:rsidR="00AD4C5A" w:rsidRPr="00AD4C5A" w:rsidRDefault="00AD4C5A" w:rsidP="00AD4C5A">
      <w:pPr>
        <w:numPr>
          <w:ilvl w:val="0"/>
          <w:numId w:val="12"/>
        </w:numPr>
        <w:rPr>
          <w:lang w:val="en-GB"/>
        </w:rPr>
      </w:pPr>
      <w:r w:rsidRPr="00AD4C5A">
        <w:rPr>
          <w:lang w:val="en-GB"/>
        </w:rPr>
        <w:t>92 are already reimbursed (68%),</w:t>
      </w:r>
    </w:p>
    <w:p w14:paraId="6670CCF8" w14:textId="77777777" w:rsidR="00AD4C5A" w:rsidRPr="00AD4C5A" w:rsidRDefault="00AD4C5A" w:rsidP="00AD4C5A">
      <w:pPr>
        <w:numPr>
          <w:ilvl w:val="0"/>
          <w:numId w:val="12"/>
        </w:numPr>
        <w:rPr>
          <w:lang w:val="en-GB"/>
        </w:rPr>
      </w:pPr>
      <w:r w:rsidRPr="00AD4C5A">
        <w:rPr>
          <w:lang w:val="en-GB"/>
        </w:rPr>
        <w:t>2 dossiers (1%) were reimbursed in the past but were withdrawn from reimbursement at the company’s request,</w:t>
      </w:r>
    </w:p>
    <w:p w14:paraId="10743D02" w14:textId="77777777" w:rsidR="00AD4C5A" w:rsidRPr="00AD4C5A" w:rsidRDefault="00AD4C5A" w:rsidP="00AD4C5A">
      <w:pPr>
        <w:numPr>
          <w:ilvl w:val="0"/>
          <w:numId w:val="12"/>
        </w:numPr>
        <w:rPr>
          <w:lang w:val="en-GB"/>
        </w:rPr>
      </w:pPr>
      <w:r w:rsidRPr="00AD4C5A">
        <w:rPr>
          <w:lang w:val="en-GB"/>
        </w:rPr>
        <w:t>18 dossiers (13%) are still under evaluation,</w:t>
      </w:r>
    </w:p>
    <w:p w14:paraId="56553351" w14:textId="77777777" w:rsidR="00AD4C5A" w:rsidRPr="00AD4C5A" w:rsidRDefault="00AD4C5A" w:rsidP="00AD4C5A">
      <w:pPr>
        <w:numPr>
          <w:ilvl w:val="0"/>
          <w:numId w:val="12"/>
        </w:numPr>
        <w:rPr>
          <w:lang w:val="en-GB"/>
        </w:rPr>
      </w:pPr>
      <w:r w:rsidRPr="00AD4C5A">
        <w:rPr>
          <w:lang w:val="en-GB"/>
        </w:rPr>
        <w:t xml:space="preserve">23 dossiers have been closed (and have not [yet] been resubmitted), including: </w:t>
      </w:r>
    </w:p>
    <w:p w14:paraId="1D9E901B" w14:textId="77777777" w:rsidR="00AD4C5A" w:rsidRPr="00AD4C5A" w:rsidRDefault="00AD4C5A" w:rsidP="00AD4C5A">
      <w:pPr>
        <w:numPr>
          <w:ilvl w:val="1"/>
          <w:numId w:val="12"/>
        </w:numPr>
        <w:rPr>
          <w:lang w:val="en-GB"/>
        </w:rPr>
      </w:pPr>
      <w:r w:rsidRPr="00AD4C5A">
        <w:rPr>
          <w:lang w:val="en-GB"/>
        </w:rPr>
        <w:t>10 dossiers (7%) with a negative decision,</w:t>
      </w:r>
    </w:p>
    <w:p w14:paraId="670B21F0" w14:textId="77777777" w:rsidR="00AD4C5A" w:rsidRPr="00AD4C5A" w:rsidRDefault="00AD4C5A" w:rsidP="00AD4C5A">
      <w:pPr>
        <w:numPr>
          <w:ilvl w:val="1"/>
          <w:numId w:val="12"/>
        </w:numPr>
        <w:rPr>
          <w:lang w:val="en-GB"/>
        </w:rPr>
      </w:pPr>
      <w:r w:rsidRPr="00AD4C5A">
        <w:rPr>
          <w:lang w:val="en-GB"/>
        </w:rPr>
        <w:t>2 dossiers (1%) due to absence of submission or lack of response after suspension,</w:t>
      </w:r>
    </w:p>
    <w:p w14:paraId="3121F4FE" w14:textId="77777777" w:rsidR="00AD4C5A" w:rsidRPr="00AD4C5A" w:rsidRDefault="00AD4C5A" w:rsidP="00AD4C5A">
      <w:pPr>
        <w:numPr>
          <w:ilvl w:val="1"/>
          <w:numId w:val="12"/>
        </w:numPr>
        <w:rPr>
          <w:lang w:val="en-GB"/>
        </w:rPr>
      </w:pPr>
      <w:r w:rsidRPr="00AD4C5A">
        <w:rPr>
          <w:lang w:val="en-GB"/>
        </w:rPr>
        <w:t>11 dossiers (8%) following voluntary withdrawal by the company.</w:t>
      </w:r>
    </w:p>
    <w:p w14:paraId="5A6904F2" w14:textId="77777777" w:rsidR="00AD4C5A" w:rsidRPr="00AD4C5A" w:rsidRDefault="00AD4C5A" w:rsidP="00AD4C5A">
      <w:pPr>
        <w:rPr>
          <w:lang w:val="en-GB"/>
        </w:rPr>
      </w:pPr>
    </w:p>
    <w:tbl>
      <w:tblPr>
        <w:tblStyle w:val="TableGrid"/>
        <w:tblW w:w="0" w:type="auto"/>
        <w:tblLayout w:type="fixed"/>
        <w:tblLook w:val="04A0" w:firstRow="1" w:lastRow="0" w:firstColumn="1" w:lastColumn="0" w:noHBand="0" w:noVBand="1"/>
      </w:tblPr>
      <w:tblGrid>
        <w:gridCol w:w="1124"/>
        <w:gridCol w:w="1125"/>
        <w:gridCol w:w="1125"/>
        <w:gridCol w:w="1125"/>
        <w:gridCol w:w="1125"/>
        <w:gridCol w:w="1125"/>
        <w:gridCol w:w="1125"/>
        <w:gridCol w:w="1125"/>
      </w:tblGrid>
      <w:tr w:rsidR="00316E0A" w:rsidRPr="00882FA6" w14:paraId="3FC60D74" w14:textId="77777777" w:rsidTr="005C2DD3">
        <w:trPr>
          <w:trHeight w:val="420"/>
        </w:trPr>
        <w:tc>
          <w:tcPr>
            <w:tcW w:w="1124" w:type="dxa"/>
            <w:noWrap/>
            <w:hideMark/>
          </w:tcPr>
          <w:p w14:paraId="69DD1C1A" w14:textId="77777777" w:rsidR="00316E0A" w:rsidRPr="00AD4C5A" w:rsidRDefault="00316E0A" w:rsidP="005C2DD3">
            <w:pPr>
              <w:rPr>
                <w:b/>
                <w:bCs/>
                <w:sz w:val="16"/>
                <w:szCs w:val="16"/>
                <w:lang w:val="en-GB"/>
              </w:rPr>
            </w:pPr>
          </w:p>
        </w:tc>
        <w:tc>
          <w:tcPr>
            <w:tcW w:w="1125" w:type="dxa"/>
            <w:noWrap/>
            <w:hideMark/>
          </w:tcPr>
          <w:p w14:paraId="628C0A27" w14:textId="77777777" w:rsidR="00316E0A" w:rsidRPr="00882FA6" w:rsidRDefault="00316E0A" w:rsidP="005C2DD3">
            <w:pPr>
              <w:rPr>
                <w:b/>
                <w:bCs/>
                <w:sz w:val="16"/>
                <w:szCs w:val="16"/>
              </w:rPr>
            </w:pPr>
            <w:r w:rsidRPr="00882FA6">
              <w:rPr>
                <w:b/>
                <w:bCs/>
                <w:sz w:val="16"/>
                <w:szCs w:val="16"/>
              </w:rPr>
              <w:t>Closed</w:t>
            </w:r>
          </w:p>
        </w:tc>
        <w:tc>
          <w:tcPr>
            <w:tcW w:w="1125" w:type="dxa"/>
            <w:noWrap/>
            <w:hideMark/>
          </w:tcPr>
          <w:p w14:paraId="316E6BE9" w14:textId="77777777" w:rsidR="00316E0A" w:rsidRPr="00882FA6" w:rsidRDefault="00316E0A" w:rsidP="005C2DD3">
            <w:pPr>
              <w:rPr>
                <w:b/>
                <w:bCs/>
                <w:sz w:val="16"/>
                <w:szCs w:val="16"/>
              </w:rPr>
            </w:pPr>
            <w:proofErr w:type="spellStart"/>
            <w:r w:rsidRPr="00882FA6">
              <w:rPr>
                <w:b/>
                <w:bCs/>
                <w:sz w:val="16"/>
                <w:szCs w:val="16"/>
              </w:rPr>
              <w:t>Currently</w:t>
            </w:r>
            <w:proofErr w:type="spellEnd"/>
            <w:r w:rsidRPr="00882FA6">
              <w:rPr>
                <w:b/>
                <w:bCs/>
                <w:sz w:val="16"/>
                <w:szCs w:val="16"/>
              </w:rPr>
              <w:t xml:space="preserve"> </w:t>
            </w:r>
            <w:proofErr w:type="spellStart"/>
            <w:r w:rsidRPr="00882FA6">
              <w:rPr>
                <w:b/>
                <w:bCs/>
                <w:sz w:val="16"/>
                <w:szCs w:val="16"/>
              </w:rPr>
              <w:t>Reimbursed</w:t>
            </w:r>
            <w:proofErr w:type="spellEnd"/>
          </w:p>
        </w:tc>
        <w:tc>
          <w:tcPr>
            <w:tcW w:w="1125" w:type="dxa"/>
            <w:noWrap/>
            <w:hideMark/>
          </w:tcPr>
          <w:p w14:paraId="742E9924" w14:textId="77777777" w:rsidR="00316E0A" w:rsidRPr="00882FA6" w:rsidRDefault="00316E0A" w:rsidP="005C2DD3">
            <w:pPr>
              <w:rPr>
                <w:b/>
                <w:bCs/>
                <w:sz w:val="16"/>
                <w:szCs w:val="16"/>
              </w:rPr>
            </w:pPr>
            <w:r w:rsidRPr="00882FA6">
              <w:rPr>
                <w:b/>
                <w:bCs/>
                <w:sz w:val="16"/>
                <w:szCs w:val="16"/>
              </w:rPr>
              <w:t xml:space="preserve">Has been </w:t>
            </w:r>
            <w:proofErr w:type="spellStart"/>
            <w:r w:rsidRPr="00882FA6">
              <w:rPr>
                <w:b/>
                <w:bCs/>
                <w:sz w:val="16"/>
                <w:szCs w:val="16"/>
              </w:rPr>
              <w:t>reimbursed</w:t>
            </w:r>
            <w:proofErr w:type="spellEnd"/>
          </w:p>
        </w:tc>
        <w:tc>
          <w:tcPr>
            <w:tcW w:w="1125" w:type="dxa"/>
            <w:noWrap/>
            <w:hideMark/>
          </w:tcPr>
          <w:p w14:paraId="3AB5EF91" w14:textId="77777777" w:rsidR="00316E0A" w:rsidRPr="00882FA6" w:rsidRDefault="00316E0A" w:rsidP="005C2DD3">
            <w:pPr>
              <w:rPr>
                <w:b/>
                <w:bCs/>
                <w:sz w:val="16"/>
                <w:szCs w:val="16"/>
              </w:rPr>
            </w:pPr>
            <w:proofErr w:type="spellStart"/>
            <w:r w:rsidRPr="00882FA6">
              <w:rPr>
                <w:b/>
                <w:bCs/>
                <w:sz w:val="16"/>
                <w:szCs w:val="16"/>
              </w:rPr>
              <w:t>Not</w:t>
            </w:r>
            <w:proofErr w:type="spellEnd"/>
            <w:r w:rsidRPr="00882FA6">
              <w:rPr>
                <w:b/>
                <w:bCs/>
                <w:sz w:val="16"/>
                <w:szCs w:val="16"/>
              </w:rPr>
              <w:t xml:space="preserve"> </w:t>
            </w:r>
            <w:proofErr w:type="spellStart"/>
            <w:r w:rsidRPr="00882FA6">
              <w:rPr>
                <w:b/>
                <w:bCs/>
                <w:sz w:val="16"/>
                <w:szCs w:val="16"/>
              </w:rPr>
              <w:t>Reimbursed</w:t>
            </w:r>
            <w:proofErr w:type="spellEnd"/>
          </w:p>
        </w:tc>
        <w:tc>
          <w:tcPr>
            <w:tcW w:w="1125" w:type="dxa"/>
            <w:noWrap/>
            <w:hideMark/>
          </w:tcPr>
          <w:p w14:paraId="70B46052" w14:textId="77777777" w:rsidR="00316E0A" w:rsidRPr="00882FA6" w:rsidRDefault="00316E0A" w:rsidP="005C2DD3">
            <w:pPr>
              <w:rPr>
                <w:b/>
                <w:bCs/>
                <w:sz w:val="16"/>
                <w:szCs w:val="16"/>
              </w:rPr>
            </w:pPr>
            <w:proofErr w:type="spellStart"/>
            <w:r w:rsidRPr="00882FA6">
              <w:rPr>
                <w:b/>
                <w:bCs/>
                <w:sz w:val="16"/>
                <w:szCs w:val="16"/>
              </w:rPr>
              <w:t>Ongoing</w:t>
            </w:r>
            <w:proofErr w:type="spellEnd"/>
          </w:p>
        </w:tc>
        <w:tc>
          <w:tcPr>
            <w:tcW w:w="1125" w:type="dxa"/>
            <w:noWrap/>
            <w:hideMark/>
          </w:tcPr>
          <w:p w14:paraId="52E0110A" w14:textId="77777777" w:rsidR="00316E0A" w:rsidRPr="00882FA6" w:rsidRDefault="00316E0A" w:rsidP="005C2DD3">
            <w:pPr>
              <w:rPr>
                <w:b/>
                <w:bCs/>
                <w:sz w:val="16"/>
                <w:szCs w:val="16"/>
              </w:rPr>
            </w:pPr>
            <w:proofErr w:type="spellStart"/>
            <w:r w:rsidRPr="00882FA6">
              <w:rPr>
                <w:b/>
                <w:bCs/>
                <w:sz w:val="16"/>
                <w:szCs w:val="16"/>
              </w:rPr>
              <w:t>Withdrawn</w:t>
            </w:r>
            <w:proofErr w:type="spellEnd"/>
          </w:p>
        </w:tc>
        <w:tc>
          <w:tcPr>
            <w:tcW w:w="1125" w:type="dxa"/>
            <w:noWrap/>
            <w:hideMark/>
          </w:tcPr>
          <w:p w14:paraId="78FA9228" w14:textId="77777777" w:rsidR="00316E0A" w:rsidRPr="00882FA6" w:rsidRDefault="00316E0A" w:rsidP="005C2DD3">
            <w:pPr>
              <w:rPr>
                <w:b/>
                <w:bCs/>
                <w:sz w:val="16"/>
                <w:szCs w:val="16"/>
              </w:rPr>
            </w:pPr>
            <w:r w:rsidRPr="00882FA6">
              <w:rPr>
                <w:b/>
                <w:bCs/>
                <w:sz w:val="16"/>
                <w:szCs w:val="16"/>
              </w:rPr>
              <w:t>Grand Total</w:t>
            </w:r>
          </w:p>
        </w:tc>
      </w:tr>
      <w:tr w:rsidR="00316E0A" w:rsidRPr="00882FA6" w14:paraId="02EF502B" w14:textId="77777777" w:rsidTr="005C2DD3">
        <w:trPr>
          <w:trHeight w:val="420"/>
        </w:trPr>
        <w:tc>
          <w:tcPr>
            <w:tcW w:w="1124" w:type="dxa"/>
            <w:noWrap/>
            <w:hideMark/>
          </w:tcPr>
          <w:p w14:paraId="2BFEFDF9" w14:textId="77777777" w:rsidR="00316E0A" w:rsidRPr="00882FA6" w:rsidRDefault="00316E0A" w:rsidP="005C2DD3">
            <w:pPr>
              <w:jc w:val="right"/>
              <w:rPr>
                <w:sz w:val="16"/>
                <w:szCs w:val="16"/>
              </w:rPr>
            </w:pPr>
            <w:r w:rsidRPr="00882FA6">
              <w:rPr>
                <w:sz w:val="16"/>
                <w:szCs w:val="16"/>
              </w:rPr>
              <w:t>Class 1</w:t>
            </w:r>
          </w:p>
        </w:tc>
        <w:tc>
          <w:tcPr>
            <w:tcW w:w="1125" w:type="dxa"/>
            <w:noWrap/>
            <w:hideMark/>
          </w:tcPr>
          <w:p w14:paraId="70620355" w14:textId="77777777" w:rsidR="00316E0A" w:rsidRPr="00882FA6" w:rsidRDefault="00316E0A" w:rsidP="005C2DD3">
            <w:pPr>
              <w:jc w:val="right"/>
              <w:rPr>
                <w:sz w:val="16"/>
                <w:szCs w:val="16"/>
              </w:rPr>
            </w:pPr>
            <w:r w:rsidRPr="00882FA6">
              <w:rPr>
                <w:sz w:val="16"/>
                <w:szCs w:val="16"/>
              </w:rPr>
              <w:t>1</w:t>
            </w:r>
          </w:p>
        </w:tc>
        <w:tc>
          <w:tcPr>
            <w:tcW w:w="1125" w:type="dxa"/>
            <w:noWrap/>
            <w:hideMark/>
          </w:tcPr>
          <w:p w14:paraId="7B26D7D3" w14:textId="77777777" w:rsidR="00316E0A" w:rsidRPr="00882FA6" w:rsidRDefault="00316E0A" w:rsidP="005C2DD3">
            <w:pPr>
              <w:jc w:val="right"/>
              <w:rPr>
                <w:sz w:val="16"/>
                <w:szCs w:val="16"/>
              </w:rPr>
            </w:pPr>
            <w:r w:rsidRPr="00882FA6">
              <w:rPr>
                <w:sz w:val="16"/>
                <w:szCs w:val="16"/>
              </w:rPr>
              <w:t>36</w:t>
            </w:r>
          </w:p>
        </w:tc>
        <w:tc>
          <w:tcPr>
            <w:tcW w:w="1125" w:type="dxa"/>
            <w:noWrap/>
            <w:hideMark/>
          </w:tcPr>
          <w:p w14:paraId="1C32B4E9" w14:textId="77777777" w:rsidR="00316E0A" w:rsidRPr="00882FA6" w:rsidRDefault="00316E0A" w:rsidP="005C2DD3">
            <w:pPr>
              <w:jc w:val="right"/>
              <w:rPr>
                <w:sz w:val="16"/>
                <w:szCs w:val="16"/>
              </w:rPr>
            </w:pPr>
            <w:r w:rsidRPr="00882FA6">
              <w:rPr>
                <w:sz w:val="16"/>
                <w:szCs w:val="16"/>
              </w:rPr>
              <w:t>1</w:t>
            </w:r>
          </w:p>
        </w:tc>
        <w:tc>
          <w:tcPr>
            <w:tcW w:w="1125" w:type="dxa"/>
            <w:noWrap/>
            <w:hideMark/>
          </w:tcPr>
          <w:p w14:paraId="605320D7" w14:textId="77777777" w:rsidR="00316E0A" w:rsidRPr="00882FA6" w:rsidRDefault="00316E0A" w:rsidP="005C2DD3">
            <w:pPr>
              <w:jc w:val="right"/>
              <w:rPr>
                <w:sz w:val="16"/>
                <w:szCs w:val="16"/>
              </w:rPr>
            </w:pPr>
            <w:r w:rsidRPr="00882FA6">
              <w:rPr>
                <w:sz w:val="16"/>
                <w:szCs w:val="16"/>
              </w:rPr>
              <w:t>7</w:t>
            </w:r>
          </w:p>
        </w:tc>
        <w:tc>
          <w:tcPr>
            <w:tcW w:w="1125" w:type="dxa"/>
            <w:noWrap/>
            <w:hideMark/>
          </w:tcPr>
          <w:p w14:paraId="701FBBE8" w14:textId="77777777" w:rsidR="00316E0A" w:rsidRPr="00882FA6" w:rsidRDefault="00316E0A" w:rsidP="005C2DD3">
            <w:pPr>
              <w:jc w:val="right"/>
              <w:rPr>
                <w:sz w:val="16"/>
                <w:szCs w:val="16"/>
              </w:rPr>
            </w:pPr>
            <w:r w:rsidRPr="00882FA6">
              <w:rPr>
                <w:sz w:val="16"/>
                <w:szCs w:val="16"/>
              </w:rPr>
              <w:t>6</w:t>
            </w:r>
          </w:p>
        </w:tc>
        <w:tc>
          <w:tcPr>
            <w:tcW w:w="1125" w:type="dxa"/>
            <w:noWrap/>
            <w:hideMark/>
          </w:tcPr>
          <w:p w14:paraId="0C78B164" w14:textId="77777777" w:rsidR="00316E0A" w:rsidRPr="00882FA6" w:rsidRDefault="00316E0A" w:rsidP="005C2DD3">
            <w:pPr>
              <w:jc w:val="right"/>
              <w:rPr>
                <w:sz w:val="16"/>
                <w:szCs w:val="16"/>
              </w:rPr>
            </w:pPr>
            <w:r w:rsidRPr="00882FA6">
              <w:rPr>
                <w:sz w:val="16"/>
                <w:szCs w:val="16"/>
              </w:rPr>
              <w:t>7</w:t>
            </w:r>
          </w:p>
        </w:tc>
        <w:tc>
          <w:tcPr>
            <w:tcW w:w="1125" w:type="dxa"/>
            <w:noWrap/>
            <w:hideMark/>
          </w:tcPr>
          <w:p w14:paraId="0D39F16B" w14:textId="77777777" w:rsidR="00316E0A" w:rsidRPr="00882FA6" w:rsidRDefault="00316E0A" w:rsidP="005C2DD3">
            <w:pPr>
              <w:jc w:val="right"/>
              <w:rPr>
                <w:b/>
                <w:bCs/>
                <w:sz w:val="16"/>
                <w:szCs w:val="16"/>
              </w:rPr>
            </w:pPr>
            <w:r w:rsidRPr="00882FA6">
              <w:rPr>
                <w:b/>
                <w:bCs/>
                <w:sz w:val="16"/>
                <w:szCs w:val="16"/>
              </w:rPr>
              <w:t>58</w:t>
            </w:r>
          </w:p>
        </w:tc>
      </w:tr>
      <w:tr w:rsidR="00316E0A" w:rsidRPr="00882FA6" w14:paraId="14E5A1A1" w14:textId="77777777" w:rsidTr="005C2DD3">
        <w:trPr>
          <w:trHeight w:val="420"/>
        </w:trPr>
        <w:tc>
          <w:tcPr>
            <w:tcW w:w="1124" w:type="dxa"/>
            <w:noWrap/>
            <w:hideMark/>
          </w:tcPr>
          <w:p w14:paraId="31E3413D" w14:textId="77777777" w:rsidR="00316E0A" w:rsidRPr="00882FA6" w:rsidRDefault="00316E0A" w:rsidP="005C2DD3">
            <w:pPr>
              <w:jc w:val="right"/>
              <w:rPr>
                <w:sz w:val="16"/>
                <w:szCs w:val="16"/>
              </w:rPr>
            </w:pPr>
            <w:r w:rsidRPr="00882FA6">
              <w:rPr>
                <w:sz w:val="16"/>
                <w:szCs w:val="16"/>
              </w:rPr>
              <w:t>Class 2</w:t>
            </w:r>
          </w:p>
        </w:tc>
        <w:tc>
          <w:tcPr>
            <w:tcW w:w="1125" w:type="dxa"/>
            <w:noWrap/>
            <w:hideMark/>
          </w:tcPr>
          <w:p w14:paraId="764A7CCD" w14:textId="77777777" w:rsidR="00316E0A" w:rsidRPr="00882FA6" w:rsidRDefault="00316E0A" w:rsidP="005C2DD3">
            <w:pPr>
              <w:jc w:val="right"/>
              <w:rPr>
                <w:sz w:val="16"/>
                <w:szCs w:val="16"/>
              </w:rPr>
            </w:pPr>
            <w:r w:rsidRPr="00882FA6">
              <w:rPr>
                <w:sz w:val="16"/>
                <w:szCs w:val="16"/>
              </w:rPr>
              <w:t>0</w:t>
            </w:r>
          </w:p>
        </w:tc>
        <w:tc>
          <w:tcPr>
            <w:tcW w:w="1125" w:type="dxa"/>
            <w:noWrap/>
            <w:hideMark/>
          </w:tcPr>
          <w:p w14:paraId="22A2CBCC" w14:textId="77777777" w:rsidR="00316E0A" w:rsidRPr="00882FA6" w:rsidRDefault="00316E0A" w:rsidP="005C2DD3">
            <w:pPr>
              <w:jc w:val="right"/>
              <w:rPr>
                <w:sz w:val="16"/>
                <w:szCs w:val="16"/>
              </w:rPr>
            </w:pPr>
            <w:r w:rsidRPr="00882FA6">
              <w:rPr>
                <w:sz w:val="16"/>
                <w:szCs w:val="16"/>
              </w:rPr>
              <w:t>22</w:t>
            </w:r>
          </w:p>
        </w:tc>
        <w:tc>
          <w:tcPr>
            <w:tcW w:w="1125" w:type="dxa"/>
            <w:noWrap/>
            <w:hideMark/>
          </w:tcPr>
          <w:p w14:paraId="5A710662" w14:textId="77777777" w:rsidR="00316E0A" w:rsidRPr="00882FA6" w:rsidRDefault="00316E0A" w:rsidP="005C2DD3">
            <w:pPr>
              <w:jc w:val="right"/>
              <w:rPr>
                <w:sz w:val="16"/>
                <w:szCs w:val="16"/>
              </w:rPr>
            </w:pPr>
            <w:r w:rsidRPr="00882FA6">
              <w:rPr>
                <w:sz w:val="16"/>
                <w:szCs w:val="16"/>
              </w:rPr>
              <w:t>1</w:t>
            </w:r>
          </w:p>
        </w:tc>
        <w:tc>
          <w:tcPr>
            <w:tcW w:w="1125" w:type="dxa"/>
            <w:noWrap/>
            <w:hideMark/>
          </w:tcPr>
          <w:p w14:paraId="3D0EBD10" w14:textId="77777777" w:rsidR="00316E0A" w:rsidRPr="00882FA6" w:rsidRDefault="00316E0A" w:rsidP="005C2DD3">
            <w:pPr>
              <w:jc w:val="right"/>
              <w:rPr>
                <w:sz w:val="16"/>
                <w:szCs w:val="16"/>
              </w:rPr>
            </w:pPr>
            <w:r w:rsidRPr="00882FA6">
              <w:rPr>
                <w:sz w:val="16"/>
                <w:szCs w:val="16"/>
              </w:rPr>
              <w:t>1</w:t>
            </w:r>
          </w:p>
        </w:tc>
        <w:tc>
          <w:tcPr>
            <w:tcW w:w="1125" w:type="dxa"/>
            <w:noWrap/>
            <w:hideMark/>
          </w:tcPr>
          <w:p w14:paraId="7977D205" w14:textId="77777777" w:rsidR="00316E0A" w:rsidRPr="00882FA6" w:rsidRDefault="00316E0A" w:rsidP="005C2DD3">
            <w:pPr>
              <w:jc w:val="right"/>
              <w:rPr>
                <w:sz w:val="16"/>
                <w:szCs w:val="16"/>
              </w:rPr>
            </w:pPr>
            <w:r w:rsidRPr="00882FA6">
              <w:rPr>
                <w:sz w:val="16"/>
                <w:szCs w:val="16"/>
              </w:rPr>
              <w:t>4</w:t>
            </w:r>
          </w:p>
        </w:tc>
        <w:tc>
          <w:tcPr>
            <w:tcW w:w="1125" w:type="dxa"/>
            <w:noWrap/>
            <w:hideMark/>
          </w:tcPr>
          <w:p w14:paraId="04C10766" w14:textId="77777777" w:rsidR="00316E0A" w:rsidRPr="00882FA6" w:rsidRDefault="00316E0A" w:rsidP="005C2DD3">
            <w:pPr>
              <w:jc w:val="right"/>
              <w:rPr>
                <w:sz w:val="16"/>
                <w:szCs w:val="16"/>
              </w:rPr>
            </w:pPr>
            <w:r w:rsidRPr="00882FA6">
              <w:rPr>
                <w:sz w:val="16"/>
                <w:szCs w:val="16"/>
              </w:rPr>
              <w:t>0</w:t>
            </w:r>
          </w:p>
        </w:tc>
        <w:tc>
          <w:tcPr>
            <w:tcW w:w="1125" w:type="dxa"/>
            <w:noWrap/>
            <w:hideMark/>
          </w:tcPr>
          <w:p w14:paraId="7C459803" w14:textId="77777777" w:rsidR="00316E0A" w:rsidRPr="00882FA6" w:rsidRDefault="00316E0A" w:rsidP="005C2DD3">
            <w:pPr>
              <w:jc w:val="right"/>
              <w:rPr>
                <w:b/>
                <w:bCs/>
                <w:sz w:val="16"/>
                <w:szCs w:val="16"/>
              </w:rPr>
            </w:pPr>
            <w:r w:rsidRPr="00882FA6">
              <w:rPr>
                <w:b/>
                <w:bCs/>
                <w:sz w:val="16"/>
                <w:szCs w:val="16"/>
              </w:rPr>
              <w:t>28</w:t>
            </w:r>
          </w:p>
        </w:tc>
      </w:tr>
      <w:tr w:rsidR="00316E0A" w:rsidRPr="00882FA6" w14:paraId="3E34A79F" w14:textId="77777777" w:rsidTr="005C2DD3">
        <w:trPr>
          <w:trHeight w:val="420"/>
        </w:trPr>
        <w:tc>
          <w:tcPr>
            <w:tcW w:w="1124" w:type="dxa"/>
            <w:noWrap/>
            <w:hideMark/>
          </w:tcPr>
          <w:p w14:paraId="48765EC0" w14:textId="77777777" w:rsidR="00316E0A" w:rsidRPr="00882FA6" w:rsidRDefault="00316E0A" w:rsidP="005C2DD3">
            <w:pPr>
              <w:jc w:val="right"/>
              <w:rPr>
                <w:sz w:val="16"/>
                <w:szCs w:val="16"/>
              </w:rPr>
            </w:pPr>
            <w:proofErr w:type="spellStart"/>
            <w:r w:rsidRPr="00882FA6">
              <w:rPr>
                <w:sz w:val="16"/>
                <w:szCs w:val="16"/>
              </w:rPr>
              <w:t>Orphan</w:t>
            </w:r>
            <w:proofErr w:type="spellEnd"/>
          </w:p>
        </w:tc>
        <w:tc>
          <w:tcPr>
            <w:tcW w:w="1125" w:type="dxa"/>
            <w:noWrap/>
            <w:hideMark/>
          </w:tcPr>
          <w:p w14:paraId="001DCD9C" w14:textId="77777777" w:rsidR="00316E0A" w:rsidRPr="00882FA6" w:rsidRDefault="00316E0A" w:rsidP="005C2DD3">
            <w:pPr>
              <w:jc w:val="right"/>
              <w:rPr>
                <w:sz w:val="16"/>
                <w:szCs w:val="16"/>
              </w:rPr>
            </w:pPr>
            <w:r w:rsidRPr="00882FA6">
              <w:rPr>
                <w:sz w:val="16"/>
                <w:szCs w:val="16"/>
              </w:rPr>
              <w:t>1</w:t>
            </w:r>
          </w:p>
        </w:tc>
        <w:tc>
          <w:tcPr>
            <w:tcW w:w="1125" w:type="dxa"/>
            <w:noWrap/>
            <w:hideMark/>
          </w:tcPr>
          <w:p w14:paraId="126595B1" w14:textId="77777777" w:rsidR="00316E0A" w:rsidRPr="00882FA6" w:rsidRDefault="00316E0A" w:rsidP="005C2DD3">
            <w:pPr>
              <w:jc w:val="right"/>
              <w:rPr>
                <w:sz w:val="16"/>
                <w:szCs w:val="16"/>
              </w:rPr>
            </w:pPr>
            <w:r w:rsidRPr="00882FA6">
              <w:rPr>
                <w:sz w:val="16"/>
                <w:szCs w:val="16"/>
              </w:rPr>
              <w:t>33</w:t>
            </w:r>
          </w:p>
        </w:tc>
        <w:tc>
          <w:tcPr>
            <w:tcW w:w="1125" w:type="dxa"/>
            <w:noWrap/>
            <w:hideMark/>
          </w:tcPr>
          <w:p w14:paraId="5E2C6DBC" w14:textId="77777777" w:rsidR="00316E0A" w:rsidRPr="00882FA6" w:rsidRDefault="00316E0A" w:rsidP="005C2DD3">
            <w:pPr>
              <w:jc w:val="right"/>
              <w:rPr>
                <w:sz w:val="16"/>
                <w:szCs w:val="16"/>
              </w:rPr>
            </w:pPr>
            <w:r w:rsidRPr="00882FA6">
              <w:rPr>
                <w:sz w:val="16"/>
                <w:szCs w:val="16"/>
              </w:rPr>
              <w:t>0</w:t>
            </w:r>
          </w:p>
        </w:tc>
        <w:tc>
          <w:tcPr>
            <w:tcW w:w="1125" w:type="dxa"/>
            <w:noWrap/>
            <w:hideMark/>
          </w:tcPr>
          <w:p w14:paraId="697AA39C" w14:textId="77777777" w:rsidR="00316E0A" w:rsidRPr="00882FA6" w:rsidRDefault="00316E0A" w:rsidP="005C2DD3">
            <w:pPr>
              <w:jc w:val="right"/>
              <w:rPr>
                <w:sz w:val="16"/>
                <w:szCs w:val="16"/>
              </w:rPr>
            </w:pPr>
            <w:r w:rsidRPr="00882FA6">
              <w:rPr>
                <w:sz w:val="16"/>
                <w:szCs w:val="16"/>
              </w:rPr>
              <w:t>2</w:t>
            </w:r>
          </w:p>
        </w:tc>
        <w:tc>
          <w:tcPr>
            <w:tcW w:w="1125" w:type="dxa"/>
            <w:noWrap/>
            <w:hideMark/>
          </w:tcPr>
          <w:p w14:paraId="20E393AE" w14:textId="77777777" w:rsidR="00316E0A" w:rsidRPr="00882FA6" w:rsidRDefault="00316E0A" w:rsidP="005C2DD3">
            <w:pPr>
              <w:jc w:val="right"/>
              <w:rPr>
                <w:sz w:val="16"/>
                <w:szCs w:val="16"/>
              </w:rPr>
            </w:pPr>
            <w:r w:rsidRPr="00882FA6">
              <w:rPr>
                <w:sz w:val="16"/>
                <w:szCs w:val="16"/>
              </w:rPr>
              <w:t>8</w:t>
            </w:r>
          </w:p>
        </w:tc>
        <w:tc>
          <w:tcPr>
            <w:tcW w:w="1125" w:type="dxa"/>
            <w:noWrap/>
            <w:hideMark/>
          </w:tcPr>
          <w:p w14:paraId="55A5454A" w14:textId="77777777" w:rsidR="00316E0A" w:rsidRPr="00882FA6" w:rsidRDefault="00316E0A" w:rsidP="005C2DD3">
            <w:pPr>
              <w:jc w:val="right"/>
              <w:rPr>
                <w:sz w:val="16"/>
                <w:szCs w:val="16"/>
              </w:rPr>
            </w:pPr>
            <w:r w:rsidRPr="00882FA6">
              <w:rPr>
                <w:sz w:val="16"/>
                <w:szCs w:val="16"/>
              </w:rPr>
              <w:t>4</w:t>
            </w:r>
          </w:p>
        </w:tc>
        <w:tc>
          <w:tcPr>
            <w:tcW w:w="1125" w:type="dxa"/>
            <w:noWrap/>
            <w:hideMark/>
          </w:tcPr>
          <w:p w14:paraId="406001DF" w14:textId="77777777" w:rsidR="00316E0A" w:rsidRPr="00882FA6" w:rsidRDefault="00316E0A" w:rsidP="005C2DD3">
            <w:pPr>
              <w:jc w:val="right"/>
              <w:rPr>
                <w:b/>
                <w:bCs/>
                <w:sz w:val="16"/>
                <w:szCs w:val="16"/>
              </w:rPr>
            </w:pPr>
            <w:r w:rsidRPr="00882FA6">
              <w:rPr>
                <w:b/>
                <w:bCs/>
                <w:sz w:val="16"/>
                <w:szCs w:val="16"/>
              </w:rPr>
              <w:t>48</w:t>
            </w:r>
          </w:p>
        </w:tc>
      </w:tr>
      <w:tr w:rsidR="00316E0A" w:rsidRPr="00882FA6" w14:paraId="78E54CB9" w14:textId="77777777" w:rsidTr="005C2DD3">
        <w:trPr>
          <w:trHeight w:val="420"/>
        </w:trPr>
        <w:tc>
          <w:tcPr>
            <w:tcW w:w="1124" w:type="dxa"/>
            <w:noWrap/>
            <w:hideMark/>
          </w:tcPr>
          <w:p w14:paraId="050F4FEA" w14:textId="77777777" w:rsidR="00316E0A" w:rsidRPr="00882FA6" w:rsidRDefault="00316E0A" w:rsidP="005C2DD3">
            <w:pPr>
              <w:jc w:val="right"/>
              <w:rPr>
                <w:sz w:val="16"/>
                <w:szCs w:val="16"/>
              </w:rPr>
            </w:pPr>
            <w:proofErr w:type="spellStart"/>
            <w:r w:rsidRPr="00882FA6">
              <w:rPr>
                <w:sz w:val="16"/>
                <w:szCs w:val="16"/>
              </w:rPr>
              <w:t>Radiopha</w:t>
            </w:r>
            <w:proofErr w:type="spellEnd"/>
          </w:p>
        </w:tc>
        <w:tc>
          <w:tcPr>
            <w:tcW w:w="1125" w:type="dxa"/>
            <w:noWrap/>
            <w:hideMark/>
          </w:tcPr>
          <w:p w14:paraId="37796C9F" w14:textId="77777777" w:rsidR="00316E0A" w:rsidRPr="00882FA6" w:rsidRDefault="00316E0A" w:rsidP="005C2DD3">
            <w:pPr>
              <w:jc w:val="right"/>
              <w:rPr>
                <w:sz w:val="16"/>
                <w:szCs w:val="16"/>
              </w:rPr>
            </w:pPr>
            <w:r w:rsidRPr="00882FA6">
              <w:rPr>
                <w:sz w:val="16"/>
                <w:szCs w:val="16"/>
              </w:rPr>
              <w:t>0</w:t>
            </w:r>
          </w:p>
        </w:tc>
        <w:tc>
          <w:tcPr>
            <w:tcW w:w="1125" w:type="dxa"/>
            <w:noWrap/>
            <w:hideMark/>
          </w:tcPr>
          <w:p w14:paraId="4848D479" w14:textId="77777777" w:rsidR="00316E0A" w:rsidRPr="00882FA6" w:rsidRDefault="00316E0A" w:rsidP="005C2DD3">
            <w:pPr>
              <w:jc w:val="right"/>
              <w:rPr>
                <w:sz w:val="16"/>
                <w:szCs w:val="16"/>
              </w:rPr>
            </w:pPr>
            <w:r w:rsidRPr="00882FA6">
              <w:rPr>
                <w:sz w:val="16"/>
                <w:szCs w:val="16"/>
              </w:rPr>
              <w:t>1</w:t>
            </w:r>
          </w:p>
        </w:tc>
        <w:tc>
          <w:tcPr>
            <w:tcW w:w="1125" w:type="dxa"/>
            <w:noWrap/>
            <w:hideMark/>
          </w:tcPr>
          <w:p w14:paraId="2D0BEF17" w14:textId="77777777" w:rsidR="00316E0A" w:rsidRPr="00882FA6" w:rsidRDefault="00316E0A" w:rsidP="005C2DD3">
            <w:pPr>
              <w:jc w:val="right"/>
              <w:rPr>
                <w:sz w:val="16"/>
                <w:szCs w:val="16"/>
              </w:rPr>
            </w:pPr>
            <w:r w:rsidRPr="00882FA6">
              <w:rPr>
                <w:sz w:val="16"/>
                <w:szCs w:val="16"/>
              </w:rPr>
              <w:t>0</w:t>
            </w:r>
          </w:p>
        </w:tc>
        <w:tc>
          <w:tcPr>
            <w:tcW w:w="1125" w:type="dxa"/>
            <w:noWrap/>
            <w:hideMark/>
          </w:tcPr>
          <w:p w14:paraId="3DE0039F" w14:textId="77777777" w:rsidR="00316E0A" w:rsidRPr="00882FA6" w:rsidRDefault="00316E0A" w:rsidP="005C2DD3">
            <w:pPr>
              <w:jc w:val="right"/>
              <w:rPr>
                <w:sz w:val="16"/>
                <w:szCs w:val="16"/>
              </w:rPr>
            </w:pPr>
            <w:r w:rsidRPr="00882FA6">
              <w:rPr>
                <w:sz w:val="16"/>
                <w:szCs w:val="16"/>
              </w:rPr>
              <w:t>0</w:t>
            </w:r>
          </w:p>
        </w:tc>
        <w:tc>
          <w:tcPr>
            <w:tcW w:w="1125" w:type="dxa"/>
            <w:noWrap/>
            <w:hideMark/>
          </w:tcPr>
          <w:p w14:paraId="55F7C26D" w14:textId="77777777" w:rsidR="00316E0A" w:rsidRPr="00882FA6" w:rsidRDefault="00316E0A" w:rsidP="005C2DD3">
            <w:pPr>
              <w:jc w:val="right"/>
              <w:rPr>
                <w:sz w:val="16"/>
                <w:szCs w:val="16"/>
              </w:rPr>
            </w:pPr>
            <w:r w:rsidRPr="00882FA6">
              <w:rPr>
                <w:sz w:val="16"/>
                <w:szCs w:val="16"/>
              </w:rPr>
              <w:t>0</w:t>
            </w:r>
          </w:p>
        </w:tc>
        <w:tc>
          <w:tcPr>
            <w:tcW w:w="1125" w:type="dxa"/>
            <w:noWrap/>
            <w:hideMark/>
          </w:tcPr>
          <w:p w14:paraId="1CEABD5F" w14:textId="77777777" w:rsidR="00316E0A" w:rsidRPr="00882FA6" w:rsidRDefault="00316E0A" w:rsidP="005C2DD3">
            <w:pPr>
              <w:jc w:val="right"/>
              <w:rPr>
                <w:sz w:val="16"/>
                <w:szCs w:val="16"/>
              </w:rPr>
            </w:pPr>
            <w:r w:rsidRPr="00882FA6">
              <w:rPr>
                <w:sz w:val="16"/>
                <w:szCs w:val="16"/>
              </w:rPr>
              <w:t>0</w:t>
            </w:r>
          </w:p>
        </w:tc>
        <w:tc>
          <w:tcPr>
            <w:tcW w:w="1125" w:type="dxa"/>
            <w:noWrap/>
            <w:hideMark/>
          </w:tcPr>
          <w:p w14:paraId="746F9CF5" w14:textId="77777777" w:rsidR="00316E0A" w:rsidRPr="00882FA6" w:rsidRDefault="00316E0A" w:rsidP="005C2DD3">
            <w:pPr>
              <w:jc w:val="right"/>
              <w:rPr>
                <w:b/>
                <w:bCs/>
                <w:sz w:val="16"/>
                <w:szCs w:val="16"/>
              </w:rPr>
            </w:pPr>
            <w:r w:rsidRPr="00882FA6">
              <w:rPr>
                <w:b/>
                <w:bCs/>
                <w:sz w:val="16"/>
                <w:szCs w:val="16"/>
              </w:rPr>
              <w:t>1</w:t>
            </w:r>
          </w:p>
        </w:tc>
      </w:tr>
      <w:tr w:rsidR="00316E0A" w:rsidRPr="00882FA6" w14:paraId="4FB3B78A" w14:textId="77777777" w:rsidTr="005C2DD3">
        <w:trPr>
          <w:trHeight w:val="420"/>
        </w:trPr>
        <w:tc>
          <w:tcPr>
            <w:tcW w:w="1124" w:type="dxa"/>
            <w:noWrap/>
          </w:tcPr>
          <w:p w14:paraId="0FBD60CD" w14:textId="77777777" w:rsidR="00316E0A" w:rsidRPr="00CD6E39" w:rsidRDefault="00316E0A" w:rsidP="005C2DD3">
            <w:pPr>
              <w:jc w:val="right"/>
              <w:rPr>
                <w:b/>
                <w:bCs/>
                <w:sz w:val="16"/>
                <w:szCs w:val="16"/>
              </w:rPr>
            </w:pPr>
            <w:r w:rsidRPr="00CD6E39">
              <w:rPr>
                <w:b/>
                <w:bCs/>
                <w:sz w:val="16"/>
                <w:szCs w:val="16"/>
              </w:rPr>
              <w:t>Grand Total</w:t>
            </w:r>
          </w:p>
        </w:tc>
        <w:tc>
          <w:tcPr>
            <w:tcW w:w="1125" w:type="dxa"/>
            <w:noWrap/>
          </w:tcPr>
          <w:p w14:paraId="6F375B3B" w14:textId="77777777" w:rsidR="00316E0A" w:rsidRPr="00882FA6" w:rsidRDefault="00316E0A" w:rsidP="005C2DD3">
            <w:pPr>
              <w:jc w:val="right"/>
              <w:rPr>
                <w:sz w:val="16"/>
                <w:szCs w:val="16"/>
              </w:rPr>
            </w:pPr>
            <w:r w:rsidRPr="00882FA6">
              <w:rPr>
                <w:b/>
                <w:bCs/>
                <w:sz w:val="16"/>
                <w:szCs w:val="16"/>
              </w:rPr>
              <w:t>2</w:t>
            </w:r>
          </w:p>
        </w:tc>
        <w:tc>
          <w:tcPr>
            <w:tcW w:w="1125" w:type="dxa"/>
            <w:noWrap/>
          </w:tcPr>
          <w:p w14:paraId="39B3E091" w14:textId="77777777" w:rsidR="00316E0A" w:rsidRPr="00882FA6" w:rsidRDefault="00316E0A" w:rsidP="005C2DD3">
            <w:pPr>
              <w:jc w:val="right"/>
              <w:rPr>
                <w:sz w:val="16"/>
                <w:szCs w:val="16"/>
              </w:rPr>
            </w:pPr>
            <w:r w:rsidRPr="00882FA6">
              <w:rPr>
                <w:b/>
                <w:bCs/>
                <w:sz w:val="16"/>
                <w:szCs w:val="16"/>
              </w:rPr>
              <w:t>92</w:t>
            </w:r>
          </w:p>
        </w:tc>
        <w:tc>
          <w:tcPr>
            <w:tcW w:w="1125" w:type="dxa"/>
            <w:noWrap/>
          </w:tcPr>
          <w:p w14:paraId="44BAF783" w14:textId="77777777" w:rsidR="00316E0A" w:rsidRPr="00882FA6" w:rsidRDefault="00316E0A" w:rsidP="005C2DD3">
            <w:pPr>
              <w:jc w:val="right"/>
              <w:rPr>
                <w:sz w:val="16"/>
                <w:szCs w:val="16"/>
              </w:rPr>
            </w:pPr>
            <w:r w:rsidRPr="00882FA6">
              <w:rPr>
                <w:b/>
                <w:bCs/>
                <w:sz w:val="16"/>
                <w:szCs w:val="16"/>
              </w:rPr>
              <w:t>2</w:t>
            </w:r>
          </w:p>
        </w:tc>
        <w:tc>
          <w:tcPr>
            <w:tcW w:w="1125" w:type="dxa"/>
            <w:noWrap/>
          </w:tcPr>
          <w:p w14:paraId="53B63873" w14:textId="77777777" w:rsidR="00316E0A" w:rsidRPr="00882FA6" w:rsidRDefault="00316E0A" w:rsidP="005C2DD3">
            <w:pPr>
              <w:jc w:val="right"/>
              <w:rPr>
                <w:sz w:val="16"/>
                <w:szCs w:val="16"/>
              </w:rPr>
            </w:pPr>
            <w:r w:rsidRPr="00882FA6">
              <w:rPr>
                <w:b/>
                <w:bCs/>
                <w:sz w:val="16"/>
                <w:szCs w:val="16"/>
              </w:rPr>
              <w:t>10</w:t>
            </w:r>
          </w:p>
        </w:tc>
        <w:tc>
          <w:tcPr>
            <w:tcW w:w="1125" w:type="dxa"/>
            <w:noWrap/>
          </w:tcPr>
          <w:p w14:paraId="10A08825" w14:textId="77777777" w:rsidR="00316E0A" w:rsidRPr="00882FA6" w:rsidRDefault="00316E0A" w:rsidP="005C2DD3">
            <w:pPr>
              <w:jc w:val="right"/>
              <w:rPr>
                <w:sz w:val="16"/>
                <w:szCs w:val="16"/>
              </w:rPr>
            </w:pPr>
            <w:r w:rsidRPr="00882FA6">
              <w:rPr>
                <w:b/>
                <w:bCs/>
                <w:sz w:val="16"/>
                <w:szCs w:val="16"/>
              </w:rPr>
              <w:t>18</w:t>
            </w:r>
          </w:p>
        </w:tc>
        <w:tc>
          <w:tcPr>
            <w:tcW w:w="1125" w:type="dxa"/>
            <w:noWrap/>
          </w:tcPr>
          <w:p w14:paraId="7993AA49" w14:textId="77777777" w:rsidR="00316E0A" w:rsidRPr="00882FA6" w:rsidRDefault="00316E0A" w:rsidP="005C2DD3">
            <w:pPr>
              <w:jc w:val="right"/>
              <w:rPr>
                <w:sz w:val="16"/>
                <w:szCs w:val="16"/>
              </w:rPr>
            </w:pPr>
            <w:r w:rsidRPr="00882FA6">
              <w:rPr>
                <w:b/>
                <w:bCs/>
                <w:sz w:val="16"/>
                <w:szCs w:val="16"/>
              </w:rPr>
              <w:t>11</w:t>
            </w:r>
          </w:p>
        </w:tc>
        <w:tc>
          <w:tcPr>
            <w:tcW w:w="1125" w:type="dxa"/>
            <w:noWrap/>
          </w:tcPr>
          <w:p w14:paraId="30F8B139" w14:textId="77777777" w:rsidR="00316E0A" w:rsidRPr="00882FA6" w:rsidRDefault="00316E0A" w:rsidP="005C2DD3">
            <w:pPr>
              <w:jc w:val="right"/>
              <w:rPr>
                <w:b/>
                <w:bCs/>
                <w:sz w:val="16"/>
                <w:szCs w:val="16"/>
              </w:rPr>
            </w:pPr>
            <w:r w:rsidRPr="00882FA6">
              <w:rPr>
                <w:b/>
                <w:bCs/>
                <w:sz w:val="16"/>
                <w:szCs w:val="16"/>
              </w:rPr>
              <w:t>135</w:t>
            </w:r>
          </w:p>
        </w:tc>
      </w:tr>
    </w:tbl>
    <w:p w14:paraId="1D42F6DC" w14:textId="77777777" w:rsidR="00AD4C5A" w:rsidRPr="00AD4C5A" w:rsidRDefault="00AD4C5A" w:rsidP="00AD4C5A">
      <w:pPr>
        <w:pStyle w:val="Caption"/>
        <w:rPr>
          <w:lang w:val="en-GB"/>
        </w:rPr>
      </w:pPr>
      <w:r w:rsidRPr="00AD4C5A">
        <w:rPr>
          <w:lang w:val="en-GB"/>
        </w:rPr>
        <w:t>Figure 1: type of application and status – WAIT indicator</w:t>
      </w:r>
    </w:p>
    <w:tbl>
      <w:tblPr>
        <w:tblStyle w:val="TableGrid"/>
        <w:tblW w:w="0" w:type="auto"/>
        <w:tblLayout w:type="fixed"/>
        <w:tblLook w:val="04A0" w:firstRow="1" w:lastRow="0" w:firstColumn="1" w:lastColumn="0" w:noHBand="0" w:noVBand="1"/>
      </w:tblPr>
      <w:tblGrid>
        <w:gridCol w:w="1092"/>
        <w:gridCol w:w="1138"/>
        <w:gridCol w:w="1139"/>
        <w:gridCol w:w="1138"/>
        <w:gridCol w:w="1139"/>
        <w:gridCol w:w="1138"/>
        <w:gridCol w:w="1139"/>
        <w:gridCol w:w="1139"/>
      </w:tblGrid>
      <w:tr w:rsidR="002E5ED0" w:rsidRPr="00C65CEB" w14:paraId="28CB5908" w14:textId="77777777" w:rsidTr="005C2DD3">
        <w:trPr>
          <w:trHeight w:val="420"/>
        </w:trPr>
        <w:tc>
          <w:tcPr>
            <w:tcW w:w="1092" w:type="dxa"/>
            <w:noWrap/>
            <w:hideMark/>
          </w:tcPr>
          <w:p w14:paraId="66FCBFD9" w14:textId="77777777" w:rsidR="002E5ED0" w:rsidRPr="00AD4C5A" w:rsidRDefault="002E5ED0" w:rsidP="005C2DD3">
            <w:pPr>
              <w:rPr>
                <w:sz w:val="16"/>
                <w:szCs w:val="16"/>
                <w:lang w:val="en-GB"/>
              </w:rPr>
            </w:pPr>
          </w:p>
        </w:tc>
        <w:tc>
          <w:tcPr>
            <w:tcW w:w="1138" w:type="dxa"/>
            <w:noWrap/>
            <w:hideMark/>
          </w:tcPr>
          <w:p w14:paraId="0958CC17" w14:textId="77777777" w:rsidR="002E5ED0" w:rsidRPr="00C65CEB" w:rsidRDefault="002E5ED0" w:rsidP="005C2DD3">
            <w:pPr>
              <w:rPr>
                <w:b/>
                <w:bCs/>
                <w:sz w:val="16"/>
                <w:szCs w:val="16"/>
              </w:rPr>
            </w:pPr>
            <w:r w:rsidRPr="00C65CEB">
              <w:rPr>
                <w:b/>
                <w:bCs/>
                <w:sz w:val="16"/>
                <w:szCs w:val="16"/>
              </w:rPr>
              <w:t>Closed</w:t>
            </w:r>
          </w:p>
        </w:tc>
        <w:tc>
          <w:tcPr>
            <w:tcW w:w="1139" w:type="dxa"/>
            <w:noWrap/>
            <w:hideMark/>
          </w:tcPr>
          <w:p w14:paraId="2E9A432E" w14:textId="77777777" w:rsidR="002E5ED0" w:rsidRPr="00C65CEB" w:rsidRDefault="002E5ED0" w:rsidP="005C2DD3">
            <w:pPr>
              <w:rPr>
                <w:b/>
                <w:bCs/>
                <w:sz w:val="16"/>
                <w:szCs w:val="16"/>
              </w:rPr>
            </w:pPr>
            <w:proofErr w:type="spellStart"/>
            <w:r w:rsidRPr="00C65CEB">
              <w:rPr>
                <w:b/>
                <w:bCs/>
                <w:sz w:val="16"/>
                <w:szCs w:val="16"/>
              </w:rPr>
              <w:t>Currently</w:t>
            </w:r>
            <w:proofErr w:type="spellEnd"/>
            <w:r w:rsidRPr="00C65CEB">
              <w:rPr>
                <w:b/>
                <w:bCs/>
                <w:sz w:val="16"/>
                <w:szCs w:val="16"/>
              </w:rPr>
              <w:t xml:space="preserve"> </w:t>
            </w:r>
            <w:proofErr w:type="spellStart"/>
            <w:r w:rsidRPr="00C65CEB">
              <w:rPr>
                <w:b/>
                <w:bCs/>
                <w:sz w:val="16"/>
                <w:szCs w:val="16"/>
              </w:rPr>
              <w:t>Reimbursed</w:t>
            </w:r>
            <w:proofErr w:type="spellEnd"/>
          </w:p>
        </w:tc>
        <w:tc>
          <w:tcPr>
            <w:tcW w:w="1138" w:type="dxa"/>
            <w:noWrap/>
            <w:hideMark/>
          </w:tcPr>
          <w:p w14:paraId="6F1017B8" w14:textId="77777777" w:rsidR="002E5ED0" w:rsidRPr="00C65CEB" w:rsidRDefault="002E5ED0" w:rsidP="005C2DD3">
            <w:pPr>
              <w:rPr>
                <w:b/>
                <w:bCs/>
                <w:sz w:val="16"/>
                <w:szCs w:val="16"/>
              </w:rPr>
            </w:pPr>
            <w:r w:rsidRPr="00C65CEB">
              <w:rPr>
                <w:b/>
                <w:bCs/>
                <w:sz w:val="16"/>
                <w:szCs w:val="16"/>
              </w:rPr>
              <w:t xml:space="preserve">Has been </w:t>
            </w:r>
            <w:proofErr w:type="spellStart"/>
            <w:r w:rsidRPr="00C65CEB">
              <w:rPr>
                <w:b/>
                <w:bCs/>
                <w:sz w:val="16"/>
                <w:szCs w:val="16"/>
              </w:rPr>
              <w:t>reimbursed</w:t>
            </w:r>
            <w:proofErr w:type="spellEnd"/>
          </w:p>
        </w:tc>
        <w:tc>
          <w:tcPr>
            <w:tcW w:w="1139" w:type="dxa"/>
            <w:noWrap/>
            <w:hideMark/>
          </w:tcPr>
          <w:p w14:paraId="576AF025" w14:textId="77777777" w:rsidR="002E5ED0" w:rsidRPr="00C65CEB" w:rsidRDefault="002E5ED0" w:rsidP="005C2DD3">
            <w:pPr>
              <w:rPr>
                <w:b/>
                <w:bCs/>
                <w:sz w:val="16"/>
                <w:szCs w:val="16"/>
              </w:rPr>
            </w:pPr>
            <w:proofErr w:type="spellStart"/>
            <w:r w:rsidRPr="00C65CEB">
              <w:rPr>
                <w:b/>
                <w:bCs/>
                <w:sz w:val="16"/>
                <w:szCs w:val="16"/>
              </w:rPr>
              <w:t>Not</w:t>
            </w:r>
            <w:proofErr w:type="spellEnd"/>
            <w:r w:rsidRPr="00C65CEB">
              <w:rPr>
                <w:b/>
                <w:bCs/>
                <w:sz w:val="16"/>
                <w:szCs w:val="16"/>
              </w:rPr>
              <w:t xml:space="preserve"> </w:t>
            </w:r>
            <w:proofErr w:type="spellStart"/>
            <w:r w:rsidRPr="00C65CEB">
              <w:rPr>
                <w:b/>
                <w:bCs/>
                <w:sz w:val="16"/>
                <w:szCs w:val="16"/>
              </w:rPr>
              <w:t>Reimbursed</w:t>
            </w:r>
            <w:proofErr w:type="spellEnd"/>
          </w:p>
        </w:tc>
        <w:tc>
          <w:tcPr>
            <w:tcW w:w="1138" w:type="dxa"/>
            <w:noWrap/>
            <w:hideMark/>
          </w:tcPr>
          <w:p w14:paraId="3C8B907C" w14:textId="77777777" w:rsidR="002E5ED0" w:rsidRPr="00C65CEB" w:rsidRDefault="002E5ED0" w:rsidP="005C2DD3">
            <w:pPr>
              <w:rPr>
                <w:b/>
                <w:bCs/>
                <w:sz w:val="16"/>
                <w:szCs w:val="16"/>
              </w:rPr>
            </w:pPr>
            <w:proofErr w:type="spellStart"/>
            <w:r w:rsidRPr="00C65CEB">
              <w:rPr>
                <w:b/>
                <w:bCs/>
                <w:sz w:val="16"/>
                <w:szCs w:val="16"/>
              </w:rPr>
              <w:t>Ongoing</w:t>
            </w:r>
            <w:proofErr w:type="spellEnd"/>
          </w:p>
        </w:tc>
        <w:tc>
          <w:tcPr>
            <w:tcW w:w="1139" w:type="dxa"/>
            <w:noWrap/>
            <w:hideMark/>
          </w:tcPr>
          <w:p w14:paraId="5132C51B" w14:textId="77777777" w:rsidR="002E5ED0" w:rsidRPr="00C65CEB" w:rsidRDefault="002E5ED0" w:rsidP="005C2DD3">
            <w:pPr>
              <w:rPr>
                <w:b/>
                <w:bCs/>
                <w:sz w:val="16"/>
                <w:szCs w:val="16"/>
              </w:rPr>
            </w:pPr>
            <w:proofErr w:type="spellStart"/>
            <w:r w:rsidRPr="00C65CEB">
              <w:rPr>
                <w:b/>
                <w:bCs/>
                <w:sz w:val="16"/>
                <w:szCs w:val="16"/>
              </w:rPr>
              <w:t>Withdrawn</w:t>
            </w:r>
            <w:proofErr w:type="spellEnd"/>
          </w:p>
        </w:tc>
        <w:tc>
          <w:tcPr>
            <w:tcW w:w="1139" w:type="dxa"/>
            <w:noWrap/>
            <w:hideMark/>
          </w:tcPr>
          <w:p w14:paraId="23C07168" w14:textId="77777777" w:rsidR="002E5ED0" w:rsidRPr="00C65CEB" w:rsidRDefault="002E5ED0" w:rsidP="005C2DD3">
            <w:pPr>
              <w:rPr>
                <w:b/>
                <w:bCs/>
                <w:sz w:val="16"/>
                <w:szCs w:val="16"/>
              </w:rPr>
            </w:pPr>
            <w:r w:rsidRPr="00C65CEB">
              <w:rPr>
                <w:b/>
                <w:bCs/>
                <w:sz w:val="16"/>
                <w:szCs w:val="16"/>
              </w:rPr>
              <w:t>Grand Total</w:t>
            </w:r>
          </w:p>
        </w:tc>
      </w:tr>
      <w:tr w:rsidR="002E5ED0" w:rsidRPr="00C65CEB" w14:paraId="1BB9307F" w14:textId="77777777" w:rsidTr="005C2DD3">
        <w:trPr>
          <w:trHeight w:val="420"/>
        </w:trPr>
        <w:tc>
          <w:tcPr>
            <w:tcW w:w="1092" w:type="dxa"/>
            <w:noWrap/>
            <w:hideMark/>
          </w:tcPr>
          <w:p w14:paraId="1C234EDE" w14:textId="77777777" w:rsidR="002E5ED0" w:rsidRPr="00C65CEB" w:rsidRDefault="002E5ED0" w:rsidP="005C2DD3">
            <w:pPr>
              <w:rPr>
                <w:sz w:val="16"/>
                <w:szCs w:val="16"/>
              </w:rPr>
            </w:pPr>
            <w:r w:rsidRPr="00C65CEB">
              <w:rPr>
                <w:sz w:val="16"/>
                <w:szCs w:val="16"/>
              </w:rPr>
              <w:t>Class 1</w:t>
            </w:r>
          </w:p>
        </w:tc>
        <w:tc>
          <w:tcPr>
            <w:tcW w:w="1138" w:type="dxa"/>
            <w:noWrap/>
            <w:hideMark/>
          </w:tcPr>
          <w:p w14:paraId="11954EA7" w14:textId="77777777" w:rsidR="002E5ED0" w:rsidRPr="00C65CEB" w:rsidRDefault="002E5ED0" w:rsidP="005C2DD3">
            <w:pPr>
              <w:rPr>
                <w:sz w:val="16"/>
                <w:szCs w:val="16"/>
              </w:rPr>
            </w:pPr>
            <w:r w:rsidRPr="00C65CEB">
              <w:rPr>
                <w:sz w:val="16"/>
                <w:szCs w:val="16"/>
              </w:rPr>
              <w:t>1%</w:t>
            </w:r>
          </w:p>
        </w:tc>
        <w:tc>
          <w:tcPr>
            <w:tcW w:w="1139" w:type="dxa"/>
            <w:noWrap/>
            <w:hideMark/>
          </w:tcPr>
          <w:p w14:paraId="27F71265" w14:textId="77777777" w:rsidR="002E5ED0" w:rsidRPr="00C65CEB" w:rsidRDefault="002E5ED0" w:rsidP="005C2DD3">
            <w:pPr>
              <w:rPr>
                <w:sz w:val="16"/>
                <w:szCs w:val="16"/>
              </w:rPr>
            </w:pPr>
            <w:r w:rsidRPr="00C65CEB">
              <w:rPr>
                <w:sz w:val="16"/>
                <w:szCs w:val="16"/>
              </w:rPr>
              <w:t>27%</w:t>
            </w:r>
          </w:p>
        </w:tc>
        <w:tc>
          <w:tcPr>
            <w:tcW w:w="1138" w:type="dxa"/>
            <w:noWrap/>
            <w:hideMark/>
          </w:tcPr>
          <w:p w14:paraId="4C89693C" w14:textId="77777777" w:rsidR="002E5ED0" w:rsidRPr="00C65CEB" w:rsidRDefault="002E5ED0" w:rsidP="005C2DD3">
            <w:pPr>
              <w:rPr>
                <w:sz w:val="16"/>
                <w:szCs w:val="16"/>
              </w:rPr>
            </w:pPr>
            <w:r w:rsidRPr="00C65CEB">
              <w:rPr>
                <w:sz w:val="16"/>
                <w:szCs w:val="16"/>
              </w:rPr>
              <w:t>1%</w:t>
            </w:r>
          </w:p>
        </w:tc>
        <w:tc>
          <w:tcPr>
            <w:tcW w:w="1139" w:type="dxa"/>
            <w:noWrap/>
            <w:hideMark/>
          </w:tcPr>
          <w:p w14:paraId="4E96F3A5" w14:textId="77777777" w:rsidR="002E5ED0" w:rsidRPr="00C65CEB" w:rsidRDefault="002E5ED0" w:rsidP="005C2DD3">
            <w:pPr>
              <w:rPr>
                <w:sz w:val="16"/>
                <w:szCs w:val="16"/>
              </w:rPr>
            </w:pPr>
            <w:r w:rsidRPr="00C65CEB">
              <w:rPr>
                <w:sz w:val="16"/>
                <w:szCs w:val="16"/>
              </w:rPr>
              <w:t>5%</w:t>
            </w:r>
          </w:p>
        </w:tc>
        <w:tc>
          <w:tcPr>
            <w:tcW w:w="1138" w:type="dxa"/>
            <w:noWrap/>
            <w:hideMark/>
          </w:tcPr>
          <w:p w14:paraId="100DDA69" w14:textId="77777777" w:rsidR="002E5ED0" w:rsidRPr="00C65CEB" w:rsidRDefault="002E5ED0" w:rsidP="005C2DD3">
            <w:pPr>
              <w:rPr>
                <w:sz w:val="16"/>
                <w:szCs w:val="16"/>
              </w:rPr>
            </w:pPr>
            <w:r w:rsidRPr="00C65CEB">
              <w:rPr>
                <w:sz w:val="16"/>
                <w:szCs w:val="16"/>
              </w:rPr>
              <w:t>4%</w:t>
            </w:r>
          </w:p>
        </w:tc>
        <w:tc>
          <w:tcPr>
            <w:tcW w:w="1139" w:type="dxa"/>
            <w:noWrap/>
            <w:hideMark/>
          </w:tcPr>
          <w:p w14:paraId="7E809CF9" w14:textId="77777777" w:rsidR="002E5ED0" w:rsidRPr="00C65CEB" w:rsidRDefault="002E5ED0" w:rsidP="005C2DD3">
            <w:pPr>
              <w:rPr>
                <w:sz w:val="16"/>
                <w:szCs w:val="16"/>
              </w:rPr>
            </w:pPr>
            <w:r w:rsidRPr="00C65CEB">
              <w:rPr>
                <w:sz w:val="16"/>
                <w:szCs w:val="16"/>
              </w:rPr>
              <w:t>5%</w:t>
            </w:r>
          </w:p>
        </w:tc>
        <w:tc>
          <w:tcPr>
            <w:tcW w:w="1139" w:type="dxa"/>
            <w:noWrap/>
            <w:hideMark/>
          </w:tcPr>
          <w:p w14:paraId="2712EA74" w14:textId="77777777" w:rsidR="002E5ED0" w:rsidRPr="00C65CEB" w:rsidRDefault="002E5ED0" w:rsidP="005C2DD3">
            <w:pPr>
              <w:rPr>
                <w:b/>
                <w:bCs/>
                <w:sz w:val="16"/>
                <w:szCs w:val="16"/>
              </w:rPr>
            </w:pPr>
            <w:r w:rsidRPr="00C65CEB">
              <w:rPr>
                <w:b/>
                <w:bCs/>
                <w:sz w:val="16"/>
                <w:szCs w:val="16"/>
              </w:rPr>
              <w:t>43%</w:t>
            </w:r>
          </w:p>
        </w:tc>
      </w:tr>
      <w:tr w:rsidR="002E5ED0" w:rsidRPr="00C65CEB" w14:paraId="06DBDAAA" w14:textId="77777777" w:rsidTr="005C2DD3">
        <w:trPr>
          <w:trHeight w:val="420"/>
        </w:trPr>
        <w:tc>
          <w:tcPr>
            <w:tcW w:w="1092" w:type="dxa"/>
            <w:noWrap/>
            <w:hideMark/>
          </w:tcPr>
          <w:p w14:paraId="2A862F23" w14:textId="77777777" w:rsidR="002E5ED0" w:rsidRPr="00C65CEB" w:rsidRDefault="002E5ED0" w:rsidP="005C2DD3">
            <w:pPr>
              <w:rPr>
                <w:sz w:val="16"/>
                <w:szCs w:val="16"/>
              </w:rPr>
            </w:pPr>
            <w:r w:rsidRPr="00C65CEB">
              <w:rPr>
                <w:sz w:val="16"/>
                <w:szCs w:val="16"/>
              </w:rPr>
              <w:t>Class 2</w:t>
            </w:r>
          </w:p>
        </w:tc>
        <w:tc>
          <w:tcPr>
            <w:tcW w:w="1138" w:type="dxa"/>
            <w:noWrap/>
            <w:hideMark/>
          </w:tcPr>
          <w:p w14:paraId="78CB11A0" w14:textId="77777777" w:rsidR="002E5ED0" w:rsidRPr="00C65CEB" w:rsidRDefault="002E5ED0" w:rsidP="005C2DD3">
            <w:pPr>
              <w:rPr>
                <w:sz w:val="16"/>
                <w:szCs w:val="16"/>
              </w:rPr>
            </w:pPr>
            <w:r w:rsidRPr="00C65CEB">
              <w:rPr>
                <w:sz w:val="16"/>
                <w:szCs w:val="16"/>
              </w:rPr>
              <w:t>0%</w:t>
            </w:r>
          </w:p>
        </w:tc>
        <w:tc>
          <w:tcPr>
            <w:tcW w:w="1139" w:type="dxa"/>
            <w:noWrap/>
            <w:hideMark/>
          </w:tcPr>
          <w:p w14:paraId="21702502" w14:textId="77777777" w:rsidR="002E5ED0" w:rsidRPr="00C65CEB" w:rsidRDefault="002E5ED0" w:rsidP="005C2DD3">
            <w:pPr>
              <w:rPr>
                <w:sz w:val="16"/>
                <w:szCs w:val="16"/>
              </w:rPr>
            </w:pPr>
            <w:r w:rsidRPr="00C65CEB">
              <w:rPr>
                <w:sz w:val="16"/>
                <w:szCs w:val="16"/>
              </w:rPr>
              <w:t>16%</w:t>
            </w:r>
          </w:p>
        </w:tc>
        <w:tc>
          <w:tcPr>
            <w:tcW w:w="1138" w:type="dxa"/>
            <w:noWrap/>
            <w:hideMark/>
          </w:tcPr>
          <w:p w14:paraId="66487732" w14:textId="77777777" w:rsidR="002E5ED0" w:rsidRPr="00C65CEB" w:rsidRDefault="002E5ED0" w:rsidP="005C2DD3">
            <w:pPr>
              <w:rPr>
                <w:sz w:val="16"/>
                <w:szCs w:val="16"/>
              </w:rPr>
            </w:pPr>
            <w:r w:rsidRPr="00C65CEB">
              <w:rPr>
                <w:sz w:val="16"/>
                <w:szCs w:val="16"/>
              </w:rPr>
              <w:t>1%</w:t>
            </w:r>
          </w:p>
        </w:tc>
        <w:tc>
          <w:tcPr>
            <w:tcW w:w="1139" w:type="dxa"/>
            <w:noWrap/>
            <w:hideMark/>
          </w:tcPr>
          <w:p w14:paraId="05119F38" w14:textId="77777777" w:rsidR="002E5ED0" w:rsidRPr="00C65CEB" w:rsidRDefault="002E5ED0" w:rsidP="005C2DD3">
            <w:pPr>
              <w:rPr>
                <w:sz w:val="16"/>
                <w:szCs w:val="16"/>
              </w:rPr>
            </w:pPr>
            <w:r w:rsidRPr="00C65CEB">
              <w:rPr>
                <w:sz w:val="16"/>
                <w:szCs w:val="16"/>
              </w:rPr>
              <w:t>1%</w:t>
            </w:r>
          </w:p>
        </w:tc>
        <w:tc>
          <w:tcPr>
            <w:tcW w:w="1138" w:type="dxa"/>
            <w:noWrap/>
            <w:hideMark/>
          </w:tcPr>
          <w:p w14:paraId="1015E9F5" w14:textId="77777777" w:rsidR="002E5ED0" w:rsidRPr="00C65CEB" w:rsidRDefault="002E5ED0" w:rsidP="005C2DD3">
            <w:pPr>
              <w:rPr>
                <w:sz w:val="16"/>
                <w:szCs w:val="16"/>
              </w:rPr>
            </w:pPr>
            <w:r w:rsidRPr="00C65CEB">
              <w:rPr>
                <w:sz w:val="16"/>
                <w:szCs w:val="16"/>
              </w:rPr>
              <w:t>3%</w:t>
            </w:r>
          </w:p>
        </w:tc>
        <w:tc>
          <w:tcPr>
            <w:tcW w:w="1139" w:type="dxa"/>
            <w:noWrap/>
            <w:hideMark/>
          </w:tcPr>
          <w:p w14:paraId="33BD21D7" w14:textId="77777777" w:rsidR="002E5ED0" w:rsidRPr="00C65CEB" w:rsidRDefault="002E5ED0" w:rsidP="005C2DD3">
            <w:pPr>
              <w:rPr>
                <w:sz w:val="16"/>
                <w:szCs w:val="16"/>
              </w:rPr>
            </w:pPr>
            <w:r w:rsidRPr="00C65CEB">
              <w:rPr>
                <w:sz w:val="16"/>
                <w:szCs w:val="16"/>
              </w:rPr>
              <w:t>0%</w:t>
            </w:r>
          </w:p>
        </w:tc>
        <w:tc>
          <w:tcPr>
            <w:tcW w:w="1139" w:type="dxa"/>
            <w:noWrap/>
            <w:hideMark/>
          </w:tcPr>
          <w:p w14:paraId="79C7F3AB" w14:textId="77777777" w:rsidR="002E5ED0" w:rsidRPr="00C65CEB" w:rsidRDefault="002E5ED0" w:rsidP="005C2DD3">
            <w:pPr>
              <w:rPr>
                <w:b/>
                <w:bCs/>
                <w:sz w:val="16"/>
                <w:szCs w:val="16"/>
              </w:rPr>
            </w:pPr>
            <w:r w:rsidRPr="00C65CEB">
              <w:rPr>
                <w:b/>
                <w:bCs/>
                <w:sz w:val="16"/>
                <w:szCs w:val="16"/>
              </w:rPr>
              <w:t>21%</w:t>
            </w:r>
          </w:p>
        </w:tc>
      </w:tr>
      <w:tr w:rsidR="002E5ED0" w:rsidRPr="00C65CEB" w14:paraId="4432D09C" w14:textId="77777777" w:rsidTr="005C2DD3">
        <w:trPr>
          <w:trHeight w:val="420"/>
        </w:trPr>
        <w:tc>
          <w:tcPr>
            <w:tcW w:w="1092" w:type="dxa"/>
            <w:noWrap/>
            <w:hideMark/>
          </w:tcPr>
          <w:p w14:paraId="3B6062D5" w14:textId="77777777" w:rsidR="002E5ED0" w:rsidRPr="00C65CEB" w:rsidRDefault="002E5ED0" w:rsidP="005C2DD3">
            <w:pPr>
              <w:rPr>
                <w:sz w:val="16"/>
                <w:szCs w:val="16"/>
              </w:rPr>
            </w:pPr>
            <w:proofErr w:type="spellStart"/>
            <w:r w:rsidRPr="00C65CEB">
              <w:rPr>
                <w:sz w:val="16"/>
                <w:szCs w:val="16"/>
              </w:rPr>
              <w:t>Orphan</w:t>
            </w:r>
            <w:proofErr w:type="spellEnd"/>
          </w:p>
        </w:tc>
        <w:tc>
          <w:tcPr>
            <w:tcW w:w="1138" w:type="dxa"/>
            <w:noWrap/>
            <w:hideMark/>
          </w:tcPr>
          <w:p w14:paraId="7BBC4C42" w14:textId="77777777" w:rsidR="002E5ED0" w:rsidRPr="00C65CEB" w:rsidRDefault="002E5ED0" w:rsidP="005C2DD3">
            <w:pPr>
              <w:rPr>
                <w:sz w:val="16"/>
                <w:szCs w:val="16"/>
              </w:rPr>
            </w:pPr>
            <w:r w:rsidRPr="00C65CEB">
              <w:rPr>
                <w:sz w:val="16"/>
                <w:szCs w:val="16"/>
              </w:rPr>
              <w:t>1%</w:t>
            </w:r>
          </w:p>
        </w:tc>
        <w:tc>
          <w:tcPr>
            <w:tcW w:w="1139" w:type="dxa"/>
            <w:noWrap/>
            <w:hideMark/>
          </w:tcPr>
          <w:p w14:paraId="01C679BD" w14:textId="77777777" w:rsidR="002E5ED0" w:rsidRPr="00C65CEB" w:rsidRDefault="002E5ED0" w:rsidP="005C2DD3">
            <w:pPr>
              <w:rPr>
                <w:sz w:val="16"/>
                <w:szCs w:val="16"/>
              </w:rPr>
            </w:pPr>
            <w:r w:rsidRPr="00C65CEB">
              <w:rPr>
                <w:sz w:val="16"/>
                <w:szCs w:val="16"/>
              </w:rPr>
              <w:t>24%</w:t>
            </w:r>
          </w:p>
        </w:tc>
        <w:tc>
          <w:tcPr>
            <w:tcW w:w="1138" w:type="dxa"/>
            <w:noWrap/>
            <w:hideMark/>
          </w:tcPr>
          <w:p w14:paraId="36390195" w14:textId="77777777" w:rsidR="002E5ED0" w:rsidRPr="00C65CEB" w:rsidRDefault="002E5ED0" w:rsidP="005C2DD3">
            <w:pPr>
              <w:rPr>
                <w:sz w:val="16"/>
                <w:szCs w:val="16"/>
              </w:rPr>
            </w:pPr>
            <w:r w:rsidRPr="00C65CEB">
              <w:rPr>
                <w:sz w:val="16"/>
                <w:szCs w:val="16"/>
              </w:rPr>
              <w:t>0%</w:t>
            </w:r>
          </w:p>
        </w:tc>
        <w:tc>
          <w:tcPr>
            <w:tcW w:w="1139" w:type="dxa"/>
            <w:noWrap/>
            <w:hideMark/>
          </w:tcPr>
          <w:p w14:paraId="43FE7444" w14:textId="77777777" w:rsidR="002E5ED0" w:rsidRPr="00C65CEB" w:rsidRDefault="002E5ED0" w:rsidP="005C2DD3">
            <w:pPr>
              <w:rPr>
                <w:sz w:val="16"/>
                <w:szCs w:val="16"/>
              </w:rPr>
            </w:pPr>
            <w:r w:rsidRPr="00C65CEB">
              <w:rPr>
                <w:sz w:val="16"/>
                <w:szCs w:val="16"/>
              </w:rPr>
              <w:t>1%</w:t>
            </w:r>
          </w:p>
        </w:tc>
        <w:tc>
          <w:tcPr>
            <w:tcW w:w="1138" w:type="dxa"/>
            <w:noWrap/>
            <w:hideMark/>
          </w:tcPr>
          <w:p w14:paraId="13BF3BF5" w14:textId="77777777" w:rsidR="002E5ED0" w:rsidRPr="00C65CEB" w:rsidRDefault="002E5ED0" w:rsidP="005C2DD3">
            <w:pPr>
              <w:rPr>
                <w:sz w:val="16"/>
                <w:szCs w:val="16"/>
              </w:rPr>
            </w:pPr>
            <w:r w:rsidRPr="00C65CEB">
              <w:rPr>
                <w:sz w:val="16"/>
                <w:szCs w:val="16"/>
              </w:rPr>
              <w:t>6%</w:t>
            </w:r>
          </w:p>
        </w:tc>
        <w:tc>
          <w:tcPr>
            <w:tcW w:w="1139" w:type="dxa"/>
            <w:noWrap/>
            <w:hideMark/>
          </w:tcPr>
          <w:p w14:paraId="2A6BE505" w14:textId="77777777" w:rsidR="002E5ED0" w:rsidRPr="00C65CEB" w:rsidRDefault="002E5ED0" w:rsidP="005C2DD3">
            <w:pPr>
              <w:rPr>
                <w:sz w:val="16"/>
                <w:szCs w:val="16"/>
              </w:rPr>
            </w:pPr>
            <w:r w:rsidRPr="00C65CEB">
              <w:rPr>
                <w:sz w:val="16"/>
                <w:szCs w:val="16"/>
              </w:rPr>
              <w:t>3%</w:t>
            </w:r>
          </w:p>
        </w:tc>
        <w:tc>
          <w:tcPr>
            <w:tcW w:w="1139" w:type="dxa"/>
            <w:noWrap/>
            <w:hideMark/>
          </w:tcPr>
          <w:p w14:paraId="083DC171" w14:textId="77777777" w:rsidR="002E5ED0" w:rsidRPr="00C65CEB" w:rsidRDefault="002E5ED0" w:rsidP="005C2DD3">
            <w:pPr>
              <w:rPr>
                <w:b/>
                <w:bCs/>
                <w:sz w:val="16"/>
                <w:szCs w:val="16"/>
              </w:rPr>
            </w:pPr>
            <w:r w:rsidRPr="00C65CEB">
              <w:rPr>
                <w:b/>
                <w:bCs/>
                <w:sz w:val="16"/>
                <w:szCs w:val="16"/>
              </w:rPr>
              <w:t>36%</w:t>
            </w:r>
          </w:p>
        </w:tc>
      </w:tr>
      <w:tr w:rsidR="002E5ED0" w:rsidRPr="00C65CEB" w14:paraId="79CE2E57" w14:textId="77777777" w:rsidTr="005C2DD3">
        <w:trPr>
          <w:trHeight w:val="420"/>
        </w:trPr>
        <w:tc>
          <w:tcPr>
            <w:tcW w:w="1092" w:type="dxa"/>
            <w:noWrap/>
            <w:hideMark/>
          </w:tcPr>
          <w:p w14:paraId="6C79D23A" w14:textId="77777777" w:rsidR="002E5ED0" w:rsidRPr="00C65CEB" w:rsidRDefault="002E5ED0" w:rsidP="005C2DD3">
            <w:pPr>
              <w:rPr>
                <w:sz w:val="16"/>
                <w:szCs w:val="16"/>
              </w:rPr>
            </w:pPr>
            <w:proofErr w:type="spellStart"/>
            <w:r w:rsidRPr="00C65CEB">
              <w:rPr>
                <w:sz w:val="16"/>
                <w:szCs w:val="16"/>
              </w:rPr>
              <w:t>Radiopha</w:t>
            </w:r>
            <w:proofErr w:type="spellEnd"/>
          </w:p>
        </w:tc>
        <w:tc>
          <w:tcPr>
            <w:tcW w:w="1138" w:type="dxa"/>
            <w:noWrap/>
            <w:hideMark/>
          </w:tcPr>
          <w:p w14:paraId="1882E7F2" w14:textId="77777777" w:rsidR="002E5ED0" w:rsidRPr="00C65CEB" w:rsidRDefault="002E5ED0" w:rsidP="005C2DD3">
            <w:pPr>
              <w:rPr>
                <w:sz w:val="16"/>
                <w:szCs w:val="16"/>
              </w:rPr>
            </w:pPr>
            <w:r w:rsidRPr="00C65CEB">
              <w:rPr>
                <w:sz w:val="16"/>
                <w:szCs w:val="16"/>
              </w:rPr>
              <w:t>0%</w:t>
            </w:r>
          </w:p>
        </w:tc>
        <w:tc>
          <w:tcPr>
            <w:tcW w:w="1139" w:type="dxa"/>
            <w:noWrap/>
            <w:hideMark/>
          </w:tcPr>
          <w:p w14:paraId="7108DF8A" w14:textId="77777777" w:rsidR="002E5ED0" w:rsidRPr="00C65CEB" w:rsidRDefault="002E5ED0" w:rsidP="005C2DD3">
            <w:pPr>
              <w:rPr>
                <w:sz w:val="16"/>
                <w:szCs w:val="16"/>
              </w:rPr>
            </w:pPr>
            <w:r w:rsidRPr="00C65CEB">
              <w:rPr>
                <w:sz w:val="16"/>
                <w:szCs w:val="16"/>
              </w:rPr>
              <w:t>1%</w:t>
            </w:r>
          </w:p>
        </w:tc>
        <w:tc>
          <w:tcPr>
            <w:tcW w:w="1138" w:type="dxa"/>
            <w:noWrap/>
            <w:hideMark/>
          </w:tcPr>
          <w:p w14:paraId="7C74ACE9" w14:textId="77777777" w:rsidR="002E5ED0" w:rsidRPr="00C65CEB" w:rsidRDefault="002E5ED0" w:rsidP="005C2DD3">
            <w:pPr>
              <w:rPr>
                <w:sz w:val="16"/>
                <w:szCs w:val="16"/>
              </w:rPr>
            </w:pPr>
            <w:r w:rsidRPr="00C65CEB">
              <w:rPr>
                <w:sz w:val="16"/>
                <w:szCs w:val="16"/>
              </w:rPr>
              <w:t>0%</w:t>
            </w:r>
          </w:p>
        </w:tc>
        <w:tc>
          <w:tcPr>
            <w:tcW w:w="1139" w:type="dxa"/>
            <w:noWrap/>
            <w:hideMark/>
          </w:tcPr>
          <w:p w14:paraId="231A698C" w14:textId="77777777" w:rsidR="002E5ED0" w:rsidRPr="00C65CEB" w:rsidRDefault="002E5ED0" w:rsidP="005C2DD3">
            <w:pPr>
              <w:rPr>
                <w:sz w:val="16"/>
                <w:szCs w:val="16"/>
              </w:rPr>
            </w:pPr>
            <w:r w:rsidRPr="00C65CEB">
              <w:rPr>
                <w:sz w:val="16"/>
                <w:szCs w:val="16"/>
              </w:rPr>
              <w:t>0%</w:t>
            </w:r>
          </w:p>
        </w:tc>
        <w:tc>
          <w:tcPr>
            <w:tcW w:w="1138" w:type="dxa"/>
            <w:noWrap/>
            <w:hideMark/>
          </w:tcPr>
          <w:p w14:paraId="474FDFEC" w14:textId="77777777" w:rsidR="002E5ED0" w:rsidRPr="00C65CEB" w:rsidRDefault="002E5ED0" w:rsidP="005C2DD3">
            <w:pPr>
              <w:rPr>
                <w:sz w:val="16"/>
                <w:szCs w:val="16"/>
              </w:rPr>
            </w:pPr>
            <w:r w:rsidRPr="00C65CEB">
              <w:rPr>
                <w:sz w:val="16"/>
                <w:szCs w:val="16"/>
              </w:rPr>
              <w:t>0%</w:t>
            </w:r>
          </w:p>
        </w:tc>
        <w:tc>
          <w:tcPr>
            <w:tcW w:w="1139" w:type="dxa"/>
            <w:noWrap/>
            <w:hideMark/>
          </w:tcPr>
          <w:p w14:paraId="5E4E4630" w14:textId="77777777" w:rsidR="002E5ED0" w:rsidRPr="00C65CEB" w:rsidRDefault="002E5ED0" w:rsidP="005C2DD3">
            <w:pPr>
              <w:rPr>
                <w:sz w:val="16"/>
                <w:szCs w:val="16"/>
              </w:rPr>
            </w:pPr>
            <w:r w:rsidRPr="00C65CEB">
              <w:rPr>
                <w:sz w:val="16"/>
                <w:szCs w:val="16"/>
              </w:rPr>
              <w:t>0%</w:t>
            </w:r>
          </w:p>
        </w:tc>
        <w:tc>
          <w:tcPr>
            <w:tcW w:w="1139" w:type="dxa"/>
            <w:noWrap/>
            <w:hideMark/>
          </w:tcPr>
          <w:p w14:paraId="7BE77706" w14:textId="77777777" w:rsidR="002E5ED0" w:rsidRPr="00C65CEB" w:rsidRDefault="002E5ED0" w:rsidP="005C2DD3">
            <w:pPr>
              <w:rPr>
                <w:b/>
                <w:bCs/>
                <w:sz w:val="16"/>
                <w:szCs w:val="16"/>
              </w:rPr>
            </w:pPr>
            <w:r w:rsidRPr="00C65CEB">
              <w:rPr>
                <w:b/>
                <w:bCs/>
                <w:sz w:val="16"/>
                <w:szCs w:val="16"/>
              </w:rPr>
              <w:t>1%</w:t>
            </w:r>
          </w:p>
        </w:tc>
      </w:tr>
      <w:tr w:rsidR="002E5ED0" w:rsidRPr="00C65CEB" w14:paraId="153FBA0E" w14:textId="77777777" w:rsidTr="005C2DD3">
        <w:trPr>
          <w:trHeight w:val="420"/>
        </w:trPr>
        <w:tc>
          <w:tcPr>
            <w:tcW w:w="1092" w:type="dxa"/>
            <w:noWrap/>
            <w:hideMark/>
          </w:tcPr>
          <w:p w14:paraId="75D4C7E6" w14:textId="77777777" w:rsidR="002E5ED0" w:rsidRPr="00C65CEB" w:rsidRDefault="002E5ED0" w:rsidP="005C2DD3">
            <w:pPr>
              <w:rPr>
                <w:b/>
                <w:bCs/>
                <w:sz w:val="16"/>
                <w:szCs w:val="16"/>
              </w:rPr>
            </w:pPr>
            <w:r w:rsidRPr="00C65CEB">
              <w:rPr>
                <w:b/>
                <w:bCs/>
                <w:sz w:val="16"/>
                <w:szCs w:val="16"/>
              </w:rPr>
              <w:t>Grand Total</w:t>
            </w:r>
          </w:p>
        </w:tc>
        <w:tc>
          <w:tcPr>
            <w:tcW w:w="1138" w:type="dxa"/>
            <w:noWrap/>
            <w:hideMark/>
          </w:tcPr>
          <w:p w14:paraId="7F05ABFA" w14:textId="77777777" w:rsidR="002E5ED0" w:rsidRPr="00C65CEB" w:rsidRDefault="002E5ED0" w:rsidP="005C2DD3">
            <w:pPr>
              <w:rPr>
                <w:b/>
                <w:bCs/>
                <w:sz w:val="16"/>
                <w:szCs w:val="16"/>
              </w:rPr>
            </w:pPr>
            <w:r w:rsidRPr="00C65CEB">
              <w:rPr>
                <w:b/>
                <w:bCs/>
                <w:sz w:val="16"/>
                <w:szCs w:val="16"/>
              </w:rPr>
              <w:t>1%</w:t>
            </w:r>
          </w:p>
        </w:tc>
        <w:tc>
          <w:tcPr>
            <w:tcW w:w="1139" w:type="dxa"/>
            <w:noWrap/>
            <w:hideMark/>
          </w:tcPr>
          <w:p w14:paraId="17A3858B" w14:textId="77777777" w:rsidR="002E5ED0" w:rsidRPr="00C65CEB" w:rsidRDefault="002E5ED0" w:rsidP="005C2DD3">
            <w:pPr>
              <w:rPr>
                <w:b/>
                <w:bCs/>
                <w:sz w:val="16"/>
                <w:szCs w:val="16"/>
              </w:rPr>
            </w:pPr>
            <w:r w:rsidRPr="00C65CEB">
              <w:rPr>
                <w:b/>
                <w:bCs/>
                <w:sz w:val="16"/>
                <w:szCs w:val="16"/>
              </w:rPr>
              <w:t>68%</w:t>
            </w:r>
          </w:p>
        </w:tc>
        <w:tc>
          <w:tcPr>
            <w:tcW w:w="1138" w:type="dxa"/>
            <w:noWrap/>
            <w:hideMark/>
          </w:tcPr>
          <w:p w14:paraId="7746D260" w14:textId="77777777" w:rsidR="002E5ED0" w:rsidRPr="00C65CEB" w:rsidRDefault="002E5ED0" w:rsidP="005C2DD3">
            <w:pPr>
              <w:rPr>
                <w:b/>
                <w:bCs/>
                <w:sz w:val="16"/>
                <w:szCs w:val="16"/>
              </w:rPr>
            </w:pPr>
            <w:r w:rsidRPr="00C65CEB">
              <w:rPr>
                <w:b/>
                <w:bCs/>
                <w:sz w:val="16"/>
                <w:szCs w:val="16"/>
              </w:rPr>
              <w:t>1%</w:t>
            </w:r>
          </w:p>
        </w:tc>
        <w:tc>
          <w:tcPr>
            <w:tcW w:w="1139" w:type="dxa"/>
            <w:noWrap/>
            <w:hideMark/>
          </w:tcPr>
          <w:p w14:paraId="7301A582" w14:textId="77777777" w:rsidR="002E5ED0" w:rsidRPr="00C65CEB" w:rsidRDefault="002E5ED0" w:rsidP="005C2DD3">
            <w:pPr>
              <w:rPr>
                <w:b/>
                <w:bCs/>
                <w:sz w:val="16"/>
                <w:szCs w:val="16"/>
              </w:rPr>
            </w:pPr>
            <w:r w:rsidRPr="00C65CEB">
              <w:rPr>
                <w:b/>
                <w:bCs/>
                <w:sz w:val="16"/>
                <w:szCs w:val="16"/>
              </w:rPr>
              <w:t>7%</w:t>
            </w:r>
          </w:p>
        </w:tc>
        <w:tc>
          <w:tcPr>
            <w:tcW w:w="1138" w:type="dxa"/>
            <w:noWrap/>
            <w:hideMark/>
          </w:tcPr>
          <w:p w14:paraId="21375727" w14:textId="77777777" w:rsidR="002E5ED0" w:rsidRPr="00C65CEB" w:rsidRDefault="002E5ED0" w:rsidP="005C2DD3">
            <w:pPr>
              <w:rPr>
                <w:b/>
                <w:bCs/>
                <w:sz w:val="16"/>
                <w:szCs w:val="16"/>
              </w:rPr>
            </w:pPr>
            <w:r w:rsidRPr="00C65CEB">
              <w:rPr>
                <w:b/>
                <w:bCs/>
                <w:sz w:val="16"/>
                <w:szCs w:val="16"/>
              </w:rPr>
              <w:t>13%</w:t>
            </w:r>
          </w:p>
        </w:tc>
        <w:tc>
          <w:tcPr>
            <w:tcW w:w="1139" w:type="dxa"/>
            <w:noWrap/>
            <w:hideMark/>
          </w:tcPr>
          <w:p w14:paraId="63172E6F" w14:textId="77777777" w:rsidR="002E5ED0" w:rsidRPr="00C65CEB" w:rsidRDefault="002E5ED0" w:rsidP="005C2DD3">
            <w:pPr>
              <w:rPr>
                <w:b/>
                <w:bCs/>
                <w:sz w:val="16"/>
                <w:szCs w:val="16"/>
              </w:rPr>
            </w:pPr>
            <w:r w:rsidRPr="00C65CEB">
              <w:rPr>
                <w:b/>
                <w:bCs/>
                <w:sz w:val="16"/>
                <w:szCs w:val="16"/>
              </w:rPr>
              <w:t>8%</w:t>
            </w:r>
          </w:p>
        </w:tc>
        <w:tc>
          <w:tcPr>
            <w:tcW w:w="1139" w:type="dxa"/>
            <w:noWrap/>
            <w:hideMark/>
          </w:tcPr>
          <w:p w14:paraId="0B5D4C2B" w14:textId="77777777" w:rsidR="002E5ED0" w:rsidRPr="00C65CEB" w:rsidRDefault="002E5ED0" w:rsidP="005C2DD3">
            <w:pPr>
              <w:rPr>
                <w:b/>
                <w:bCs/>
                <w:sz w:val="16"/>
                <w:szCs w:val="16"/>
              </w:rPr>
            </w:pPr>
            <w:r w:rsidRPr="00C65CEB">
              <w:rPr>
                <w:b/>
                <w:bCs/>
                <w:sz w:val="16"/>
                <w:szCs w:val="16"/>
              </w:rPr>
              <w:t>100%</w:t>
            </w:r>
          </w:p>
        </w:tc>
      </w:tr>
    </w:tbl>
    <w:p w14:paraId="119B9131" w14:textId="77777777" w:rsidR="00AD4C5A" w:rsidRPr="00AD4C5A" w:rsidRDefault="00AD4C5A" w:rsidP="00AD4C5A">
      <w:pPr>
        <w:rPr>
          <w:i/>
          <w:iCs/>
          <w:sz w:val="18"/>
          <w:szCs w:val="18"/>
          <w:lang w:val="en-GB"/>
        </w:rPr>
      </w:pPr>
      <w:r w:rsidRPr="00AD4C5A">
        <w:rPr>
          <w:i/>
          <w:iCs/>
          <w:sz w:val="18"/>
          <w:szCs w:val="18"/>
          <w:lang w:val="en-GB"/>
        </w:rPr>
        <w:t>Figure 2: type of application and status – in percentage (WAIT indicator – submitted dossiers only)</w:t>
      </w:r>
    </w:p>
    <w:p w14:paraId="48D179E9" w14:textId="3F34F12F" w:rsidR="002E5ED0" w:rsidRPr="00AD4C5A" w:rsidRDefault="002E5ED0" w:rsidP="002E5ED0">
      <w:pPr>
        <w:rPr>
          <w:i/>
          <w:iCs/>
          <w:sz w:val="18"/>
          <w:szCs w:val="18"/>
          <w:highlight w:val="green"/>
          <w:lang w:val="en-GB"/>
        </w:rPr>
      </w:pPr>
    </w:p>
    <w:p w14:paraId="583A8DA2" w14:textId="77777777" w:rsidR="00AD4C5A" w:rsidRPr="00AD4C5A" w:rsidRDefault="00AD4C5A" w:rsidP="00AD4C5A">
      <w:pPr>
        <w:jc w:val="both"/>
        <w:rPr>
          <w:lang w:val="en-GB"/>
        </w:rPr>
      </w:pPr>
      <w:r w:rsidRPr="00AD4C5A">
        <w:rPr>
          <w:lang w:val="en-GB"/>
        </w:rPr>
        <w:t>Of the 35 new medicines included in the current WAIT indicator compared to the previous analysis:</w:t>
      </w:r>
    </w:p>
    <w:p w14:paraId="59587351" w14:textId="77777777" w:rsidR="00AD4C5A" w:rsidRPr="00AD4C5A" w:rsidRDefault="00AD4C5A" w:rsidP="00AD4C5A">
      <w:pPr>
        <w:numPr>
          <w:ilvl w:val="0"/>
          <w:numId w:val="13"/>
        </w:numPr>
        <w:jc w:val="both"/>
        <w:rPr>
          <w:lang w:val="en-GB"/>
        </w:rPr>
      </w:pPr>
      <w:r w:rsidRPr="00AD4C5A">
        <w:rPr>
          <w:lang w:val="en-GB"/>
        </w:rPr>
        <w:t>10 have not (yet) been the subject of an application,</w:t>
      </w:r>
    </w:p>
    <w:p w14:paraId="314CC0BF" w14:textId="77777777" w:rsidR="00AD4C5A" w:rsidRPr="00AD4C5A" w:rsidRDefault="00AD4C5A" w:rsidP="00AD4C5A">
      <w:pPr>
        <w:numPr>
          <w:ilvl w:val="0"/>
          <w:numId w:val="13"/>
        </w:numPr>
        <w:jc w:val="both"/>
        <w:rPr>
          <w:lang w:val="en-GB"/>
        </w:rPr>
      </w:pPr>
      <w:r w:rsidRPr="00AD4C5A">
        <w:rPr>
          <w:lang w:val="en-GB"/>
        </w:rPr>
        <w:t>18 are already reimbursed,</w:t>
      </w:r>
    </w:p>
    <w:p w14:paraId="688B1C73" w14:textId="77777777" w:rsidR="00AD4C5A" w:rsidRPr="00AD4C5A" w:rsidRDefault="00AD4C5A" w:rsidP="00AD4C5A">
      <w:pPr>
        <w:numPr>
          <w:ilvl w:val="0"/>
          <w:numId w:val="13"/>
        </w:numPr>
        <w:jc w:val="both"/>
        <w:rPr>
          <w:lang w:val="en-GB"/>
        </w:rPr>
      </w:pPr>
      <w:r w:rsidRPr="00AD4C5A">
        <w:rPr>
          <w:lang w:val="en-GB"/>
        </w:rPr>
        <w:t>6 dossiers are still under evaluation,</w:t>
      </w:r>
    </w:p>
    <w:p w14:paraId="3BCF6967" w14:textId="77777777" w:rsidR="00AD4C5A" w:rsidRPr="00AD4C5A" w:rsidRDefault="00AD4C5A" w:rsidP="00AD4C5A">
      <w:pPr>
        <w:numPr>
          <w:ilvl w:val="0"/>
          <w:numId w:val="13"/>
        </w:numPr>
        <w:jc w:val="both"/>
        <w:rPr>
          <w:lang w:val="en-GB"/>
        </w:rPr>
      </w:pPr>
      <w:r w:rsidRPr="00AD4C5A">
        <w:rPr>
          <w:lang w:val="en-GB"/>
        </w:rPr>
        <w:t>and 1 dossier has been closed (withdrawn by the company).</w:t>
      </w:r>
    </w:p>
    <w:p w14:paraId="6F3CDB32" w14:textId="77777777" w:rsidR="00AD4C5A" w:rsidRPr="00AD4C5A" w:rsidRDefault="00AD4C5A" w:rsidP="00AD4C5A">
      <w:pPr>
        <w:jc w:val="both"/>
        <w:rPr>
          <w:lang w:val="en-GB"/>
        </w:rPr>
      </w:pPr>
    </w:p>
    <w:tbl>
      <w:tblPr>
        <w:tblStyle w:val="TableGrid"/>
        <w:tblW w:w="9067" w:type="dxa"/>
        <w:tblLayout w:type="fixed"/>
        <w:tblLook w:val="04A0" w:firstRow="1" w:lastRow="0" w:firstColumn="1" w:lastColumn="0" w:noHBand="0" w:noVBand="1"/>
      </w:tblPr>
      <w:tblGrid>
        <w:gridCol w:w="1190"/>
        <w:gridCol w:w="1968"/>
        <w:gridCol w:w="1968"/>
        <w:gridCol w:w="1968"/>
        <w:gridCol w:w="1973"/>
      </w:tblGrid>
      <w:tr w:rsidR="00316E0A" w:rsidRPr="00882FA6" w14:paraId="76923D2A" w14:textId="77777777" w:rsidTr="004623C8">
        <w:trPr>
          <w:trHeight w:val="420"/>
        </w:trPr>
        <w:tc>
          <w:tcPr>
            <w:tcW w:w="1190" w:type="dxa"/>
            <w:noWrap/>
            <w:hideMark/>
          </w:tcPr>
          <w:p w14:paraId="35A2238F" w14:textId="77777777" w:rsidR="00316E0A" w:rsidRPr="00AD4C5A" w:rsidRDefault="00316E0A" w:rsidP="005C2DD3">
            <w:pPr>
              <w:rPr>
                <w:b/>
                <w:bCs/>
                <w:sz w:val="16"/>
                <w:szCs w:val="16"/>
                <w:lang w:val="en-GB"/>
              </w:rPr>
            </w:pPr>
          </w:p>
        </w:tc>
        <w:tc>
          <w:tcPr>
            <w:tcW w:w="1968" w:type="dxa"/>
            <w:noWrap/>
            <w:hideMark/>
          </w:tcPr>
          <w:p w14:paraId="283AE384" w14:textId="77777777" w:rsidR="00316E0A" w:rsidRPr="00882FA6" w:rsidRDefault="00316E0A" w:rsidP="005C2DD3">
            <w:pPr>
              <w:rPr>
                <w:b/>
                <w:bCs/>
                <w:sz w:val="16"/>
                <w:szCs w:val="16"/>
              </w:rPr>
            </w:pPr>
            <w:proofErr w:type="spellStart"/>
            <w:r w:rsidRPr="00882FA6">
              <w:rPr>
                <w:b/>
                <w:bCs/>
                <w:sz w:val="16"/>
                <w:szCs w:val="16"/>
              </w:rPr>
              <w:t>Currently</w:t>
            </w:r>
            <w:proofErr w:type="spellEnd"/>
            <w:r w:rsidRPr="00882FA6">
              <w:rPr>
                <w:b/>
                <w:bCs/>
                <w:sz w:val="16"/>
                <w:szCs w:val="16"/>
              </w:rPr>
              <w:t xml:space="preserve"> </w:t>
            </w:r>
            <w:proofErr w:type="spellStart"/>
            <w:r w:rsidRPr="00882FA6">
              <w:rPr>
                <w:b/>
                <w:bCs/>
                <w:sz w:val="16"/>
                <w:szCs w:val="16"/>
              </w:rPr>
              <w:t>Reimbursed</w:t>
            </w:r>
            <w:proofErr w:type="spellEnd"/>
          </w:p>
        </w:tc>
        <w:tc>
          <w:tcPr>
            <w:tcW w:w="1968" w:type="dxa"/>
            <w:noWrap/>
            <w:hideMark/>
          </w:tcPr>
          <w:p w14:paraId="76370C20" w14:textId="77777777" w:rsidR="00316E0A" w:rsidRPr="00882FA6" w:rsidRDefault="00316E0A" w:rsidP="005C2DD3">
            <w:pPr>
              <w:rPr>
                <w:b/>
                <w:bCs/>
                <w:sz w:val="16"/>
                <w:szCs w:val="16"/>
              </w:rPr>
            </w:pPr>
            <w:proofErr w:type="spellStart"/>
            <w:r w:rsidRPr="00882FA6">
              <w:rPr>
                <w:b/>
                <w:bCs/>
                <w:sz w:val="16"/>
                <w:szCs w:val="16"/>
              </w:rPr>
              <w:t>Ongoing</w:t>
            </w:r>
            <w:proofErr w:type="spellEnd"/>
          </w:p>
        </w:tc>
        <w:tc>
          <w:tcPr>
            <w:tcW w:w="1968" w:type="dxa"/>
            <w:noWrap/>
            <w:hideMark/>
          </w:tcPr>
          <w:p w14:paraId="38D92B46" w14:textId="77777777" w:rsidR="00316E0A" w:rsidRPr="00882FA6" w:rsidRDefault="00316E0A" w:rsidP="005C2DD3">
            <w:pPr>
              <w:rPr>
                <w:b/>
                <w:bCs/>
                <w:sz w:val="16"/>
                <w:szCs w:val="16"/>
              </w:rPr>
            </w:pPr>
            <w:proofErr w:type="spellStart"/>
            <w:r w:rsidRPr="00882FA6">
              <w:rPr>
                <w:b/>
                <w:bCs/>
                <w:sz w:val="16"/>
                <w:szCs w:val="16"/>
              </w:rPr>
              <w:t>Withdrawn</w:t>
            </w:r>
            <w:proofErr w:type="spellEnd"/>
          </w:p>
        </w:tc>
        <w:tc>
          <w:tcPr>
            <w:tcW w:w="1973" w:type="dxa"/>
            <w:noWrap/>
            <w:hideMark/>
          </w:tcPr>
          <w:p w14:paraId="7E5DFBCF" w14:textId="77777777" w:rsidR="00316E0A" w:rsidRPr="00882FA6" w:rsidRDefault="00316E0A" w:rsidP="005C2DD3">
            <w:pPr>
              <w:rPr>
                <w:b/>
                <w:bCs/>
                <w:sz w:val="16"/>
                <w:szCs w:val="16"/>
              </w:rPr>
            </w:pPr>
            <w:r w:rsidRPr="00882FA6">
              <w:rPr>
                <w:b/>
                <w:bCs/>
                <w:sz w:val="16"/>
                <w:szCs w:val="16"/>
              </w:rPr>
              <w:t>Grand Total</w:t>
            </w:r>
          </w:p>
        </w:tc>
      </w:tr>
      <w:tr w:rsidR="00316E0A" w:rsidRPr="00882FA6" w14:paraId="1F4D7FBF" w14:textId="77777777" w:rsidTr="004623C8">
        <w:trPr>
          <w:trHeight w:val="420"/>
        </w:trPr>
        <w:tc>
          <w:tcPr>
            <w:tcW w:w="1190" w:type="dxa"/>
            <w:noWrap/>
            <w:hideMark/>
          </w:tcPr>
          <w:p w14:paraId="634175F5" w14:textId="77777777" w:rsidR="00316E0A" w:rsidRPr="00882FA6" w:rsidRDefault="00316E0A" w:rsidP="005C2DD3">
            <w:pPr>
              <w:jc w:val="right"/>
              <w:rPr>
                <w:sz w:val="16"/>
                <w:szCs w:val="16"/>
              </w:rPr>
            </w:pPr>
            <w:r w:rsidRPr="00882FA6">
              <w:rPr>
                <w:sz w:val="16"/>
                <w:szCs w:val="16"/>
              </w:rPr>
              <w:t>Class 1</w:t>
            </w:r>
          </w:p>
        </w:tc>
        <w:tc>
          <w:tcPr>
            <w:tcW w:w="1968" w:type="dxa"/>
            <w:noWrap/>
            <w:hideMark/>
          </w:tcPr>
          <w:p w14:paraId="61572207" w14:textId="77777777" w:rsidR="00316E0A" w:rsidRPr="00882FA6" w:rsidRDefault="00316E0A" w:rsidP="00B127B2">
            <w:pPr>
              <w:jc w:val="right"/>
              <w:rPr>
                <w:sz w:val="16"/>
                <w:szCs w:val="16"/>
              </w:rPr>
            </w:pPr>
            <w:r w:rsidRPr="00882FA6">
              <w:rPr>
                <w:sz w:val="16"/>
                <w:szCs w:val="16"/>
              </w:rPr>
              <w:t>6</w:t>
            </w:r>
          </w:p>
        </w:tc>
        <w:tc>
          <w:tcPr>
            <w:tcW w:w="1968" w:type="dxa"/>
            <w:noWrap/>
            <w:hideMark/>
          </w:tcPr>
          <w:p w14:paraId="66C14134" w14:textId="77777777" w:rsidR="00316E0A" w:rsidRPr="00882FA6" w:rsidRDefault="00316E0A" w:rsidP="00B127B2">
            <w:pPr>
              <w:jc w:val="right"/>
              <w:rPr>
                <w:sz w:val="16"/>
                <w:szCs w:val="16"/>
              </w:rPr>
            </w:pPr>
            <w:r w:rsidRPr="00882FA6">
              <w:rPr>
                <w:sz w:val="16"/>
                <w:szCs w:val="16"/>
              </w:rPr>
              <w:t>2</w:t>
            </w:r>
          </w:p>
        </w:tc>
        <w:tc>
          <w:tcPr>
            <w:tcW w:w="1968" w:type="dxa"/>
            <w:noWrap/>
            <w:hideMark/>
          </w:tcPr>
          <w:p w14:paraId="1EEF5FDA" w14:textId="77777777" w:rsidR="00316E0A" w:rsidRPr="00882FA6" w:rsidRDefault="00316E0A" w:rsidP="00B127B2">
            <w:pPr>
              <w:jc w:val="right"/>
              <w:rPr>
                <w:sz w:val="16"/>
                <w:szCs w:val="16"/>
              </w:rPr>
            </w:pPr>
          </w:p>
        </w:tc>
        <w:tc>
          <w:tcPr>
            <w:tcW w:w="1973" w:type="dxa"/>
            <w:noWrap/>
            <w:hideMark/>
          </w:tcPr>
          <w:p w14:paraId="603D009D" w14:textId="77777777" w:rsidR="00316E0A" w:rsidRPr="00882FA6" w:rsidRDefault="00316E0A" w:rsidP="00B127B2">
            <w:pPr>
              <w:jc w:val="right"/>
              <w:rPr>
                <w:b/>
                <w:bCs/>
                <w:sz w:val="16"/>
                <w:szCs w:val="16"/>
              </w:rPr>
            </w:pPr>
            <w:r w:rsidRPr="00882FA6">
              <w:rPr>
                <w:b/>
                <w:bCs/>
                <w:sz w:val="16"/>
                <w:szCs w:val="16"/>
              </w:rPr>
              <w:t>8</w:t>
            </w:r>
          </w:p>
        </w:tc>
      </w:tr>
      <w:tr w:rsidR="00316E0A" w:rsidRPr="00882FA6" w14:paraId="06290DF7" w14:textId="77777777" w:rsidTr="004623C8">
        <w:trPr>
          <w:trHeight w:val="420"/>
        </w:trPr>
        <w:tc>
          <w:tcPr>
            <w:tcW w:w="1190" w:type="dxa"/>
            <w:noWrap/>
            <w:hideMark/>
          </w:tcPr>
          <w:p w14:paraId="7B2A8DC3" w14:textId="77777777" w:rsidR="00316E0A" w:rsidRPr="00882FA6" w:rsidRDefault="00316E0A" w:rsidP="005C2DD3">
            <w:pPr>
              <w:jc w:val="right"/>
              <w:rPr>
                <w:sz w:val="16"/>
                <w:szCs w:val="16"/>
              </w:rPr>
            </w:pPr>
            <w:r w:rsidRPr="00882FA6">
              <w:rPr>
                <w:sz w:val="16"/>
                <w:szCs w:val="16"/>
              </w:rPr>
              <w:t>Class 2</w:t>
            </w:r>
          </w:p>
        </w:tc>
        <w:tc>
          <w:tcPr>
            <w:tcW w:w="1968" w:type="dxa"/>
            <w:noWrap/>
            <w:hideMark/>
          </w:tcPr>
          <w:p w14:paraId="2A8D67B4" w14:textId="77777777" w:rsidR="00316E0A" w:rsidRPr="00882FA6" w:rsidRDefault="00316E0A" w:rsidP="00B127B2">
            <w:pPr>
              <w:jc w:val="right"/>
              <w:rPr>
                <w:sz w:val="16"/>
                <w:szCs w:val="16"/>
              </w:rPr>
            </w:pPr>
            <w:r w:rsidRPr="00882FA6">
              <w:rPr>
                <w:sz w:val="16"/>
                <w:szCs w:val="16"/>
              </w:rPr>
              <w:t>8</w:t>
            </w:r>
          </w:p>
        </w:tc>
        <w:tc>
          <w:tcPr>
            <w:tcW w:w="1968" w:type="dxa"/>
            <w:noWrap/>
            <w:hideMark/>
          </w:tcPr>
          <w:p w14:paraId="0DD03398" w14:textId="77777777" w:rsidR="00316E0A" w:rsidRPr="00882FA6" w:rsidRDefault="00316E0A" w:rsidP="00B127B2">
            <w:pPr>
              <w:jc w:val="right"/>
              <w:rPr>
                <w:sz w:val="16"/>
                <w:szCs w:val="16"/>
              </w:rPr>
            </w:pPr>
            <w:r w:rsidRPr="00882FA6">
              <w:rPr>
                <w:sz w:val="16"/>
                <w:szCs w:val="16"/>
              </w:rPr>
              <w:t>2</w:t>
            </w:r>
          </w:p>
        </w:tc>
        <w:tc>
          <w:tcPr>
            <w:tcW w:w="1968" w:type="dxa"/>
            <w:noWrap/>
            <w:hideMark/>
          </w:tcPr>
          <w:p w14:paraId="07580179" w14:textId="77777777" w:rsidR="00316E0A" w:rsidRPr="00882FA6" w:rsidRDefault="00316E0A" w:rsidP="00B127B2">
            <w:pPr>
              <w:jc w:val="right"/>
              <w:rPr>
                <w:sz w:val="16"/>
                <w:szCs w:val="16"/>
              </w:rPr>
            </w:pPr>
          </w:p>
        </w:tc>
        <w:tc>
          <w:tcPr>
            <w:tcW w:w="1973" w:type="dxa"/>
            <w:noWrap/>
            <w:hideMark/>
          </w:tcPr>
          <w:p w14:paraId="563D3BB9" w14:textId="77777777" w:rsidR="00316E0A" w:rsidRPr="00882FA6" w:rsidRDefault="00316E0A" w:rsidP="00B127B2">
            <w:pPr>
              <w:jc w:val="right"/>
              <w:rPr>
                <w:b/>
                <w:bCs/>
                <w:sz w:val="16"/>
                <w:szCs w:val="16"/>
              </w:rPr>
            </w:pPr>
            <w:r w:rsidRPr="00882FA6">
              <w:rPr>
                <w:b/>
                <w:bCs/>
                <w:sz w:val="16"/>
                <w:szCs w:val="16"/>
              </w:rPr>
              <w:t>10</w:t>
            </w:r>
          </w:p>
        </w:tc>
      </w:tr>
      <w:tr w:rsidR="00316E0A" w:rsidRPr="00882FA6" w14:paraId="299D53FA" w14:textId="77777777" w:rsidTr="004623C8">
        <w:trPr>
          <w:trHeight w:val="420"/>
        </w:trPr>
        <w:tc>
          <w:tcPr>
            <w:tcW w:w="1190" w:type="dxa"/>
            <w:noWrap/>
            <w:hideMark/>
          </w:tcPr>
          <w:p w14:paraId="70096377" w14:textId="77777777" w:rsidR="00316E0A" w:rsidRPr="00882FA6" w:rsidRDefault="00316E0A" w:rsidP="005C2DD3">
            <w:pPr>
              <w:jc w:val="right"/>
              <w:rPr>
                <w:sz w:val="16"/>
                <w:szCs w:val="16"/>
              </w:rPr>
            </w:pPr>
            <w:proofErr w:type="spellStart"/>
            <w:r w:rsidRPr="00882FA6">
              <w:rPr>
                <w:sz w:val="16"/>
                <w:szCs w:val="16"/>
              </w:rPr>
              <w:t>Orphan</w:t>
            </w:r>
            <w:proofErr w:type="spellEnd"/>
          </w:p>
        </w:tc>
        <w:tc>
          <w:tcPr>
            <w:tcW w:w="1968" w:type="dxa"/>
            <w:noWrap/>
            <w:hideMark/>
          </w:tcPr>
          <w:p w14:paraId="3339C8EA" w14:textId="77777777" w:rsidR="00316E0A" w:rsidRPr="00882FA6" w:rsidRDefault="00316E0A" w:rsidP="00B127B2">
            <w:pPr>
              <w:jc w:val="right"/>
              <w:rPr>
                <w:sz w:val="16"/>
                <w:szCs w:val="16"/>
              </w:rPr>
            </w:pPr>
            <w:r w:rsidRPr="00882FA6">
              <w:rPr>
                <w:sz w:val="16"/>
                <w:szCs w:val="16"/>
              </w:rPr>
              <w:t>4</w:t>
            </w:r>
          </w:p>
        </w:tc>
        <w:tc>
          <w:tcPr>
            <w:tcW w:w="1968" w:type="dxa"/>
            <w:noWrap/>
            <w:hideMark/>
          </w:tcPr>
          <w:p w14:paraId="4ADD7613" w14:textId="77777777" w:rsidR="00316E0A" w:rsidRPr="00882FA6" w:rsidRDefault="00316E0A" w:rsidP="00B127B2">
            <w:pPr>
              <w:jc w:val="right"/>
              <w:rPr>
                <w:sz w:val="16"/>
                <w:szCs w:val="16"/>
              </w:rPr>
            </w:pPr>
            <w:r w:rsidRPr="00882FA6">
              <w:rPr>
                <w:sz w:val="16"/>
                <w:szCs w:val="16"/>
              </w:rPr>
              <w:t>2</w:t>
            </w:r>
          </w:p>
        </w:tc>
        <w:tc>
          <w:tcPr>
            <w:tcW w:w="1968" w:type="dxa"/>
            <w:noWrap/>
            <w:hideMark/>
          </w:tcPr>
          <w:p w14:paraId="2D07922B" w14:textId="77777777" w:rsidR="00316E0A" w:rsidRPr="00882FA6" w:rsidRDefault="00316E0A" w:rsidP="00B127B2">
            <w:pPr>
              <w:jc w:val="right"/>
              <w:rPr>
                <w:sz w:val="16"/>
                <w:szCs w:val="16"/>
              </w:rPr>
            </w:pPr>
            <w:r w:rsidRPr="00882FA6">
              <w:rPr>
                <w:sz w:val="16"/>
                <w:szCs w:val="16"/>
              </w:rPr>
              <w:t>1</w:t>
            </w:r>
          </w:p>
        </w:tc>
        <w:tc>
          <w:tcPr>
            <w:tcW w:w="1973" w:type="dxa"/>
            <w:noWrap/>
            <w:hideMark/>
          </w:tcPr>
          <w:p w14:paraId="167F383E" w14:textId="77777777" w:rsidR="00316E0A" w:rsidRPr="00882FA6" w:rsidRDefault="00316E0A" w:rsidP="00B127B2">
            <w:pPr>
              <w:jc w:val="right"/>
              <w:rPr>
                <w:b/>
                <w:bCs/>
                <w:sz w:val="16"/>
                <w:szCs w:val="16"/>
              </w:rPr>
            </w:pPr>
            <w:r w:rsidRPr="00882FA6">
              <w:rPr>
                <w:b/>
                <w:bCs/>
                <w:sz w:val="16"/>
                <w:szCs w:val="16"/>
              </w:rPr>
              <w:t>7</w:t>
            </w:r>
          </w:p>
        </w:tc>
      </w:tr>
      <w:tr w:rsidR="00316E0A" w:rsidRPr="00882FA6" w14:paraId="44E02A26" w14:textId="77777777" w:rsidTr="004623C8">
        <w:trPr>
          <w:trHeight w:val="420"/>
        </w:trPr>
        <w:tc>
          <w:tcPr>
            <w:tcW w:w="1190" w:type="dxa"/>
            <w:noWrap/>
          </w:tcPr>
          <w:p w14:paraId="13AB732B" w14:textId="77777777" w:rsidR="00316E0A" w:rsidRPr="00882FA6" w:rsidRDefault="00316E0A" w:rsidP="005C2DD3">
            <w:pPr>
              <w:jc w:val="right"/>
              <w:rPr>
                <w:sz w:val="16"/>
                <w:szCs w:val="16"/>
              </w:rPr>
            </w:pPr>
            <w:r w:rsidRPr="00882FA6">
              <w:rPr>
                <w:b/>
                <w:bCs/>
                <w:sz w:val="16"/>
                <w:szCs w:val="16"/>
              </w:rPr>
              <w:t>Grand Total</w:t>
            </w:r>
          </w:p>
        </w:tc>
        <w:tc>
          <w:tcPr>
            <w:tcW w:w="1968" w:type="dxa"/>
            <w:noWrap/>
          </w:tcPr>
          <w:p w14:paraId="336DE7D4" w14:textId="77777777" w:rsidR="00316E0A" w:rsidRPr="00882FA6" w:rsidRDefault="00316E0A" w:rsidP="00B127B2">
            <w:pPr>
              <w:jc w:val="right"/>
              <w:rPr>
                <w:sz w:val="16"/>
                <w:szCs w:val="16"/>
              </w:rPr>
            </w:pPr>
            <w:r w:rsidRPr="00882FA6">
              <w:rPr>
                <w:b/>
                <w:bCs/>
                <w:sz w:val="16"/>
                <w:szCs w:val="16"/>
              </w:rPr>
              <w:t>1</w:t>
            </w:r>
            <w:r>
              <w:rPr>
                <w:b/>
                <w:bCs/>
                <w:sz w:val="16"/>
                <w:szCs w:val="16"/>
              </w:rPr>
              <w:t>8</w:t>
            </w:r>
          </w:p>
        </w:tc>
        <w:tc>
          <w:tcPr>
            <w:tcW w:w="1968" w:type="dxa"/>
            <w:noWrap/>
          </w:tcPr>
          <w:p w14:paraId="1A637421" w14:textId="77777777" w:rsidR="00316E0A" w:rsidRPr="00882FA6" w:rsidRDefault="00316E0A" w:rsidP="00B127B2">
            <w:pPr>
              <w:jc w:val="right"/>
              <w:rPr>
                <w:sz w:val="16"/>
                <w:szCs w:val="16"/>
              </w:rPr>
            </w:pPr>
            <w:r w:rsidRPr="00882FA6">
              <w:rPr>
                <w:b/>
                <w:bCs/>
                <w:sz w:val="16"/>
                <w:szCs w:val="16"/>
              </w:rPr>
              <w:t>6</w:t>
            </w:r>
          </w:p>
        </w:tc>
        <w:tc>
          <w:tcPr>
            <w:tcW w:w="1968" w:type="dxa"/>
            <w:noWrap/>
          </w:tcPr>
          <w:p w14:paraId="746ACDBB" w14:textId="77777777" w:rsidR="00316E0A" w:rsidRPr="00882FA6" w:rsidRDefault="00316E0A" w:rsidP="00B127B2">
            <w:pPr>
              <w:jc w:val="right"/>
              <w:rPr>
                <w:sz w:val="16"/>
                <w:szCs w:val="16"/>
              </w:rPr>
            </w:pPr>
            <w:r w:rsidRPr="00882FA6">
              <w:rPr>
                <w:b/>
                <w:bCs/>
                <w:sz w:val="16"/>
                <w:szCs w:val="16"/>
              </w:rPr>
              <w:t>1</w:t>
            </w:r>
          </w:p>
        </w:tc>
        <w:tc>
          <w:tcPr>
            <w:tcW w:w="1973" w:type="dxa"/>
            <w:noWrap/>
          </w:tcPr>
          <w:p w14:paraId="40638488" w14:textId="77777777" w:rsidR="00316E0A" w:rsidRPr="00882FA6" w:rsidRDefault="00316E0A" w:rsidP="00B127B2">
            <w:pPr>
              <w:jc w:val="right"/>
              <w:rPr>
                <w:b/>
                <w:bCs/>
                <w:sz w:val="16"/>
                <w:szCs w:val="16"/>
              </w:rPr>
            </w:pPr>
            <w:r w:rsidRPr="00882FA6">
              <w:rPr>
                <w:b/>
                <w:bCs/>
                <w:sz w:val="16"/>
                <w:szCs w:val="16"/>
              </w:rPr>
              <w:t>2</w:t>
            </w:r>
            <w:r>
              <w:rPr>
                <w:b/>
                <w:bCs/>
                <w:sz w:val="16"/>
                <w:szCs w:val="16"/>
              </w:rPr>
              <w:t>5</w:t>
            </w:r>
          </w:p>
        </w:tc>
      </w:tr>
    </w:tbl>
    <w:p w14:paraId="1D0807C7" w14:textId="77187B0B" w:rsidR="00316E0A" w:rsidRPr="00AD4C5A" w:rsidRDefault="00AD4C5A" w:rsidP="00316E0A">
      <w:pPr>
        <w:rPr>
          <w:i/>
          <w:iCs/>
          <w:sz w:val="18"/>
          <w:szCs w:val="18"/>
          <w:lang w:val="en-GB"/>
        </w:rPr>
      </w:pPr>
      <w:r w:rsidRPr="00AD4C5A">
        <w:rPr>
          <w:i/>
          <w:iCs/>
          <w:sz w:val="18"/>
          <w:szCs w:val="18"/>
          <w:lang w:val="en-GB"/>
        </w:rPr>
        <w:t>Figure 3: type of application and status – WAIT indicator</w:t>
      </w:r>
    </w:p>
    <w:p w14:paraId="4EF396F9" w14:textId="7BD338CD" w:rsidR="004623C8" w:rsidRPr="00AD4C5A" w:rsidRDefault="004623C8">
      <w:pPr>
        <w:spacing w:line="240" w:lineRule="auto"/>
        <w:rPr>
          <w:b/>
          <w:bCs/>
          <w:lang w:val="en-GB"/>
        </w:rPr>
      </w:pPr>
    </w:p>
    <w:p w14:paraId="63887CFD" w14:textId="4F3F6ADE" w:rsidR="00316E0A" w:rsidRPr="00AD4C5A" w:rsidRDefault="00316E0A">
      <w:pPr>
        <w:spacing w:line="240" w:lineRule="auto"/>
        <w:rPr>
          <w:b/>
          <w:bCs/>
          <w:lang w:val="en-GB"/>
        </w:rPr>
      </w:pPr>
    </w:p>
    <w:p w14:paraId="52332AEC" w14:textId="77777777" w:rsidR="004623C8" w:rsidRPr="00AD4C5A" w:rsidRDefault="004623C8">
      <w:pPr>
        <w:spacing w:line="240" w:lineRule="auto"/>
        <w:rPr>
          <w:b/>
          <w:bCs/>
          <w:lang w:val="en-GB"/>
        </w:rPr>
      </w:pPr>
      <w:r w:rsidRPr="00AD4C5A">
        <w:rPr>
          <w:b/>
          <w:bCs/>
          <w:lang w:val="en-GB"/>
        </w:rPr>
        <w:br w:type="page"/>
      </w:r>
    </w:p>
    <w:p w14:paraId="13FDE67B" w14:textId="57B7B6F9" w:rsidR="00AD4C5A" w:rsidRPr="00AD4C5A" w:rsidRDefault="00AD4C5A" w:rsidP="00AD4C5A">
      <w:pPr>
        <w:rPr>
          <w:b/>
          <w:bCs/>
          <w:lang w:val="fr-BE"/>
        </w:rPr>
      </w:pPr>
      <w:r w:rsidRPr="00AD4C5A">
        <w:rPr>
          <w:b/>
          <w:bCs/>
          <w:lang w:val="fr-BE"/>
        </w:rPr>
        <w:lastRenderedPageBreak/>
        <w:t>PROCESSING TIME ANALYSIS</w:t>
      </w:r>
    </w:p>
    <w:p w14:paraId="08E5BB23" w14:textId="77777777" w:rsidR="00393898" w:rsidRPr="00393898" w:rsidRDefault="00393898" w:rsidP="00393898">
      <w:pPr>
        <w:rPr>
          <w:b/>
          <w:bCs/>
          <w:lang w:val="fr-BE"/>
        </w:rPr>
      </w:pPr>
    </w:p>
    <w:tbl>
      <w:tblPr>
        <w:tblStyle w:val="TableGrid"/>
        <w:tblW w:w="0" w:type="auto"/>
        <w:tblLook w:val="04A0" w:firstRow="1" w:lastRow="0" w:firstColumn="1" w:lastColumn="0" w:noHBand="0" w:noVBand="1"/>
      </w:tblPr>
      <w:tblGrid>
        <w:gridCol w:w="2265"/>
        <w:gridCol w:w="2265"/>
        <w:gridCol w:w="2266"/>
        <w:gridCol w:w="2266"/>
      </w:tblGrid>
      <w:tr w:rsidR="004623C8" w14:paraId="2A7D3BC5" w14:textId="77777777" w:rsidTr="004623C8">
        <w:tc>
          <w:tcPr>
            <w:tcW w:w="2265" w:type="dxa"/>
          </w:tcPr>
          <w:p w14:paraId="05E2A76E" w14:textId="77777777" w:rsidR="004623C8" w:rsidRPr="00393898" w:rsidRDefault="004623C8" w:rsidP="004623C8">
            <w:pPr>
              <w:rPr>
                <w:lang w:val="fr-BE"/>
              </w:rPr>
            </w:pPr>
          </w:p>
        </w:tc>
        <w:tc>
          <w:tcPr>
            <w:tcW w:w="2265" w:type="dxa"/>
          </w:tcPr>
          <w:p w14:paraId="633DE4C6" w14:textId="6BAE0DD2" w:rsidR="004623C8" w:rsidRDefault="004623C8" w:rsidP="004623C8">
            <w:r w:rsidRPr="00A24B27">
              <w:rPr>
                <w:sz w:val="16"/>
                <w:szCs w:val="16"/>
              </w:rPr>
              <w:t>TIME TO CLAIM</w:t>
            </w:r>
          </w:p>
        </w:tc>
        <w:tc>
          <w:tcPr>
            <w:tcW w:w="2266" w:type="dxa"/>
          </w:tcPr>
          <w:p w14:paraId="587E7A83" w14:textId="0F552C8D" w:rsidR="004623C8" w:rsidRDefault="004623C8" w:rsidP="004623C8">
            <w:r w:rsidRPr="00A24B27">
              <w:rPr>
                <w:sz w:val="16"/>
                <w:szCs w:val="16"/>
              </w:rPr>
              <w:t>TIME TO REIMBURSEMENT</w:t>
            </w:r>
          </w:p>
        </w:tc>
        <w:tc>
          <w:tcPr>
            <w:tcW w:w="2266" w:type="dxa"/>
          </w:tcPr>
          <w:p w14:paraId="072ED3BA" w14:textId="6111F11D" w:rsidR="004623C8" w:rsidRDefault="00840E62" w:rsidP="004623C8">
            <w:r w:rsidRPr="00840E62">
              <w:rPr>
                <w:sz w:val="16"/>
                <w:szCs w:val="16"/>
              </w:rPr>
              <w:t>DURATION OF PROCEDURE</w:t>
            </w:r>
          </w:p>
        </w:tc>
      </w:tr>
      <w:tr w:rsidR="004623C8" w14:paraId="2B4384F7" w14:textId="77777777" w:rsidTr="004623C8">
        <w:tc>
          <w:tcPr>
            <w:tcW w:w="2265" w:type="dxa"/>
          </w:tcPr>
          <w:p w14:paraId="216ACD0F" w14:textId="77777777" w:rsidR="004623C8" w:rsidRDefault="004623C8" w:rsidP="004623C8"/>
        </w:tc>
        <w:tc>
          <w:tcPr>
            <w:tcW w:w="2265" w:type="dxa"/>
          </w:tcPr>
          <w:p w14:paraId="19497FC9" w14:textId="519AC90E" w:rsidR="004623C8" w:rsidRDefault="004623C8" w:rsidP="004623C8">
            <w:pPr>
              <w:jc w:val="right"/>
            </w:pPr>
            <w:proofErr w:type="spellStart"/>
            <w:r w:rsidRPr="00A24B27">
              <w:rPr>
                <w:sz w:val="16"/>
                <w:szCs w:val="16"/>
              </w:rPr>
              <w:t>Average</w:t>
            </w:r>
            <w:proofErr w:type="spellEnd"/>
          </w:p>
        </w:tc>
        <w:tc>
          <w:tcPr>
            <w:tcW w:w="2266" w:type="dxa"/>
          </w:tcPr>
          <w:p w14:paraId="33B7F280" w14:textId="3A2001E4" w:rsidR="004623C8" w:rsidRDefault="004623C8" w:rsidP="004623C8">
            <w:pPr>
              <w:jc w:val="right"/>
            </w:pPr>
            <w:proofErr w:type="spellStart"/>
            <w:r w:rsidRPr="00A24B27">
              <w:rPr>
                <w:sz w:val="16"/>
                <w:szCs w:val="16"/>
              </w:rPr>
              <w:t>Average</w:t>
            </w:r>
            <w:proofErr w:type="spellEnd"/>
          </w:p>
        </w:tc>
        <w:tc>
          <w:tcPr>
            <w:tcW w:w="2266" w:type="dxa"/>
          </w:tcPr>
          <w:p w14:paraId="32DEDFFC" w14:textId="78603269" w:rsidR="004623C8" w:rsidRDefault="004623C8" w:rsidP="004623C8">
            <w:pPr>
              <w:jc w:val="right"/>
            </w:pPr>
            <w:proofErr w:type="spellStart"/>
            <w:r w:rsidRPr="00A24B27">
              <w:rPr>
                <w:sz w:val="16"/>
                <w:szCs w:val="16"/>
              </w:rPr>
              <w:t>Average</w:t>
            </w:r>
            <w:proofErr w:type="spellEnd"/>
          </w:p>
        </w:tc>
      </w:tr>
      <w:tr w:rsidR="004623C8" w14:paraId="616008C3" w14:textId="77777777" w:rsidTr="004623C8">
        <w:tc>
          <w:tcPr>
            <w:tcW w:w="2265" w:type="dxa"/>
          </w:tcPr>
          <w:p w14:paraId="3481A52C" w14:textId="6156F8AA" w:rsidR="004623C8" w:rsidRDefault="004623C8" w:rsidP="004623C8">
            <w:r w:rsidRPr="00A24B27">
              <w:rPr>
                <w:sz w:val="16"/>
                <w:szCs w:val="16"/>
              </w:rPr>
              <w:t>Class 1</w:t>
            </w:r>
          </w:p>
        </w:tc>
        <w:tc>
          <w:tcPr>
            <w:tcW w:w="2265" w:type="dxa"/>
          </w:tcPr>
          <w:p w14:paraId="6CAA6585" w14:textId="2EEBF519" w:rsidR="004623C8" w:rsidRDefault="004623C8" w:rsidP="004623C8">
            <w:pPr>
              <w:jc w:val="right"/>
            </w:pPr>
            <w:r w:rsidRPr="00A24B27">
              <w:rPr>
                <w:sz w:val="16"/>
                <w:szCs w:val="16"/>
              </w:rPr>
              <w:t>98</w:t>
            </w:r>
          </w:p>
        </w:tc>
        <w:tc>
          <w:tcPr>
            <w:tcW w:w="2266" w:type="dxa"/>
          </w:tcPr>
          <w:p w14:paraId="600585AB" w14:textId="2D267EA6" w:rsidR="004623C8" w:rsidRDefault="004623C8" w:rsidP="004623C8">
            <w:pPr>
              <w:jc w:val="right"/>
            </w:pPr>
            <w:r w:rsidRPr="00A24B27">
              <w:rPr>
                <w:sz w:val="16"/>
                <w:szCs w:val="16"/>
              </w:rPr>
              <w:t>54</w:t>
            </w:r>
            <w:r>
              <w:rPr>
                <w:sz w:val="16"/>
                <w:szCs w:val="16"/>
              </w:rPr>
              <w:t>9</w:t>
            </w:r>
          </w:p>
        </w:tc>
        <w:tc>
          <w:tcPr>
            <w:tcW w:w="2266" w:type="dxa"/>
          </w:tcPr>
          <w:p w14:paraId="4EE5CFC1" w14:textId="50EAE98A" w:rsidR="004623C8" w:rsidRPr="00840E62" w:rsidRDefault="00840E62" w:rsidP="00840E62">
            <w:pPr>
              <w:jc w:val="right"/>
              <w:rPr>
                <w:sz w:val="16"/>
                <w:szCs w:val="16"/>
              </w:rPr>
            </w:pPr>
            <w:r w:rsidRPr="00840E62">
              <w:rPr>
                <w:sz w:val="16"/>
                <w:szCs w:val="16"/>
              </w:rPr>
              <w:t>336</w:t>
            </w:r>
          </w:p>
        </w:tc>
      </w:tr>
      <w:tr w:rsidR="004623C8" w14:paraId="38D67CE7" w14:textId="77777777" w:rsidTr="004623C8">
        <w:tc>
          <w:tcPr>
            <w:tcW w:w="2265" w:type="dxa"/>
          </w:tcPr>
          <w:p w14:paraId="5850B6F8" w14:textId="608E6C32" w:rsidR="004623C8" w:rsidRDefault="004623C8" w:rsidP="004623C8">
            <w:r w:rsidRPr="00A24B27">
              <w:rPr>
                <w:sz w:val="16"/>
                <w:szCs w:val="16"/>
              </w:rPr>
              <w:t>Class 2</w:t>
            </w:r>
          </w:p>
        </w:tc>
        <w:tc>
          <w:tcPr>
            <w:tcW w:w="2265" w:type="dxa"/>
          </w:tcPr>
          <w:p w14:paraId="2B882DA0" w14:textId="38D5737B" w:rsidR="004623C8" w:rsidRDefault="004623C8" w:rsidP="004623C8">
            <w:pPr>
              <w:jc w:val="right"/>
            </w:pPr>
            <w:r w:rsidRPr="00A24B27">
              <w:rPr>
                <w:sz w:val="16"/>
                <w:szCs w:val="16"/>
              </w:rPr>
              <w:t>156</w:t>
            </w:r>
          </w:p>
        </w:tc>
        <w:tc>
          <w:tcPr>
            <w:tcW w:w="2266" w:type="dxa"/>
          </w:tcPr>
          <w:p w14:paraId="224B0B53" w14:textId="6FBC12F7" w:rsidR="004623C8" w:rsidRDefault="004623C8" w:rsidP="004623C8">
            <w:pPr>
              <w:jc w:val="right"/>
            </w:pPr>
            <w:r w:rsidRPr="00A24B27">
              <w:rPr>
                <w:sz w:val="16"/>
                <w:szCs w:val="16"/>
              </w:rPr>
              <w:t>470</w:t>
            </w:r>
          </w:p>
        </w:tc>
        <w:tc>
          <w:tcPr>
            <w:tcW w:w="2266" w:type="dxa"/>
          </w:tcPr>
          <w:p w14:paraId="33FE2B78" w14:textId="7F69DEC3" w:rsidR="004623C8" w:rsidRPr="00840E62" w:rsidRDefault="00840E62" w:rsidP="00840E62">
            <w:pPr>
              <w:jc w:val="right"/>
              <w:rPr>
                <w:sz w:val="16"/>
                <w:szCs w:val="16"/>
              </w:rPr>
            </w:pPr>
            <w:r w:rsidRPr="00840E62">
              <w:rPr>
                <w:sz w:val="16"/>
                <w:szCs w:val="16"/>
              </w:rPr>
              <w:t>278</w:t>
            </w:r>
          </w:p>
        </w:tc>
      </w:tr>
      <w:tr w:rsidR="004623C8" w14:paraId="40FCD7B2" w14:textId="77777777" w:rsidTr="004623C8">
        <w:tc>
          <w:tcPr>
            <w:tcW w:w="2265" w:type="dxa"/>
          </w:tcPr>
          <w:p w14:paraId="17826963" w14:textId="52D99D38" w:rsidR="004623C8" w:rsidRDefault="004623C8" w:rsidP="004623C8">
            <w:proofErr w:type="spellStart"/>
            <w:r w:rsidRPr="00A24B27">
              <w:rPr>
                <w:sz w:val="16"/>
                <w:szCs w:val="16"/>
              </w:rPr>
              <w:t>Orphan</w:t>
            </w:r>
            <w:proofErr w:type="spellEnd"/>
          </w:p>
        </w:tc>
        <w:tc>
          <w:tcPr>
            <w:tcW w:w="2265" w:type="dxa"/>
          </w:tcPr>
          <w:p w14:paraId="0111A8AD" w14:textId="1D309368" w:rsidR="004623C8" w:rsidRDefault="004623C8" w:rsidP="004623C8">
            <w:pPr>
              <w:jc w:val="right"/>
            </w:pPr>
            <w:r w:rsidRPr="00A24B27">
              <w:rPr>
                <w:sz w:val="16"/>
                <w:szCs w:val="16"/>
              </w:rPr>
              <w:t>128</w:t>
            </w:r>
          </w:p>
        </w:tc>
        <w:tc>
          <w:tcPr>
            <w:tcW w:w="2266" w:type="dxa"/>
          </w:tcPr>
          <w:p w14:paraId="1D80A0AF" w14:textId="6B93B20E" w:rsidR="004623C8" w:rsidRDefault="004623C8" w:rsidP="004623C8">
            <w:pPr>
              <w:jc w:val="right"/>
            </w:pPr>
            <w:r w:rsidRPr="00A24B27">
              <w:rPr>
                <w:sz w:val="16"/>
                <w:szCs w:val="16"/>
              </w:rPr>
              <w:t>628</w:t>
            </w:r>
          </w:p>
        </w:tc>
        <w:tc>
          <w:tcPr>
            <w:tcW w:w="2266" w:type="dxa"/>
          </w:tcPr>
          <w:p w14:paraId="6AA11704" w14:textId="4C61394B" w:rsidR="004623C8" w:rsidRPr="00840E62" w:rsidRDefault="00840E62" w:rsidP="00840E62">
            <w:pPr>
              <w:jc w:val="right"/>
              <w:rPr>
                <w:sz w:val="16"/>
                <w:szCs w:val="16"/>
              </w:rPr>
            </w:pPr>
            <w:r w:rsidRPr="00840E62">
              <w:rPr>
                <w:sz w:val="16"/>
                <w:szCs w:val="16"/>
              </w:rPr>
              <w:t>362</w:t>
            </w:r>
          </w:p>
        </w:tc>
      </w:tr>
      <w:tr w:rsidR="004623C8" w14:paraId="72523CE1" w14:textId="77777777" w:rsidTr="004623C8">
        <w:tc>
          <w:tcPr>
            <w:tcW w:w="2265" w:type="dxa"/>
          </w:tcPr>
          <w:p w14:paraId="3EEBA4BA" w14:textId="01714C22" w:rsidR="004623C8" w:rsidRDefault="004623C8" w:rsidP="004623C8">
            <w:proofErr w:type="spellStart"/>
            <w:r>
              <w:rPr>
                <w:sz w:val="16"/>
                <w:szCs w:val="16"/>
              </w:rPr>
              <w:t>Radiopha</w:t>
            </w:r>
            <w:proofErr w:type="spellEnd"/>
          </w:p>
        </w:tc>
        <w:tc>
          <w:tcPr>
            <w:tcW w:w="2265" w:type="dxa"/>
          </w:tcPr>
          <w:p w14:paraId="711B3DF9" w14:textId="1C22A28C" w:rsidR="004623C8" w:rsidRDefault="004623C8" w:rsidP="004623C8">
            <w:pPr>
              <w:jc w:val="right"/>
            </w:pPr>
            <w:r>
              <w:rPr>
                <w:sz w:val="16"/>
                <w:szCs w:val="16"/>
              </w:rPr>
              <w:t>273</w:t>
            </w:r>
          </w:p>
        </w:tc>
        <w:tc>
          <w:tcPr>
            <w:tcW w:w="2266" w:type="dxa"/>
          </w:tcPr>
          <w:p w14:paraId="3D256175" w14:textId="77C29838" w:rsidR="004623C8" w:rsidRDefault="004623C8" w:rsidP="004623C8">
            <w:pPr>
              <w:jc w:val="right"/>
            </w:pPr>
            <w:r>
              <w:rPr>
                <w:sz w:val="16"/>
                <w:szCs w:val="16"/>
              </w:rPr>
              <w:t>479</w:t>
            </w:r>
          </w:p>
        </w:tc>
        <w:tc>
          <w:tcPr>
            <w:tcW w:w="2266" w:type="dxa"/>
          </w:tcPr>
          <w:p w14:paraId="5E18A3D6" w14:textId="08D928A9" w:rsidR="004623C8" w:rsidRPr="00840E62" w:rsidRDefault="00840E62" w:rsidP="00840E62">
            <w:pPr>
              <w:jc w:val="right"/>
              <w:rPr>
                <w:sz w:val="16"/>
                <w:szCs w:val="16"/>
              </w:rPr>
            </w:pPr>
            <w:r w:rsidRPr="00840E62">
              <w:rPr>
                <w:sz w:val="16"/>
                <w:szCs w:val="16"/>
              </w:rPr>
              <w:t>206</w:t>
            </w:r>
          </w:p>
        </w:tc>
      </w:tr>
      <w:tr w:rsidR="00840E62" w14:paraId="4C301DA0" w14:textId="77777777" w:rsidTr="004623C8">
        <w:tc>
          <w:tcPr>
            <w:tcW w:w="2265" w:type="dxa"/>
          </w:tcPr>
          <w:p w14:paraId="4C14B8AA" w14:textId="74643039" w:rsidR="00840E62" w:rsidRDefault="00840E62" w:rsidP="00840E62">
            <w:pPr>
              <w:rPr>
                <w:sz w:val="16"/>
                <w:szCs w:val="16"/>
              </w:rPr>
            </w:pPr>
            <w:r w:rsidRPr="00A24B27">
              <w:rPr>
                <w:b/>
                <w:bCs/>
                <w:sz w:val="16"/>
                <w:szCs w:val="16"/>
              </w:rPr>
              <w:t>Grand Total</w:t>
            </w:r>
          </w:p>
        </w:tc>
        <w:tc>
          <w:tcPr>
            <w:tcW w:w="2265" w:type="dxa"/>
          </w:tcPr>
          <w:p w14:paraId="51FD1FC2" w14:textId="429AE555" w:rsidR="00840E62" w:rsidRDefault="00840E62" w:rsidP="00840E62">
            <w:pPr>
              <w:jc w:val="right"/>
              <w:rPr>
                <w:sz w:val="16"/>
                <w:szCs w:val="16"/>
              </w:rPr>
            </w:pPr>
            <w:r w:rsidRPr="00A24B27">
              <w:rPr>
                <w:b/>
                <w:bCs/>
                <w:sz w:val="16"/>
                <w:szCs w:val="16"/>
              </w:rPr>
              <w:t>12</w:t>
            </w:r>
            <w:r>
              <w:rPr>
                <w:b/>
                <w:bCs/>
                <w:sz w:val="16"/>
                <w:szCs w:val="16"/>
              </w:rPr>
              <w:t>4</w:t>
            </w:r>
          </w:p>
        </w:tc>
        <w:tc>
          <w:tcPr>
            <w:tcW w:w="2266" w:type="dxa"/>
          </w:tcPr>
          <w:p w14:paraId="76B832AF" w14:textId="4B5CB3A3" w:rsidR="00840E62" w:rsidRDefault="00840E62" w:rsidP="00840E62">
            <w:pPr>
              <w:jc w:val="right"/>
              <w:rPr>
                <w:sz w:val="16"/>
                <w:szCs w:val="16"/>
              </w:rPr>
            </w:pPr>
            <w:r w:rsidRPr="00A24B27">
              <w:rPr>
                <w:b/>
                <w:bCs/>
                <w:sz w:val="16"/>
                <w:szCs w:val="16"/>
              </w:rPr>
              <w:t>55</w:t>
            </w:r>
            <w:r>
              <w:rPr>
                <w:b/>
                <w:bCs/>
                <w:sz w:val="16"/>
                <w:szCs w:val="16"/>
              </w:rPr>
              <w:t>6</w:t>
            </w:r>
          </w:p>
        </w:tc>
        <w:tc>
          <w:tcPr>
            <w:tcW w:w="2266" w:type="dxa"/>
          </w:tcPr>
          <w:p w14:paraId="137D6248" w14:textId="6E6B526D" w:rsidR="00840E62" w:rsidRPr="00840E62" w:rsidRDefault="00840E62" w:rsidP="00840E62">
            <w:pPr>
              <w:jc w:val="right"/>
              <w:rPr>
                <w:b/>
                <w:bCs/>
                <w:sz w:val="16"/>
                <w:szCs w:val="16"/>
              </w:rPr>
            </w:pPr>
            <w:r w:rsidRPr="00840E62">
              <w:rPr>
                <w:b/>
                <w:bCs/>
                <w:sz w:val="16"/>
                <w:szCs w:val="16"/>
              </w:rPr>
              <w:t>329</w:t>
            </w:r>
          </w:p>
        </w:tc>
      </w:tr>
    </w:tbl>
    <w:p w14:paraId="51510EFC" w14:textId="77777777" w:rsidR="00AD4C5A" w:rsidRPr="00AD4C5A" w:rsidRDefault="00AD4C5A" w:rsidP="00AD4C5A">
      <w:pPr>
        <w:rPr>
          <w:i/>
          <w:iCs/>
          <w:sz w:val="18"/>
          <w:szCs w:val="18"/>
          <w:lang w:val="en-GB"/>
        </w:rPr>
      </w:pPr>
      <w:r w:rsidRPr="00AD4C5A">
        <w:rPr>
          <w:i/>
          <w:iCs/>
          <w:sz w:val="18"/>
          <w:szCs w:val="18"/>
          <w:lang w:val="en-GB"/>
        </w:rPr>
        <w:t>Figure 4: time to submission (CLAIM), time to reimbursement and duration of the procedure (including suspensions)</w:t>
      </w:r>
    </w:p>
    <w:p w14:paraId="13C9D92D" w14:textId="2391CEC4" w:rsidR="00C56927" w:rsidRPr="00AD4C5A" w:rsidRDefault="00C56927" w:rsidP="00C56927">
      <w:pPr>
        <w:rPr>
          <w:i/>
          <w:iCs/>
          <w:sz w:val="18"/>
          <w:szCs w:val="18"/>
          <w:lang w:val="en-GB"/>
        </w:rPr>
      </w:pPr>
    </w:p>
    <w:p w14:paraId="21A2A325" w14:textId="4C726541" w:rsidR="00AD4C5A" w:rsidRDefault="00AD4C5A" w:rsidP="00AD4C5A">
      <w:pPr>
        <w:keepNext/>
        <w:rPr>
          <w:lang w:val="en-GB"/>
        </w:rPr>
      </w:pPr>
      <w:r w:rsidRPr="00AD4C5A">
        <w:rPr>
          <w:lang w:val="en-GB"/>
        </w:rPr>
        <w:t>Figure 4 above provides a (detailed) overview of the time for the medicines included in the WAIT indicator:</w:t>
      </w:r>
    </w:p>
    <w:p w14:paraId="17DE7670" w14:textId="77777777" w:rsidR="00FC6D6C" w:rsidRPr="00AD4C5A" w:rsidRDefault="00FC6D6C" w:rsidP="00AD4C5A">
      <w:pPr>
        <w:keepNext/>
        <w:rPr>
          <w:lang w:val="en-GB"/>
        </w:rPr>
      </w:pPr>
    </w:p>
    <w:p w14:paraId="77599037" w14:textId="77777777" w:rsidR="00AD4C5A" w:rsidRDefault="00AD4C5A" w:rsidP="00AD4C5A">
      <w:pPr>
        <w:keepNext/>
        <w:numPr>
          <w:ilvl w:val="0"/>
          <w:numId w:val="14"/>
        </w:numPr>
        <w:rPr>
          <w:lang w:val="en-GB"/>
        </w:rPr>
      </w:pPr>
      <w:r w:rsidRPr="00FC6D6C">
        <w:rPr>
          <w:lang w:val="en-GB"/>
        </w:rPr>
        <w:t>Between the first marketing authorization of the medicines (EMA data) and the FIRST reimbursement application (for medicines</w:t>
      </w:r>
      <w:r w:rsidRPr="00AD4C5A">
        <w:rPr>
          <w:lang w:val="en-GB"/>
        </w:rPr>
        <w:t xml:space="preserve"> currently reimbursable).</w:t>
      </w:r>
      <w:r w:rsidRPr="00AD4C5A">
        <w:rPr>
          <w:lang w:val="en-GB"/>
        </w:rPr>
        <w:br/>
        <w:t xml:space="preserve">This period is on average </w:t>
      </w:r>
      <w:r w:rsidRPr="00AD4C5A">
        <w:rPr>
          <w:b/>
          <w:bCs/>
          <w:lang w:val="en-GB"/>
        </w:rPr>
        <w:t>124 days</w:t>
      </w:r>
      <w:r w:rsidRPr="00AD4C5A">
        <w:rPr>
          <w:lang w:val="en-GB"/>
        </w:rPr>
        <w:t>.</w:t>
      </w:r>
    </w:p>
    <w:p w14:paraId="203991AC" w14:textId="77777777" w:rsidR="00FC6D6C" w:rsidRPr="00AD4C5A" w:rsidRDefault="00FC6D6C" w:rsidP="00FC6D6C">
      <w:pPr>
        <w:keepNext/>
        <w:ind w:left="720"/>
        <w:rPr>
          <w:lang w:val="en-GB"/>
        </w:rPr>
      </w:pPr>
    </w:p>
    <w:p w14:paraId="41FE7CA6" w14:textId="6213765C" w:rsidR="00AD4C5A" w:rsidRPr="00AD4C5A" w:rsidRDefault="00AD4C5A" w:rsidP="00AD4C5A">
      <w:pPr>
        <w:keepNext/>
        <w:numPr>
          <w:ilvl w:val="0"/>
          <w:numId w:val="14"/>
        </w:numPr>
        <w:rPr>
          <w:lang w:val="en-GB"/>
        </w:rPr>
      </w:pPr>
      <w:r w:rsidRPr="00FC6D6C">
        <w:rPr>
          <w:lang w:val="en-GB"/>
        </w:rPr>
        <w:t>Between the first marketing authorization of the medicines (EMA data) and the FIRST reimbursement (regardless of the number of procedures undergone or resubmission loops).</w:t>
      </w:r>
      <w:r w:rsidR="00FC6D6C">
        <w:rPr>
          <w:lang w:val="en-GB"/>
        </w:rPr>
        <w:t xml:space="preserve"> </w:t>
      </w:r>
      <w:r w:rsidRPr="00AD4C5A">
        <w:rPr>
          <w:lang w:val="en-GB"/>
        </w:rPr>
        <w:t xml:space="preserve">This period is on average </w:t>
      </w:r>
      <w:r w:rsidRPr="00AD4C5A">
        <w:rPr>
          <w:b/>
          <w:bCs/>
          <w:lang w:val="en-GB"/>
        </w:rPr>
        <w:t>556 days</w:t>
      </w:r>
      <w:r w:rsidRPr="00AD4C5A">
        <w:rPr>
          <w:lang w:val="en-GB"/>
        </w:rPr>
        <w:t>.</w:t>
      </w:r>
    </w:p>
    <w:p w14:paraId="5B00D115" w14:textId="77777777" w:rsidR="00AD4C5A" w:rsidRDefault="00AD4C5A" w:rsidP="00FC6D6C">
      <w:pPr>
        <w:keepNext/>
        <w:ind w:firstLine="720"/>
        <w:rPr>
          <w:lang w:val="en-GB"/>
        </w:rPr>
      </w:pPr>
      <w:r w:rsidRPr="00AD4C5A">
        <w:rPr>
          <w:lang w:val="en-GB"/>
        </w:rPr>
        <w:t>These 556 days therefore include:</w:t>
      </w:r>
    </w:p>
    <w:p w14:paraId="2150B07E" w14:textId="77777777" w:rsidR="00FC6D6C" w:rsidRPr="00AD4C5A" w:rsidRDefault="00FC6D6C" w:rsidP="00FC6D6C">
      <w:pPr>
        <w:keepNext/>
        <w:ind w:firstLine="720"/>
        <w:rPr>
          <w:lang w:val="en-GB"/>
        </w:rPr>
      </w:pPr>
    </w:p>
    <w:p w14:paraId="4961F83B" w14:textId="22A34CA4" w:rsidR="00AD4C5A" w:rsidRDefault="00AD4C5A" w:rsidP="00FC6D6C">
      <w:pPr>
        <w:pStyle w:val="ListParagraph"/>
        <w:keepNext/>
        <w:numPr>
          <w:ilvl w:val="2"/>
          <w:numId w:val="14"/>
        </w:numPr>
        <w:ind w:left="1418"/>
        <w:rPr>
          <w:lang w:val="en-GB"/>
        </w:rPr>
      </w:pPr>
      <w:r w:rsidRPr="00FC6D6C">
        <w:rPr>
          <w:lang w:val="en-GB"/>
        </w:rPr>
        <w:t>the waiting time for the company to submit the application (TIME TO CLAIM), only for medicines currently reimbursable:</w:t>
      </w:r>
      <w:r w:rsidRPr="00FC6D6C">
        <w:rPr>
          <w:lang w:val="en-GB"/>
        </w:rPr>
        <w:br/>
      </w:r>
      <w:r w:rsidRPr="00FC6D6C">
        <w:rPr>
          <w:b/>
          <w:bCs/>
          <w:lang w:val="en-GB"/>
        </w:rPr>
        <w:t>98 days</w:t>
      </w:r>
      <w:r w:rsidRPr="00FC6D6C">
        <w:rPr>
          <w:lang w:val="en-GB"/>
        </w:rPr>
        <w:t xml:space="preserve"> for class 1 medicines, </w:t>
      </w:r>
      <w:r w:rsidRPr="00FC6D6C">
        <w:rPr>
          <w:b/>
          <w:bCs/>
          <w:lang w:val="en-GB"/>
        </w:rPr>
        <w:t>156 days</w:t>
      </w:r>
      <w:r w:rsidRPr="00FC6D6C">
        <w:rPr>
          <w:lang w:val="en-GB"/>
        </w:rPr>
        <w:t xml:space="preserve"> for class 2 medicines, </w:t>
      </w:r>
      <w:r w:rsidRPr="00FC6D6C">
        <w:rPr>
          <w:b/>
          <w:bCs/>
          <w:lang w:val="en-GB"/>
        </w:rPr>
        <w:t>128 days</w:t>
      </w:r>
      <w:r w:rsidRPr="00FC6D6C">
        <w:rPr>
          <w:lang w:val="en-GB"/>
        </w:rPr>
        <w:t xml:space="preserve"> for orphan medicines, and </w:t>
      </w:r>
      <w:r w:rsidRPr="00FC6D6C">
        <w:rPr>
          <w:b/>
          <w:bCs/>
          <w:lang w:val="en-GB"/>
        </w:rPr>
        <w:t>273 days</w:t>
      </w:r>
      <w:r w:rsidRPr="00FC6D6C">
        <w:rPr>
          <w:lang w:val="en-GB"/>
        </w:rPr>
        <w:t xml:space="preserve"> for radiopharmaceutical specialties;</w:t>
      </w:r>
    </w:p>
    <w:p w14:paraId="6B34D23E" w14:textId="77777777" w:rsidR="00FC6D6C" w:rsidRPr="00FC6D6C" w:rsidRDefault="00FC6D6C" w:rsidP="00FC6D6C">
      <w:pPr>
        <w:keepNext/>
        <w:rPr>
          <w:lang w:val="en-GB"/>
        </w:rPr>
      </w:pPr>
    </w:p>
    <w:p w14:paraId="4E7CD4F6" w14:textId="5682C42C" w:rsidR="00AD4C5A" w:rsidRPr="00FC6D6C" w:rsidRDefault="00AD4C5A" w:rsidP="00FC6D6C">
      <w:pPr>
        <w:pStyle w:val="ListParagraph"/>
        <w:keepNext/>
        <w:numPr>
          <w:ilvl w:val="2"/>
          <w:numId w:val="14"/>
        </w:numPr>
        <w:ind w:left="1418"/>
        <w:rPr>
          <w:lang w:val="en-GB"/>
        </w:rPr>
      </w:pPr>
      <w:r w:rsidRPr="00FC6D6C">
        <w:rPr>
          <w:lang w:val="en-GB"/>
        </w:rPr>
        <w:t>suspensions due to inadmissibility (</w:t>
      </w:r>
      <w:r w:rsidRPr="00FC6D6C">
        <w:rPr>
          <w:b/>
          <w:bCs/>
          <w:lang w:val="en-GB"/>
        </w:rPr>
        <w:t>3.8 days</w:t>
      </w:r>
      <w:r w:rsidRPr="00FC6D6C">
        <w:rPr>
          <w:lang w:val="en-GB"/>
        </w:rPr>
        <w:t>);</w:t>
      </w:r>
    </w:p>
    <w:p w14:paraId="7C448314" w14:textId="77777777" w:rsidR="00FC6D6C" w:rsidRPr="00FC6D6C" w:rsidRDefault="00FC6D6C" w:rsidP="00FC6D6C">
      <w:pPr>
        <w:pStyle w:val="ListParagraph"/>
        <w:ind w:left="1418"/>
        <w:rPr>
          <w:lang w:val="en-GB"/>
        </w:rPr>
      </w:pPr>
    </w:p>
    <w:p w14:paraId="2602BFEE" w14:textId="69B24A5C" w:rsidR="00AD4C5A" w:rsidRPr="00FC6D6C" w:rsidRDefault="00AD4C5A" w:rsidP="00FC6D6C">
      <w:pPr>
        <w:pStyle w:val="ListParagraph"/>
        <w:keepNext/>
        <w:numPr>
          <w:ilvl w:val="2"/>
          <w:numId w:val="14"/>
        </w:numPr>
        <w:ind w:left="1418"/>
        <w:rPr>
          <w:lang w:val="en-GB"/>
        </w:rPr>
      </w:pPr>
      <w:r w:rsidRPr="00FC6D6C">
        <w:rPr>
          <w:lang w:val="en-GB"/>
        </w:rPr>
        <w:t>suspensions of the dossier during the reimbursement procedure (response to the evaluation report, price not yet available from Economic Affairs, response to the provisional proposal, etc.), as well as time for contractual negotiations (</w:t>
      </w:r>
      <w:r w:rsidRPr="00FC6D6C">
        <w:rPr>
          <w:b/>
          <w:bCs/>
          <w:lang w:val="en-GB"/>
        </w:rPr>
        <w:t>161 days</w:t>
      </w:r>
      <w:r w:rsidRPr="00FC6D6C">
        <w:rPr>
          <w:lang w:val="en-GB"/>
        </w:rPr>
        <w:t>);</w:t>
      </w:r>
    </w:p>
    <w:p w14:paraId="5BB64159" w14:textId="77777777" w:rsidR="00FC6D6C" w:rsidRPr="00FC6D6C" w:rsidRDefault="00FC6D6C" w:rsidP="00FC6D6C">
      <w:pPr>
        <w:pStyle w:val="ListParagraph"/>
        <w:ind w:left="1418"/>
        <w:rPr>
          <w:lang w:val="en-GB"/>
        </w:rPr>
      </w:pPr>
    </w:p>
    <w:p w14:paraId="5289C9C7" w14:textId="6F61427F" w:rsidR="00AD4C5A" w:rsidRPr="00FC6D6C" w:rsidRDefault="00AD4C5A" w:rsidP="00FC6D6C">
      <w:pPr>
        <w:pStyle w:val="ListParagraph"/>
        <w:keepNext/>
        <w:numPr>
          <w:ilvl w:val="2"/>
          <w:numId w:val="14"/>
        </w:numPr>
        <w:ind w:left="1418"/>
        <w:rPr>
          <w:lang w:val="en-GB"/>
        </w:rPr>
      </w:pPr>
      <w:r w:rsidRPr="00FC6D6C">
        <w:rPr>
          <w:lang w:val="en-GB"/>
        </w:rPr>
        <w:t>the duration of the reimbursement procedure (maximum 180 calendar days, excluding suspensions);</w:t>
      </w:r>
    </w:p>
    <w:p w14:paraId="4F56097B" w14:textId="77777777" w:rsidR="00FC6D6C" w:rsidRPr="00FC6D6C" w:rsidRDefault="00FC6D6C" w:rsidP="00FC6D6C">
      <w:pPr>
        <w:pStyle w:val="ListParagraph"/>
        <w:ind w:left="1418"/>
        <w:rPr>
          <w:lang w:val="en-GB"/>
        </w:rPr>
      </w:pPr>
    </w:p>
    <w:p w14:paraId="0B0EB99A" w14:textId="358E74AC" w:rsidR="00AD4C5A" w:rsidRPr="00FC6D6C" w:rsidRDefault="00AD4C5A" w:rsidP="00FC6D6C">
      <w:pPr>
        <w:pStyle w:val="ListParagraph"/>
        <w:keepNext/>
        <w:numPr>
          <w:ilvl w:val="2"/>
          <w:numId w:val="14"/>
        </w:numPr>
        <w:ind w:left="1418"/>
        <w:rPr>
          <w:lang w:val="en-GB"/>
        </w:rPr>
      </w:pPr>
      <w:r w:rsidRPr="00FC6D6C">
        <w:rPr>
          <w:lang w:val="en-GB"/>
        </w:rPr>
        <w:t>the time between potential successive procedures (resubmissions);</w:t>
      </w:r>
    </w:p>
    <w:p w14:paraId="64435F75" w14:textId="77777777" w:rsidR="00FC6D6C" w:rsidRPr="00FC6D6C" w:rsidRDefault="00FC6D6C" w:rsidP="00FC6D6C">
      <w:pPr>
        <w:pStyle w:val="ListParagraph"/>
        <w:ind w:left="1418"/>
        <w:rPr>
          <w:lang w:val="en-GB"/>
        </w:rPr>
      </w:pPr>
    </w:p>
    <w:p w14:paraId="4EF30869" w14:textId="1E74228B" w:rsidR="00AD4C5A" w:rsidRPr="00FC6D6C" w:rsidRDefault="00AD4C5A" w:rsidP="00FC6D6C">
      <w:pPr>
        <w:pStyle w:val="ListParagraph"/>
        <w:keepNext/>
        <w:numPr>
          <w:ilvl w:val="2"/>
          <w:numId w:val="14"/>
        </w:numPr>
        <w:ind w:left="1418"/>
        <w:rPr>
          <w:lang w:val="en-GB"/>
        </w:rPr>
      </w:pPr>
      <w:r w:rsidRPr="00FC6D6C">
        <w:rPr>
          <w:lang w:val="en-GB"/>
        </w:rPr>
        <w:t>the time between notification of the decision and its entry into force, following publication in the Belgian Official Gazette (</w:t>
      </w:r>
      <w:r w:rsidRPr="00FC6D6C">
        <w:rPr>
          <w:b/>
          <w:bCs/>
          <w:lang w:val="en-GB"/>
        </w:rPr>
        <w:t>2 months</w:t>
      </w:r>
      <w:r w:rsidRPr="00FC6D6C">
        <w:rPr>
          <w:lang w:val="en-GB"/>
        </w:rPr>
        <w:t>).</w:t>
      </w:r>
    </w:p>
    <w:p w14:paraId="312E0F4B" w14:textId="77777777" w:rsidR="00FC6D6C" w:rsidRPr="00AD4C5A" w:rsidRDefault="00FC6D6C" w:rsidP="00FC6D6C">
      <w:pPr>
        <w:keepNext/>
        <w:ind w:left="1440"/>
        <w:rPr>
          <w:lang w:val="en-GB"/>
        </w:rPr>
      </w:pPr>
    </w:p>
    <w:p w14:paraId="5C967836" w14:textId="77777777" w:rsidR="00AD4C5A" w:rsidRPr="00AD4C5A" w:rsidRDefault="00AD4C5A" w:rsidP="00AD4C5A">
      <w:pPr>
        <w:keepNext/>
        <w:numPr>
          <w:ilvl w:val="0"/>
          <w:numId w:val="14"/>
        </w:numPr>
        <w:rPr>
          <w:lang w:val="en-GB"/>
        </w:rPr>
      </w:pPr>
      <w:r w:rsidRPr="00FC6D6C">
        <w:rPr>
          <w:lang w:val="en-GB"/>
        </w:rPr>
        <w:t>Between the reimbursement application (leading to a positive decision) and the FIRST reimbursement (regardless of</w:t>
      </w:r>
      <w:r w:rsidRPr="00AD4C5A">
        <w:rPr>
          <w:lang w:val="en-GB"/>
        </w:rPr>
        <w:t xml:space="preserve"> the number of procedures undergone or loops), i.e. the </w:t>
      </w:r>
      <w:r w:rsidRPr="00AD4C5A">
        <w:rPr>
          <w:lang w:val="en-GB"/>
        </w:rPr>
        <w:lastRenderedPageBreak/>
        <w:t>duration of the reimbursement procedure, including suspensions.</w:t>
      </w:r>
      <w:r w:rsidRPr="00AD4C5A">
        <w:rPr>
          <w:lang w:val="en-GB"/>
        </w:rPr>
        <w:br/>
        <w:t xml:space="preserve">This period is on average </w:t>
      </w:r>
      <w:r w:rsidRPr="00AD4C5A">
        <w:rPr>
          <w:b/>
          <w:bCs/>
          <w:lang w:val="en-GB"/>
        </w:rPr>
        <w:t>329 days</w:t>
      </w:r>
      <w:r w:rsidRPr="00AD4C5A">
        <w:rPr>
          <w:lang w:val="en-GB"/>
        </w:rPr>
        <w:t>.</w:t>
      </w:r>
    </w:p>
    <w:p w14:paraId="5886886B" w14:textId="77777777" w:rsidR="00AD4C5A" w:rsidRDefault="00AD4C5A" w:rsidP="00393898">
      <w:pPr>
        <w:keepNext/>
        <w:rPr>
          <w:lang w:val="fr-BE"/>
        </w:rPr>
      </w:pPr>
    </w:p>
    <w:p w14:paraId="23B84A80" w14:textId="715E1373" w:rsidR="008F4666" w:rsidRPr="00FC6D6C" w:rsidRDefault="008F4666" w:rsidP="00FC6D6C">
      <w:pPr>
        <w:rPr>
          <w:lang w:val="fr-BE"/>
        </w:rPr>
      </w:pPr>
    </w:p>
    <w:sectPr w:rsidR="008F4666" w:rsidRPr="00FC6D6C" w:rsidSect="00476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37"/>
    <w:multiLevelType w:val="multilevel"/>
    <w:tmpl w:val="13A6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54873"/>
    <w:multiLevelType w:val="multilevel"/>
    <w:tmpl w:val="621A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92716"/>
    <w:multiLevelType w:val="hybridMultilevel"/>
    <w:tmpl w:val="529CB674"/>
    <w:lvl w:ilvl="0" w:tplc="619E733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05BF0"/>
    <w:multiLevelType w:val="multilevel"/>
    <w:tmpl w:val="9AD8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C39C1"/>
    <w:multiLevelType w:val="multilevel"/>
    <w:tmpl w:val="CF9A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9318E"/>
    <w:multiLevelType w:val="multilevel"/>
    <w:tmpl w:val="87BCA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601AC"/>
    <w:multiLevelType w:val="hybridMultilevel"/>
    <w:tmpl w:val="955C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75463"/>
    <w:multiLevelType w:val="multilevel"/>
    <w:tmpl w:val="3158439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56AD9"/>
    <w:multiLevelType w:val="multilevel"/>
    <w:tmpl w:val="CA2C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D31455"/>
    <w:multiLevelType w:val="hybridMultilevel"/>
    <w:tmpl w:val="6E82D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175529"/>
    <w:multiLevelType w:val="multilevel"/>
    <w:tmpl w:val="59441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Aptos" w:eastAsiaTheme="minorHAnsi" w:hAnsi="Aptos"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334C8C"/>
    <w:multiLevelType w:val="multilevel"/>
    <w:tmpl w:val="A5B24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55D49"/>
    <w:multiLevelType w:val="multilevel"/>
    <w:tmpl w:val="E186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2103D"/>
    <w:multiLevelType w:val="multilevel"/>
    <w:tmpl w:val="32C8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056063">
    <w:abstractNumId w:val="9"/>
  </w:num>
  <w:num w:numId="2" w16cid:durableId="487282893">
    <w:abstractNumId w:val="4"/>
  </w:num>
  <w:num w:numId="3" w16cid:durableId="695035178">
    <w:abstractNumId w:val="8"/>
  </w:num>
  <w:num w:numId="4" w16cid:durableId="1649936361">
    <w:abstractNumId w:val="2"/>
  </w:num>
  <w:num w:numId="5" w16cid:durableId="995452760">
    <w:abstractNumId w:val="12"/>
  </w:num>
  <w:num w:numId="6" w16cid:durableId="1587954387">
    <w:abstractNumId w:val="7"/>
  </w:num>
  <w:num w:numId="7" w16cid:durableId="191379595">
    <w:abstractNumId w:val="11"/>
  </w:num>
  <w:num w:numId="8" w16cid:durableId="1604996096">
    <w:abstractNumId w:val="0"/>
  </w:num>
  <w:num w:numId="9" w16cid:durableId="1935286407">
    <w:abstractNumId w:val="3"/>
  </w:num>
  <w:num w:numId="10" w16cid:durableId="2119257110">
    <w:abstractNumId w:val="6"/>
  </w:num>
  <w:num w:numId="11" w16cid:durableId="421532666">
    <w:abstractNumId w:val="13"/>
  </w:num>
  <w:num w:numId="12" w16cid:durableId="901062124">
    <w:abstractNumId w:val="5"/>
  </w:num>
  <w:num w:numId="13" w16cid:durableId="701905105">
    <w:abstractNumId w:val="1"/>
  </w:num>
  <w:num w:numId="14" w16cid:durableId="1182089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ED"/>
    <w:rsid w:val="000769FD"/>
    <w:rsid w:val="00084896"/>
    <w:rsid w:val="0011008B"/>
    <w:rsid w:val="001104FB"/>
    <w:rsid w:val="00167CBB"/>
    <w:rsid w:val="00241339"/>
    <w:rsid w:val="00285212"/>
    <w:rsid w:val="002D5EBC"/>
    <w:rsid w:val="002D74F1"/>
    <w:rsid w:val="002E5ED0"/>
    <w:rsid w:val="00300A60"/>
    <w:rsid w:val="00316E0A"/>
    <w:rsid w:val="003333EC"/>
    <w:rsid w:val="00393898"/>
    <w:rsid w:val="003B2BD0"/>
    <w:rsid w:val="004455B1"/>
    <w:rsid w:val="004623C8"/>
    <w:rsid w:val="00476DED"/>
    <w:rsid w:val="004B5FDA"/>
    <w:rsid w:val="004C1827"/>
    <w:rsid w:val="00522E54"/>
    <w:rsid w:val="005D094E"/>
    <w:rsid w:val="005D3AEF"/>
    <w:rsid w:val="0064544D"/>
    <w:rsid w:val="006B0FAF"/>
    <w:rsid w:val="006D20D6"/>
    <w:rsid w:val="006E78FA"/>
    <w:rsid w:val="006F1C99"/>
    <w:rsid w:val="008156BB"/>
    <w:rsid w:val="00840E62"/>
    <w:rsid w:val="00864248"/>
    <w:rsid w:val="0086623E"/>
    <w:rsid w:val="00891D6B"/>
    <w:rsid w:val="008A303F"/>
    <w:rsid w:val="008B2173"/>
    <w:rsid w:val="008F125F"/>
    <w:rsid w:val="008F4666"/>
    <w:rsid w:val="00922612"/>
    <w:rsid w:val="00987104"/>
    <w:rsid w:val="00A653A6"/>
    <w:rsid w:val="00AC07FD"/>
    <w:rsid w:val="00AD4C5A"/>
    <w:rsid w:val="00B127B2"/>
    <w:rsid w:val="00B53A29"/>
    <w:rsid w:val="00B64B0E"/>
    <w:rsid w:val="00B66C0F"/>
    <w:rsid w:val="00BD67BE"/>
    <w:rsid w:val="00BE671C"/>
    <w:rsid w:val="00C56927"/>
    <w:rsid w:val="00C715E4"/>
    <w:rsid w:val="00CB4368"/>
    <w:rsid w:val="00D133B6"/>
    <w:rsid w:val="00DC41F1"/>
    <w:rsid w:val="00ED6E97"/>
    <w:rsid w:val="00EE2C65"/>
    <w:rsid w:val="00EF6EF0"/>
    <w:rsid w:val="00F11211"/>
    <w:rsid w:val="00F24D5C"/>
    <w:rsid w:val="00F921CB"/>
    <w:rsid w:val="00FC4232"/>
    <w:rsid w:val="00FC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3C3F3"/>
  <w15:chartTrackingRefBased/>
  <w15:docId w15:val="{240BFF53-A2CC-4D33-A7C2-2BEEAB72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DED"/>
    <w:pPr>
      <w:spacing w:line="276" w:lineRule="auto"/>
    </w:pPr>
    <w:rPr>
      <w:rFonts w:asciiTheme="minorHAnsi" w:eastAsiaTheme="minorHAnsi" w:hAnsiTheme="minorHAnsi" w:cstheme="minorBidi"/>
      <w:sz w:val="22"/>
      <w:szCs w:val="22"/>
      <w:lang w:val="nl-BE" w:eastAsia="en-US"/>
    </w:rPr>
  </w:style>
  <w:style w:type="paragraph" w:styleId="Heading1">
    <w:name w:val="heading 1"/>
    <w:basedOn w:val="Normal"/>
    <w:next w:val="Normal"/>
    <w:link w:val="Heading1Char"/>
    <w:qFormat/>
    <w:rsid w:val="00476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476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476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476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476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476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476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476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476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DED"/>
    <w:rPr>
      <w:rFonts w:asciiTheme="majorHAnsi" w:eastAsiaTheme="majorEastAsia" w:hAnsiTheme="majorHAnsi" w:cstheme="majorBidi"/>
      <w:color w:val="0F4761" w:themeColor="accent1" w:themeShade="BF"/>
      <w:sz w:val="40"/>
      <w:szCs w:val="40"/>
      <w:lang w:val="en-US" w:eastAsia="en-US"/>
    </w:rPr>
  </w:style>
  <w:style w:type="character" w:customStyle="1" w:styleId="Heading2Char">
    <w:name w:val="Heading 2 Char"/>
    <w:basedOn w:val="DefaultParagraphFont"/>
    <w:link w:val="Heading2"/>
    <w:semiHidden/>
    <w:rsid w:val="00476DED"/>
    <w:rPr>
      <w:rFonts w:asciiTheme="majorHAnsi" w:eastAsiaTheme="majorEastAsia" w:hAnsiTheme="majorHAnsi" w:cstheme="majorBidi"/>
      <w:color w:val="0F4761" w:themeColor="accent1" w:themeShade="BF"/>
      <w:sz w:val="32"/>
      <w:szCs w:val="32"/>
      <w:lang w:val="en-US" w:eastAsia="en-US"/>
    </w:rPr>
  </w:style>
  <w:style w:type="character" w:customStyle="1" w:styleId="Heading3Char">
    <w:name w:val="Heading 3 Char"/>
    <w:basedOn w:val="DefaultParagraphFont"/>
    <w:link w:val="Heading3"/>
    <w:semiHidden/>
    <w:rsid w:val="00476DED"/>
    <w:rPr>
      <w:rFonts w:asciiTheme="minorHAnsi" w:eastAsiaTheme="majorEastAsia" w:hAnsiTheme="minorHAnsi" w:cstheme="majorBidi"/>
      <w:color w:val="0F4761" w:themeColor="accent1" w:themeShade="BF"/>
      <w:sz w:val="28"/>
      <w:szCs w:val="28"/>
      <w:lang w:val="en-US" w:eastAsia="en-US"/>
    </w:rPr>
  </w:style>
  <w:style w:type="character" w:customStyle="1" w:styleId="Heading4Char">
    <w:name w:val="Heading 4 Char"/>
    <w:basedOn w:val="DefaultParagraphFont"/>
    <w:link w:val="Heading4"/>
    <w:semiHidden/>
    <w:rsid w:val="00476DED"/>
    <w:rPr>
      <w:rFonts w:asciiTheme="minorHAnsi" w:eastAsiaTheme="majorEastAsia" w:hAnsiTheme="minorHAnsi" w:cstheme="majorBidi"/>
      <w:i/>
      <w:iCs/>
      <w:color w:val="0F4761" w:themeColor="accent1" w:themeShade="BF"/>
      <w:sz w:val="24"/>
      <w:szCs w:val="24"/>
      <w:lang w:val="en-US" w:eastAsia="en-US"/>
    </w:rPr>
  </w:style>
  <w:style w:type="character" w:customStyle="1" w:styleId="Heading5Char">
    <w:name w:val="Heading 5 Char"/>
    <w:basedOn w:val="DefaultParagraphFont"/>
    <w:link w:val="Heading5"/>
    <w:semiHidden/>
    <w:rsid w:val="00476DED"/>
    <w:rPr>
      <w:rFonts w:asciiTheme="minorHAnsi" w:eastAsiaTheme="majorEastAsia" w:hAnsiTheme="minorHAnsi" w:cstheme="majorBidi"/>
      <w:color w:val="0F4761" w:themeColor="accent1" w:themeShade="BF"/>
      <w:sz w:val="24"/>
      <w:szCs w:val="24"/>
      <w:lang w:val="en-US" w:eastAsia="en-US"/>
    </w:rPr>
  </w:style>
  <w:style w:type="character" w:customStyle="1" w:styleId="Heading6Char">
    <w:name w:val="Heading 6 Char"/>
    <w:basedOn w:val="DefaultParagraphFont"/>
    <w:link w:val="Heading6"/>
    <w:semiHidden/>
    <w:rsid w:val="00476DED"/>
    <w:rPr>
      <w:rFonts w:asciiTheme="minorHAnsi" w:eastAsiaTheme="majorEastAsia" w:hAnsiTheme="minorHAnsi" w:cstheme="majorBidi"/>
      <w:i/>
      <w:iCs/>
      <w:color w:val="595959" w:themeColor="text1" w:themeTint="A6"/>
      <w:sz w:val="24"/>
      <w:szCs w:val="24"/>
      <w:lang w:val="en-US" w:eastAsia="en-US"/>
    </w:rPr>
  </w:style>
  <w:style w:type="character" w:customStyle="1" w:styleId="Heading7Char">
    <w:name w:val="Heading 7 Char"/>
    <w:basedOn w:val="DefaultParagraphFont"/>
    <w:link w:val="Heading7"/>
    <w:semiHidden/>
    <w:rsid w:val="00476DED"/>
    <w:rPr>
      <w:rFonts w:asciiTheme="minorHAnsi" w:eastAsiaTheme="majorEastAsia" w:hAnsiTheme="minorHAnsi" w:cstheme="majorBidi"/>
      <w:color w:val="595959" w:themeColor="text1" w:themeTint="A6"/>
      <w:sz w:val="24"/>
      <w:szCs w:val="24"/>
      <w:lang w:val="en-US" w:eastAsia="en-US"/>
    </w:rPr>
  </w:style>
  <w:style w:type="character" w:customStyle="1" w:styleId="Heading8Char">
    <w:name w:val="Heading 8 Char"/>
    <w:basedOn w:val="DefaultParagraphFont"/>
    <w:link w:val="Heading8"/>
    <w:semiHidden/>
    <w:rsid w:val="00476DED"/>
    <w:rPr>
      <w:rFonts w:asciiTheme="minorHAnsi" w:eastAsiaTheme="majorEastAsia" w:hAnsiTheme="minorHAnsi" w:cstheme="majorBidi"/>
      <w:i/>
      <w:iCs/>
      <w:color w:val="272727" w:themeColor="text1" w:themeTint="D8"/>
      <w:sz w:val="24"/>
      <w:szCs w:val="24"/>
      <w:lang w:val="en-US" w:eastAsia="en-US"/>
    </w:rPr>
  </w:style>
  <w:style w:type="character" w:customStyle="1" w:styleId="Heading9Char">
    <w:name w:val="Heading 9 Char"/>
    <w:basedOn w:val="DefaultParagraphFont"/>
    <w:link w:val="Heading9"/>
    <w:semiHidden/>
    <w:rsid w:val="00476DED"/>
    <w:rPr>
      <w:rFonts w:asciiTheme="minorHAnsi" w:eastAsiaTheme="majorEastAsia" w:hAnsiTheme="minorHAnsi" w:cstheme="majorBidi"/>
      <w:color w:val="272727" w:themeColor="text1" w:themeTint="D8"/>
      <w:sz w:val="24"/>
      <w:szCs w:val="24"/>
      <w:lang w:val="en-US" w:eastAsia="en-US"/>
    </w:rPr>
  </w:style>
  <w:style w:type="paragraph" w:styleId="Title">
    <w:name w:val="Title"/>
    <w:basedOn w:val="Normal"/>
    <w:next w:val="Normal"/>
    <w:link w:val="TitleChar"/>
    <w:qFormat/>
    <w:rsid w:val="00476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76DED"/>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qFormat/>
    <w:rsid w:val="00476D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76DED"/>
    <w:rPr>
      <w:rFonts w:asciiTheme="minorHAnsi" w:eastAsiaTheme="majorEastAsia" w:hAnsiTheme="minorHAnsi"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476D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6DED"/>
    <w:rPr>
      <w:rFonts w:ascii="Arial" w:hAnsi="Arial"/>
      <w:i/>
      <w:iCs/>
      <w:color w:val="404040" w:themeColor="text1" w:themeTint="BF"/>
      <w:sz w:val="24"/>
      <w:szCs w:val="24"/>
      <w:lang w:val="en-US" w:eastAsia="en-US"/>
    </w:rPr>
  </w:style>
  <w:style w:type="paragraph" w:styleId="ListParagraph">
    <w:name w:val="List Paragraph"/>
    <w:basedOn w:val="Normal"/>
    <w:uiPriority w:val="34"/>
    <w:qFormat/>
    <w:rsid w:val="00476DED"/>
    <w:pPr>
      <w:ind w:left="720"/>
      <w:contextualSpacing/>
    </w:pPr>
  </w:style>
  <w:style w:type="character" w:styleId="IntenseEmphasis">
    <w:name w:val="Intense Emphasis"/>
    <w:basedOn w:val="DefaultParagraphFont"/>
    <w:uiPriority w:val="21"/>
    <w:qFormat/>
    <w:rsid w:val="00476DED"/>
    <w:rPr>
      <w:i/>
      <w:iCs/>
      <w:color w:val="0F4761" w:themeColor="accent1" w:themeShade="BF"/>
    </w:rPr>
  </w:style>
  <w:style w:type="paragraph" w:styleId="IntenseQuote">
    <w:name w:val="Intense Quote"/>
    <w:basedOn w:val="Normal"/>
    <w:next w:val="Normal"/>
    <w:link w:val="IntenseQuoteChar"/>
    <w:uiPriority w:val="30"/>
    <w:qFormat/>
    <w:rsid w:val="00476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DED"/>
    <w:rPr>
      <w:rFonts w:ascii="Arial" w:hAnsi="Arial"/>
      <w:i/>
      <w:iCs/>
      <w:color w:val="0F4761" w:themeColor="accent1" w:themeShade="BF"/>
      <w:sz w:val="24"/>
      <w:szCs w:val="24"/>
      <w:lang w:val="en-US" w:eastAsia="en-US"/>
    </w:rPr>
  </w:style>
  <w:style w:type="character" w:styleId="IntenseReference">
    <w:name w:val="Intense Reference"/>
    <w:basedOn w:val="DefaultParagraphFont"/>
    <w:uiPriority w:val="32"/>
    <w:qFormat/>
    <w:rsid w:val="00476DED"/>
    <w:rPr>
      <w:b/>
      <w:bCs/>
      <w:smallCaps/>
      <w:color w:val="0F4761" w:themeColor="accent1" w:themeShade="BF"/>
      <w:spacing w:val="5"/>
    </w:rPr>
  </w:style>
  <w:style w:type="paragraph" w:styleId="Caption">
    <w:name w:val="caption"/>
    <w:basedOn w:val="Normal"/>
    <w:next w:val="Normal"/>
    <w:uiPriority w:val="35"/>
    <w:unhideWhenUsed/>
    <w:qFormat/>
    <w:rsid w:val="00476DED"/>
    <w:pPr>
      <w:spacing w:after="200" w:line="240" w:lineRule="auto"/>
    </w:pPr>
    <w:rPr>
      <w:i/>
      <w:iCs/>
      <w:color w:val="0E2841" w:themeColor="text2"/>
      <w:sz w:val="18"/>
      <w:szCs w:val="18"/>
    </w:rPr>
  </w:style>
  <w:style w:type="character" w:styleId="CommentReference">
    <w:name w:val="annotation reference"/>
    <w:basedOn w:val="DefaultParagraphFont"/>
    <w:rsid w:val="00476DED"/>
    <w:rPr>
      <w:sz w:val="16"/>
      <w:szCs w:val="16"/>
    </w:rPr>
  </w:style>
  <w:style w:type="paragraph" w:styleId="CommentText">
    <w:name w:val="annotation text"/>
    <w:basedOn w:val="Normal"/>
    <w:link w:val="CommentTextChar"/>
    <w:rsid w:val="00476DED"/>
    <w:pPr>
      <w:spacing w:line="240" w:lineRule="auto"/>
    </w:pPr>
    <w:rPr>
      <w:sz w:val="20"/>
      <w:szCs w:val="20"/>
    </w:rPr>
  </w:style>
  <w:style w:type="character" w:customStyle="1" w:styleId="CommentTextChar">
    <w:name w:val="Comment Text Char"/>
    <w:basedOn w:val="DefaultParagraphFont"/>
    <w:link w:val="CommentText"/>
    <w:rsid w:val="00476DED"/>
    <w:rPr>
      <w:rFonts w:asciiTheme="minorHAnsi" w:eastAsiaTheme="minorHAnsi" w:hAnsiTheme="minorHAnsi" w:cstheme="minorBidi"/>
      <w:lang w:val="nl-BE" w:eastAsia="en-US"/>
    </w:rPr>
  </w:style>
  <w:style w:type="paragraph" w:styleId="CommentSubject">
    <w:name w:val="annotation subject"/>
    <w:basedOn w:val="CommentText"/>
    <w:next w:val="CommentText"/>
    <w:link w:val="CommentSubjectChar"/>
    <w:rsid w:val="00476DED"/>
    <w:rPr>
      <w:b/>
      <w:bCs/>
    </w:rPr>
  </w:style>
  <w:style w:type="character" w:customStyle="1" w:styleId="CommentSubjectChar">
    <w:name w:val="Comment Subject Char"/>
    <w:basedOn w:val="CommentTextChar"/>
    <w:link w:val="CommentSubject"/>
    <w:rsid w:val="00476DED"/>
    <w:rPr>
      <w:rFonts w:asciiTheme="minorHAnsi" w:eastAsiaTheme="minorHAnsi" w:hAnsiTheme="minorHAnsi" w:cstheme="minorBidi"/>
      <w:b/>
      <w:bCs/>
      <w:lang w:val="nl-BE" w:eastAsia="en-US"/>
    </w:rPr>
  </w:style>
  <w:style w:type="table" w:styleId="TableGrid">
    <w:name w:val="Table Grid"/>
    <w:basedOn w:val="TableNormal"/>
    <w:rsid w:val="0031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F12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00442">
      <w:bodyDiv w:val="1"/>
      <w:marLeft w:val="0"/>
      <w:marRight w:val="0"/>
      <w:marTop w:val="0"/>
      <w:marBottom w:val="0"/>
      <w:divBdr>
        <w:top w:val="none" w:sz="0" w:space="0" w:color="auto"/>
        <w:left w:val="none" w:sz="0" w:space="0" w:color="auto"/>
        <w:bottom w:val="none" w:sz="0" w:space="0" w:color="auto"/>
        <w:right w:val="none" w:sz="0" w:space="0" w:color="auto"/>
      </w:divBdr>
    </w:div>
    <w:div w:id="1121143849">
      <w:bodyDiv w:val="1"/>
      <w:marLeft w:val="0"/>
      <w:marRight w:val="0"/>
      <w:marTop w:val="0"/>
      <w:marBottom w:val="0"/>
      <w:divBdr>
        <w:top w:val="none" w:sz="0" w:space="0" w:color="auto"/>
        <w:left w:val="none" w:sz="0" w:space="0" w:color="auto"/>
        <w:bottom w:val="none" w:sz="0" w:space="0" w:color="auto"/>
        <w:right w:val="none" w:sz="0" w:space="0" w:color="auto"/>
      </w:divBdr>
    </w:div>
    <w:div w:id="1308051391">
      <w:bodyDiv w:val="1"/>
      <w:marLeft w:val="0"/>
      <w:marRight w:val="0"/>
      <w:marTop w:val="0"/>
      <w:marBottom w:val="0"/>
      <w:divBdr>
        <w:top w:val="none" w:sz="0" w:space="0" w:color="auto"/>
        <w:left w:val="none" w:sz="0" w:space="0" w:color="auto"/>
        <w:bottom w:val="none" w:sz="0" w:space="0" w:color="auto"/>
        <w:right w:val="none" w:sz="0" w:space="0" w:color="auto"/>
      </w:divBdr>
    </w:div>
    <w:div w:id="173916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05D51-5C89-49B3-AD50-C49F255EC9C5}">
  <ds:schemaRefs>
    <ds:schemaRef ds:uri="http://schemas.microsoft.com/office/2006/metadata/properties"/>
    <ds:schemaRef ds:uri="http://schemas.microsoft.com/office/infopath/2007/PartnerControls"/>
    <ds:schemaRef ds:uri="cf83245a-01d9-4485-b032-fd054b795d5d"/>
  </ds:schemaRefs>
</ds:datastoreItem>
</file>

<file path=customXml/itemProps2.xml><?xml version="1.0" encoding="utf-8"?>
<ds:datastoreItem xmlns:ds="http://schemas.openxmlformats.org/officeDocument/2006/customXml" ds:itemID="{A85828E3-31AB-4EC3-814C-031999004E86}">
  <ds:schemaRefs>
    <ds:schemaRef ds:uri="http://schemas.microsoft.com/sharepoint/v3/contenttype/forms"/>
  </ds:schemaRefs>
</ds:datastoreItem>
</file>

<file path=customXml/itemProps3.xml><?xml version="1.0" encoding="utf-8"?>
<ds:datastoreItem xmlns:ds="http://schemas.openxmlformats.org/officeDocument/2006/customXml" ds:itemID="{03C62790-5C89-46DA-B063-E14DE1F94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3245a-01d9-4485-b032-fd054b795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Duran (RIZIV-INAMI)</dc:creator>
  <cp:keywords/>
  <dc:description/>
  <cp:lastModifiedBy>Bruno De Bolle (RIZIV-INAMI)</cp:lastModifiedBy>
  <cp:revision>3</cp:revision>
  <dcterms:created xsi:type="dcterms:W3CDTF">2026-06-18T07:42:00Z</dcterms:created>
  <dcterms:modified xsi:type="dcterms:W3CDTF">2026-06-24T11:30:00Z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TODOBY">
    <vt:lpwstr>Communication</vt:lpwstr>
  </property>
</Properties>
</file>