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1A22" w14:textId="77777777" w:rsidR="00864248" w:rsidRPr="00864248" w:rsidRDefault="00864248" w:rsidP="00864248">
      <w:pPr>
        <w:pBdr>
          <w:bottom w:val="single" w:sz="4" w:space="1" w:color="auto"/>
        </w:pBdr>
        <w:jc w:val="both"/>
        <w:rPr>
          <w:lang w:val="fr-BE"/>
        </w:rPr>
      </w:pPr>
      <w:r w:rsidRPr="00864248">
        <w:rPr>
          <w:lang w:val="fr-BE"/>
        </w:rPr>
        <w:t>INDICATEUR WAIT 2025</w:t>
      </w:r>
    </w:p>
    <w:p w14:paraId="2F71C7B2" w14:textId="36A96DDB" w:rsidR="00864248" w:rsidRPr="00864248" w:rsidRDefault="00864248" w:rsidP="00864248">
      <w:pPr>
        <w:pBdr>
          <w:bottom w:val="single" w:sz="4" w:space="1" w:color="auto"/>
        </w:pBdr>
        <w:jc w:val="both"/>
        <w:rPr>
          <w:lang w:val="fr-BE"/>
        </w:rPr>
      </w:pPr>
      <w:r w:rsidRPr="00864248">
        <w:rPr>
          <w:lang w:val="fr-BE"/>
        </w:rPr>
        <w:t>Synthèse de l’analyse de la Direction Politique pharmaceutique de l’INAMI (situation au 20/05/2025)</w:t>
      </w:r>
    </w:p>
    <w:p w14:paraId="16A7ECA7" w14:textId="77777777" w:rsidR="00476DED" w:rsidRPr="00864248" w:rsidRDefault="00476DED" w:rsidP="005D094E">
      <w:pPr>
        <w:jc w:val="both"/>
        <w:rPr>
          <w:lang w:val="fr-BE"/>
        </w:rPr>
      </w:pPr>
    </w:p>
    <w:p w14:paraId="432E87D4" w14:textId="77777777" w:rsidR="00476DED" w:rsidRPr="00864248" w:rsidRDefault="00476DED" w:rsidP="005D094E">
      <w:pPr>
        <w:jc w:val="both"/>
        <w:rPr>
          <w:lang w:val="fr-BE"/>
        </w:rPr>
      </w:pPr>
    </w:p>
    <w:p w14:paraId="6B1D9C97" w14:textId="6F986581" w:rsidR="00476DED" w:rsidRPr="00864248" w:rsidRDefault="00864248" w:rsidP="005D094E">
      <w:pPr>
        <w:pBdr>
          <w:bottom w:val="single" w:sz="4" w:space="1" w:color="auto"/>
        </w:pBdr>
        <w:jc w:val="both"/>
        <w:rPr>
          <w:b/>
          <w:bCs/>
          <w:lang w:val="fr-BE"/>
        </w:rPr>
      </w:pPr>
      <w:r w:rsidRPr="00864248">
        <w:rPr>
          <w:b/>
          <w:bCs/>
          <w:lang w:val="fr-BE"/>
        </w:rPr>
        <w:t>DONNÉES DE L’INDICATEUR WAIT – EFPIA/IQVIA</w:t>
      </w:r>
    </w:p>
    <w:p w14:paraId="6A0D3F1E" w14:textId="77777777" w:rsidR="00476DED" w:rsidRPr="00864248" w:rsidRDefault="00476DED" w:rsidP="005D094E">
      <w:pPr>
        <w:jc w:val="both"/>
        <w:rPr>
          <w:lang w:val="fr-BE"/>
        </w:rPr>
      </w:pPr>
    </w:p>
    <w:p w14:paraId="05E178FD" w14:textId="77777777" w:rsidR="00476DED" w:rsidRPr="00864248" w:rsidRDefault="00476DED" w:rsidP="005D094E">
      <w:pPr>
        <w:jc w:val="both"/>
        <w:rPr>
          <w:lang w:val="fr-BE"/>
        </w:rPr>
      </w:pPr>
    </w:p>
    <w:p w14:paraId="192A22A2" w14:textId="28E2BE65" w:rsidR="00476DED" w:rsidRDefault="00476DED" w:rsidP="005D094E">
      <w:pPr>
        <w:jc w:val="both"/>
      </w:pPr>
      <w:r>
        <w:rPr>
          <w:noProof/>
        </w:rPr>
        <w:drawing>
          <wp:inline distT="0" distB="0" distL="0" distR="0" wp14:anchorId="1DAEEDB4" wp14:editId="1417DB54">
            <wp:extent cx="5810250" cy="3231759"/>
            <wp:effectExtent l="0" t="0" r="0" b="6985"/>
            <wp:docPr id="1953794061" name="Picture 1" descr="A blue and white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94061" name="Picture 1" descr="A blue and white inform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735" cy="323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510DD" w14:textId="77777777" w:rsidR="00476DED" w:rsidRDefault="00476DED" w:rsidP="005D094E">
      <w:pPr>
        <w:jc w:val="both"/>
      </w:pPr>
    </w:p>
    <w:p w14:paraId="0CD49913" w14:textId="73F47575" w:rsidR="00476DED" w:rsidRDefault="00476DED" w:rsidP="005D094E">
      <w:pPr>
        <w:jc w:val="both"/>
      </w:pPr>
    </w:p>
    <w:p w14:paraId="53011683" w14:textId="509435E7" w:rsidR="00476DED" w:rsidRDefault="00476DED" w:rsidP="005D094E">
      <w:pPr>
        <w:jc w:val="both"/>
      </w:pPr>
      <w:r>
        <w:rPr>
          <w:noProof/>
        </w:rPr>
        <w:drawing>
          <wp:inline distT="0" distB="0" distL="0" distR="0" wp14:anchorId="5043639C" wp14:editId="7BA48862">
            <wp:extent cx="5760720" cy="3227705"/>
            <wp:effectExtent l="0" t="0" r="0" b="0"/>
            <wp:docPr id="68656613" name="Picture 1" descr="A green and whit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6613" name="Picture 1" descr="A green and white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98AA9" w14:textId="77777777" w:rsidR="00476DED" w:rsidRDefault="00476DED" w:rsidP="005D094E">
      <w:pPr>
        <w:jc w:val="both"/>
      </w:pPr>
    </w:p>
    <w:p w14:paraId="2DD964E4" w14:textId="77777777" w:rsidR="00476DED" w:rsidRDefault="00476DED" w:rsidP="005D094E">
      <w:pPr>
        <w:jc w:val="both"/>
      </w:pPr>
    </w:p>
    <w:p w14:paraId="08003D19" w14:textId="25B0352B" w:rsidR="00476DED" w:rsidRDefault="00476DED" w:rsidP="005D094E">
      <w:pPr>
        <w:jc w:val="both"/>
      </w:pPr>
    </w:p>
    <w:p w14:paraId="0C349963" w14:textId="77777777" w:rsidR="00476DED" w:rsidRDefault="00476DED" w:rsidP="005D094E">
      <w:pPr>
        <w:jc w:val="both"/>
      </w:pPr>
    </w:p>
    <w:p w14:paraId="58ED325F" w14:textId="78311F8C" w:rsidR="00476DED" w:rsidRDefault="00D133B6" w:rsidP="005D094E">
      <w:pPr>
        <w:jc w:val="both"/>
      </w:pPr>
      <w:r>
        <w:rPr>
          <w:noProof/>
        </w:rPr>
        <w:drawing>
          <wp:inline distT="0" distB="0" distL="0" distR="0" wp14:anchorId="0F943E11" wp14:editId="14C3D731">
            <wp:extent cx="5760720" cy="3115945"/>
            <wp:effectExtent l="0" t="0" r="0" b="8255"/>
            <wp:docPr id="1454383095" name="Picture 1" descr="A chart with number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83095" name="Picture 1" descr="A chart with numbers and do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848C7" w14:textId="77777777" w:rsidR="008F125F" w:rsidRDefault="008F125F" w:rsidP="008F125F">
      <w:pPr>
        <w:jc w:val="both"/>
        <w:rPr>
          <w:lang w:val="fr-BE"/>
        </w:rPr>
      </w:pPr>
    </w:p>
    <w:p w14:paraId="58E2A3D7" w14:textId="76950D9D" w:rsidR="008F125F" w:rsidRPr="008F125F" w:rsidRDefault="008F125F" w:rsidP="008F125F">
      <w:pPr>
        <w:jc w:val="both"/>
        <w:rPr>
          <w:lang w:val="fr-BE"/>
        </w:rPr>
      </w:pPr>
      <w:r w:rsidRPr="008F125F">
        <w:rPr>
          <w:lang w:val="fr-BE"/>
        </w:rPr>
        <w:t>Principales données de l’indicateur IQVIA EFPIA WAIT 2024 pour la Belgique</w:t>
      </w:r>
    </w:p>
    <w:p w14:paraId="09B44F2B" w14:textId="77777777" w:rsidR="008F125F" w:rsidRPr="008F125F" w:rsidRDefault="008F125F" w:rsidP="008F125F">
      <w:pPr>
        <w:numPr>
          <w:ilvl w:val="0"/>
          <w:numId w:val="5"/>
        </w:numPr>
        <w:jc w:val="both"/>
        <w:rPr>
          <w:lang w:val="fr-BE"/>
        </w:rPr>
      </w:pPr>
      <w:r w:rsidRPr="008F125F">
        <w:rPr>
          <w:lang w:val="fr-BE"/>
        </w:rPr>
        <w:t>173 médicaments ont été pris en compte</w:t>
      </w:r>
    </w:p>
    <w:p w14:paraId="654DD2DA" w14:textId="567C389F" w:rsidR="008F125F" w:rsidRPr="008F125F" w:rsidRDefault="008F125F" w:rsidP="008F125F">
      <w:pPr>
        <w:numPr>
          <w:ilvl w:val="0"/>
          <w:numId w:val="5"/>
        </w:numPr>
        <w:jc w:val="both"/>
        <w:rPr>
          <w:lang w:val="fr-BE"/>
        </w:rPr>
      </w:pPr>
      <w:r w:rsidRPr="008F125F">
        <w:rPr>
          <w:lang w:val="fr-BE"/>
        </w:rPr>
        <w:t xml:space="preserve">En Belgique, </w:t>
      </w:r>
      <w:r w:rsidRPr="008F125F">
        <w:rPr>
          <w:b/>
          <w:bCs/>
          <w:lang w:val="fr-BE"/>
        </w:rPr>
        <w:t>88</w:t>
      </w:r>
      <w:r w:rsidRPr="008F125F">
        <w:rPr>
          <w:lang w:val="fr-BE"/>
        </w:rPr>
        <w:t xml:space="preserve"> d’entre eux sont </w:t>
      </w:r>
      <w:r>
        <w:rPr>
          <w:lang w:val="fr-BE"/>
        </w:rPr>
        <w:t>‘</w:t>
      </w:r>
      <w:r w:rsidRPr="008F125F">
        <w:rPr>
          <w:lang w:val="fr-BE"/>
        </w:rPr>
        <w:t>disponibles</w:t>
      </w:r>
      <w:r>
        <w:rPr>
          <w:lang w:val="fr-BE"/>
        </w:rPr>
        <w:t>’</w:t>
      </w:r>
      <w:r w:rsidRPr="008F125F">
        <w:rPr>
          <w:lang w:val="fr-BE"/>
        </w:rPr>
        <w:t xml:space="preserve"> (= remboursables)</w:t>
      </w:r>
    </w:p>
    <w:p w14:paraId="759ED1CE" w14:textId="3D4CE72A" w:rsidR="008F125F" w:rsidRPr="008F125F" w:rsidRDefault="008F125F" w:rsidP="008F125F">
      <w:pPr>
        <w:numPr>
          <w:ilvl w:val="0"/>
          <w:numId w:val="5"/>
        </w:numPr>
        <w:jc w:val="both"/>
        <w:rPr>
          <w:lang w:val="fr-BE"/>
        </w:rPr>
      </w:pPr>
      <w:r w:rsidRPr="008F125F">
        <w:rPr>
          <w:lang w:val="fr-BE"/>
        </w:rPr>
        <w:t xml:space="preserve">Délai moyen entre l’autorisation de mise sur le marché (centralisée) et le </w:t>
      </w:r>
      <w:proofErr w:type="gramStart"/>
      <w:r w:rsidRPr="008F125F">
        <w:rPr>
          <w:lang w:val="fr-BE"/>
        </w:rPr>
        <w:t>remboursement:</w:t>
      </w:r>
      <w:proofErr w:type="gramEnd"/>
      <w:r w:rsidRPr="008F125F">
        <w:rPr>
          <w:lang w:val="fr-BE"/>
        </w:rPr>
        <w:t xml:space="preserve"> 549 jours</w:t>
      </w:r>
    </w:p>
    <w:p w14:paraId="43FB7A5E" w14:textId="20EB0A6E" w:rsidR="00476DED" w:rsidRPr="008F125F" w:rsidRDefault="00476DED" w:rsidP="005D094E">
      <w:pPr>
        <w:jc w:val="both"/>
        <w:rPr>
          <w:lang w:val="fr-BE"/>
        </w:rPr>
      </w:pPr>
      <w:r w:rsidRPr="008F125F">
        <w:rPr>
          <w:lang w:val="fr-BE"/>
        </w:rPr>
        <w:br w:type="page"/>
      </w:r>
    </w:p>
    <w:p w14:paraId="2192394C" w14:textId="360F2A7E" w:rsidR="00476DED" w:rsidRPr="008F125F" w:rsidRDefault="008F125F" w:rsidP="005D094E">
      <w:pPr>
        <w:pBdr>
          <w:bottom w:val="single" w:sz="4" w:space="1" w:color="auto"/>
        </w:pBdr>
        <w:jc w:val="both"/>
        <w:rPr>
          <w:b/>
          <w:bCs/>
          <w:lang w:val="fr-BE"/>
        </w:rPr>
      </w:pPr>
      <w:r w:rsidRPr="008F125F">
        <w:rPr>
          <w:b/>
          <w:bCs/>
          <w:lang w:val="fr-BE"/>
        </w:rPr>
        <w:lastRenderedPageBreak/>
        <w:t>DONNÉES INAMI – Direction Politique pharmaceutique</w:t>
      </w:r>
    </w:p>
    <w:p w14:paraId="01ACE797" w14:textId="77777777" w:rsidR="00476DED" w:rsidRPr="008F125F" w:rsidRDefault="00476DED" w:rsidP="005D094E">
      <w:pPr>
        <w:jc w:val="both"/>
        <w:rPr>
          <w:lang w:val="fr-BE"/>
        </w:rPr>
      </w:pPr>
    </w:p>
    <w:p w14:paraId="7A578A43" w14:textId="04D01448" w:rsidR="008F125F" w:rsidRPr="00935D1C" w:rsidRDefault="008F125F" w:rsidP="008F125F">
      <w:pPr>
        <w:rPr>
          <w:b/>
          <w:bCs/>
          <w:lang w:val="fr-BE"/>
        </w:rPr>
      </w:pPr>
      <w:r w:rsidRPr="00935D1C">
        <w:rPr>
          <w:b/>
          <w:bCs/>
          <w:lang w:val="fr-BE"/>
        </w:rPr>
        <w:t>ANALYSE DE L’ACCESSIBILITÉ</w:t>
      </w:r>
    </w:p>
    <w:p w14:paraId="613D2A33" w14:textId="0B6034A3" w:rsidR="00476DED" w:rsidRPr="00935D1C" w:rsidRDefault="00476DED" w:rsidP="005D094E">
      <w:pPr>
        <w:jc w:val="both"/>
        <w:rPr>
          <w:b/>
          <w:bCs/>
          <w:lang w:val="fr-BE"/>
        </w:rPr>
      </w:pPr>
    </w:p>
    <w:p w14:paraId="31D29AE4" w14:textId="3EE3F21B" w:rsidR="008F125F" w:rsidRDefault="008F125F" w:rsidP="008F125F">
      <w:pPr>
        <w:rPr>
          <w:lang w:val="fr-BE"/>
        </w:rPr>
      </w:pPr>
      <w:r w:rsidRPr="008F125F">
        <w:rPr>
          <w:lang w:val="fr-BE"/>
        </w:rPr>
        <w:t>Sur les 173 médicaments pris en compte dans l’indicateur WAIT, une demande de</w:t>
      </w:r>
      <w:r>
        <w:rPr>
          <w:lang w:val="fr-BE"/>
        </w:rPr>
        <w:t xml:space="preserve"> </w:t>
      </w:r>
      <w:r w:rsidRPr="008F125F">
        <w:rPr>
          <w:lang w:val="fr-BE"/>
        </w:rPr>
        <w:t>remboursement a été introduite en Belgique pour 135 médicaments (78 %), tandis que pour 38 médicaments, ce n’est (pas encore) le cas (22 %).</w:t>
      </w:r>
    </w:p>
    <w:p w14:paraId="295A56F4" w14:textId="77777777" w:rsidR="008F125F" w:rsidRPr="008F125F" w:rsidRDefault="008F125F" w:rsidP="008F125F">
      <w:pPr>
        <w:rPr>
          <w:lang w:val="fr-BE"/>
        </w:rPr>
      </w:pPr>
    </w:p>
    <w:p w14:paraId="778CF743" w14:textId="77777777" w:rsidR="008F125F" w:rsidRPr="008F125F" w:rsidRDefault="008F125F" w:rsidP="008F125F">
      <w:pPr>
        <w:rPr>
          <w:lang w:val="fr-BE"/>
        </w:rPr>
      </w:pPr>
      <w:r w:rsidRPr="008F125F">
        <w:rPr>
          <w:lang w:val="fr-BE"/>
        </w:rPr>
        <w:t>Parmi les 135 médicaments pour lesquels une demande a été introduite :</w:t>
      </w:r>
    </w:p>
    <w:p w14:paraId="75F6CEC1" w14:textId="4304B412" w:rsidR="008F125F" w:rsidRPr="008F125F" w:rsidRDefault="008F125F" w:rsidP="008F125F">
      <w:pPr>
        <w:numPr>
          <w:ilvl w:val="0"/>
          <w:numId w:val="6"/>
        </w:numPr>
        <w:rPr>
          <w:lang w:val="fr-BE"/>
        </w:rPr>
      </w:pPr>
      <w:r w:rsidRPr="008F125F">
        <w:rPr>
          <w:lang w:val="fr-BE"/>
        </w:rPr>
        <w:t>28 médicaments (21 %) ont fait l’objet d’une demande en classe 2 (pas de valeur ajoutée – à la demande de la firme),</w:t>
      </w:r>
    </w:p>
    <w:p w14:paraId="1866C76A" w14:textId="77777777" w:rsidR="008F125F" w:rsidRPr="008F125F" w:rsidRDefault="008F125F" w:rsidP="008F125F">
      <w:pPr>
        <w:numPr>
          <w:ilvl w:val="0"/>
          <w:numId w:val="6"/>
        </w:numPr>
        <w:rPr>
          <w:lang w:val="en-GB"/>
        </w:rPr>
      </w:pPr>
      <w:r w:rsidRPr="008F125F">
        <w:rPr>
          <w:lang w:val="en-GB"/>
        </w:rPr>
        <w:t xml:space="preserve">58 </w:t>
      </w:r>
      <w:proofErr w:type="spellStart"/>
      <w:r w:rsidRPr="008F125F">
        <w:rPr>
          <w:lang w:val="en-GB"/>
        </w:rPr>
        <w:t>médicaments</w:t>
      </w:r>
      <w:proofErr w:type="spellEnd"/>
      <w:r w:rsidRPr="008F125F">
        <w:rPr>
          <w:lang w:val="en-GB"/>
        </w:rPr>
        <w:t xml:space="preserve"> (43 %) </w:t>
      </w:r>
      <w:proofErr w:type="spellStart"/>
      <w:r w:rsidRPr="008F125F">
        <w:rPr>
          <w:lang w:val="en-GB"/>
        </w:rPr>
        <w:t>en</w:t>
      </w:r>
      <w:proofErr w:type="spellEnd"/>
      <w:r w:rsidRPr="008F125F">
        <w:rPr>
          <w:lang w:val="en-GB"/>
        </w:rPr>
        <w:t xml:space="preserve"> </w:t>
      </w:r>
      <w:proofErr w:type="spellStart"/>
      <w:r w:rsidRPr="008F125F">
        <w:rPr>
          <w:lang w:val="en-GB"/>
        </w:rPr>
        <w:t>classe</w:t>
      </w:r>
      <w:proofErr w:type="spellEnd"/>
      <w:r w:rsidRPr="008F125F">
        <w:rPr>
          <w:lang w:val="en-GB"/>
        </w:rPr>
        <w:t xml:space="preserve"> 1,</w:t>
      </w:r>
    </w:p>
    <w:p w14:paraId="39FCE661" w14:textId="77777777" w:rsidR="008F125F" w:rsidRPr="008F125F" w:rsidRDefault="008F125F" w:rsidP="008F125F">
      <w:pPr>
        <w:numPr>
          <w:ilvl w:val="0"/>
          <w:numId w:val="6"/>
        </w:numPr>
        <w:rPr>
          <w:lang w:val="en-GB"/>
        </w:rPr>
      </w:pPr>
      <w:r w:rsidRPr="008F125F">
        <w:rPr>
          <w:lang w:val="en-GB"/>
        </w:rPr>
        <w:t xml:space="preserve">48 </w:t>
      </w:r>
      <w:proofErr w:type="spellStart"/>
      <w:r w:rsidRPr="008F125F">
        <w:rPr>
          <w:lang w:val="en-GB"/>
        </w:rPr>
        <w:t>médicaments</w:t>
      </w:r>
      <w:proofErr w:type="spellEnd"/>
      <w:r w:rsidRPr="008F125F">
        <w:rPr>
          <w:lang w:val="en-GB"/>
        </w:rPr>
        <w:t xml:space="preserve"> (36 %) </w:t>
      </w:r>
      <w:proofErr w:type="spellStart"/>
      <w:r w:rsidRPr="008F125F">
        <w:rPr>
          <w:lang w:val="en-GB"/>
        </w:rPr>
        <w:t>en</w:t>
      </w:r>
      <w:proofErr w:type="spellEnd"/>
      <w:r w:rsidRPr="008F125F">
        <w:rPr>
          <w:lang w:val="en-GB"/>
        </w:rPr>
        <w:t xml:space="preserve"> </w:t>
      </w:r>
      <w:proofErr w:type="spellStart"/>
      <w:r w:rsidRPr="008F125F">
        <w:rPr>
          <w:lang w:val="en-GB"/>
        </w:rPr>
        <w:t>classe</w:t>
      </w:r>
      <w:proofErr w:type="spellEnd"/>
      <w:r w:rsidRPr="008F125F">
        <w:rPr>
          <w:lang w:val="en-GB"/>
        </w:rPr>
        <w:t xml:space="preserve"> </w:t>
      </w:r>
      <w:proofErr w:type="spellStart"/>
      <w:r w:rsidRPr="008F125F">
        <w:rPr>
          <w:lang w:val="en-GB"/>
        </w:rPr>
        <w:t>orpheline</w:t>
      </w:r>
      <w:proofErr w:type="spellEnd"/>
      <w:r w:rsidRPr="008F125F">
        <w:rPr>
          <w:lang w:val="en-GB"/>
        </w:rPr>
        <w:t>,</w:t>
      </w:r>
    </w:p>
    <w:p w14:paraId="361EEBE8" w14:textId="77777777" w:rsidR="008F125F" w:rsidRPr="008F125F" w:rsidRDefault="008F125F" w:rsidP="008F125F">
      <w:pPr>
        <w:numPr>
          <w:ilvl w:val="0"/>
          <w:numId w:val="6"/>
        </w:numPr>
        <w:rPr>
          <w:lang w:val="fr-BE"/>
        </w:rPr>
      </w:pPr>
      <w:proofErr w:type="gramStart"/>
      <w:r w:rsidRPr="008F125F">
        <w:rPr>
          <w:lang w:val="fr-BE"/>
        </w:rPr>
        <w:t>et</w:t>
      </w:r>
      <w:proofErr w:type="gramEnd"/>
      <w:r w:rsidRPr="008F125F">
        <w:rPr>
          <w:lang w:val="fr-BE"/>
        </w:rPr>
        <w:t xml:space="preserve"> 1 médicament (1 %) en classe radiopharmaceutique.</w:t>
      </w:r>
    </w:p>
    <w:p w14:paraId="1FD9E509" w14:textId="77777777" w:rsidR="008F125F" w:rsidRPr="008F125F" w:rsidRDefault="008F125F" w:rsidP="008F125F">
      <w:pPr>
        <w:ind w:left="720"/>
        <w:rPr>
          <w:lang w:val="fr-BE"/>
        </w:rPr>
      </w:pPr>
    </w:p>
    <w:p w14:paraId="5B4D06DC" w14:textId="77777777" w:rsidR="008F125F" w:rsidRPr="008F125F" w:rsidRDefault="008F125F" w:rsidP="008F125F">
      <w:pPr>
        <w:rPr>
          <w:lang w:val="en-GB"/>
        </w:rPr>
      </w:pPr>
      <w:r w:rsidRPr="008F125F">
        <w:rPr>
          <w:lang w:val="en-GB"/>
        </w:rPr>
        <w:t xml:space="preserve">Parmi </w:t>
      </w:r>
      <w:proofErr w:type="spellStart"/>
      <w:r w:rsidRPr="008F125F">
        <w:rPr>
          <w:lang w:val="en-GB"/>
        </w:rPr>
        <w:t>ces</w:t>
      </w:r>
      <w:proofErr w:type="spellEnd"/>
      <w:r w:rsidRPr="008F125F">
        <w:rPr>
          <w:lang w:val="en-GB"/>
        </w:rPr>
        <w:t xml:space="preserve"> 135 </w:t>
      </w:r>
      <w:proofErr w:type="spellStart"/>
      <w:proofErr w:type="gramStart"/>
      <w:r w:rsidRPr="008F125F">
        <w:rPr>
          <w:lang w:val="en-GB"/>
        </w:rPr>
        <w:t>médicaments</w:t>
      </w:r>
      <w:proofErr w:type="spellEnd"/>
      <w:r w:rsidRPr="008F125F">
        <w:rPr>
          <w:lang w:val="en-GB"/>
        </w:rPr>
        <w:t xml:space="preserve"> :</w:t>
      </w:r>
      <w:proofErr w:type="gramEnd"/>
    </w:p>
    <w:p w14:paraId="350D0F1F" w14:textId="77777777" w:rsidR="008F125F" w:rsidRPr="008F125F" w:rsidRDefault="008F125F" w:rsidP="008F125F">
      <w:pPr>
        <w:numPr>
          <w:ilvl w:val="0"/>
          <w:numId w:val="7"/>
        </w:numPr>
        <w:rPr>
          <w:lang w:val="en-GB"/>
        </w:rPr>
      </w:pPr>
      <w:r w:rsidRPr="008F125F">
        <w:rPr>
          <w:lang w:val="en-GB"/>
        </w:rPr>
        <w:t xml:space="preserve">92 </w:t>
      </w:r>
      <w:proofErr w:type="spellStart"/>
      <w:r w:rsidRPr="008F125F">
        <w:rPr>
          <w:lang w:val="en-GB"/>
        </w:rPr>
        <w:t>sont</w:t>
      </w:r>
      <w:proofErr w:type="spellEnd"/>
      <w:r w:rsidRPr="008F125F">
        <w:rPr>
          <w:lang w:val="en-GB"/>
        </w:rPr>
        <w:t xml:space="preserve"> déjà </w:t>
      </w:r>
      <w:proofErr w:type="spellStart"/>
      <w:r w:rsidRPr="008F125F">
        <w:rPr>
          <w:lang w:val="en-GB"/>
        </w:rPr>
        <w:t>remboursés</w:t>
      </w:r>
      <w:proofErr w:type="spellEnd"/>
      <w:r w:rsidRPr="008F125F">
        <w:rPr>
          <w:lang w:val="en-GB"/>
        </w:rPr>
        <w:t xml:space="preserve"> (68 %),</w:t>
      </w:r>
    </w:p>
    <w:p w14:paraId="5109F300" w14:textId="5CDD7C41" w:rsidR="008F125F" w:rsidRPr="008F125F" w:rsidRDefault="008F125F" w:rsidP="008F125F">
      <w:pPr>
        <w:numPr>
          <w:ilvl w:val="0"/>
          <w:numId w:val="7"/>
        </w:numPr>
        <w:rPr>
          <w:lang w:val="fr-BE"/>
        </w:rPr>
      </w:pPr>
      <w:r w:rsidRPr="008F125F">
        <w:rPr>
          <w:lang w:val="fr-BE"/>
        </w:rPr>
        <w:t xml:space="preserve">2 dossiers (1 %) ont été remboursés dans le passé, mais ont été retirés du remboursement à la demande de </w:t>
      </w:r>
      <w:r>
        <w:rPr>
          <w:lang w:val="fr-BE"/>
        </w:rPr>
        <w:t>la firme</w:t>
      </w:r>
      <w:r w:rsidRPr="008F125F">
        <w:rPr>
          <w:lang w:val="fr-BE"/>
        </w:rPr>
        <w:t>,</w:t>
      </w:r>
    </w:p>
    <w:p w14:paraId="05BC1F92" w14:textId="77777777" w:rsidR="008F125F" w:rsidRPr="008F125F" w:rsidRDefault="008F125F" w:rsidP="008F125F">
      <w:pPr>
        <w:numPr>
          <w:ilvl w:val="0"/>
          <w:numId w:val="7"/>
        </w:numPr>
        <w:rPr>
          <w:lang w:val="fr-BE"/>
        </w:rPr>
      </w:pPr>
      <w:r w:rsidRPr="008F125F">
        <w:rPr>
          <w:lang w:val="fr-BE"/>
        </w:rPr>
        <w:t>18 dossiers (13 %) sont encore en cours de procédure,</w:t>
      </w:r>
    </w:p>
    <w:p w14:paraId="1D13CBFA" w14:textId="77777777" w:rsidR="008F125F" w:rsidRPr="008F125F" w:rsidRDefault="008F125F" w:rsidP="008F125F">
      <w:pPr>
        <w:numPr>
          <w:ilvl w:val="0"/>
          <w:numId w:val="7"/>
        </w:numPr>
        <w:rPr>
          <w:lang w:val="fr-BE"/>
        </w:rPr>
      </w:pPr>
      <w:r w:rsidRPr="008F125F">
        <w:rPr>
          <w:lang w:val="fr-BE"/>
        </w:rPr>
        <w:t xml:space="preserve">23 dossiers ont été clôturés (et n’ont pas (encore) été réintroduits), dont : </w:t>
      </w:r>
    </w:p>
    <w:p w14:paraId="1B85088B" w14:textId="77777777" w:rsidR="008F125F" w:rsidRPr="008F125F" w:rsidRDefault="008F125F" w:rsidP="008F125F">
      <w:pPr>
        <w:numPr>
          <w:ilvl w:val="1"/>
          <w:numId w:val="7"/>
        </w:numPr>
        <w:rPr>
          <w:lang w:val="fr-BE"/>
        </w:rPr>
      </w:pPr>
      <w:r w:rsidRPr="008F125F">
        <w:rPr>
          <w:lang w:val="fr-BE"/>
        </w:rPr>
        <w:t>10 dossiers (7 %) avec une décision négative,</w:t>
      </w:r>
    </w:p>
    <w:p w14:paraId="59A5845A" w14:textId="77777777" w:rsidR="008F125F" w:rsidRPr="008F125F" w:rsidRDefault="008F125F" w:rsidP="008F125F">
      <w:pPr>
        <w:numPr>
          <w:ilvl w:val="1"/>
          <w:numId w:val="7"/>
        </w:numPr>
        <w:rPr>
          <w:lang w:val="fr-BE"/>
        </w:rPr>
      </w:pPr>
      <w:r w:rsidRPr="008F125F">
        <w:rPr>
          <w:lang w:val="fr-BE"/>
        </w:rPr>
        <w:t>2 dossiers (1 %) en raison d’une absence d’introduction ou d’absence de réponse après suspension,</w:t>
      </w:r>
    </w:p>
    <w:p w14:paraId="3DD351F4" w14:textId="503F1540" w:rsidR="008F125F" w:rsidRPr="008F125F" w:rsidRDefault="008F125F" w:rsidP="008F125F">
      <w:pPr>
        <w:numPr>
          <w:ilvl w:val="1"/>
          <w:numId w:val="7"/>
        </w:numPr>
        <w:rPr>
          <w:lang w:val="fr-BE"/>
        </w:rPr>
      </w:pPr>
      <w:r w:rsidRPr="008F125F">
        <w:rPr>
          <w:lang w:val="fr-BE"/>
        </w:rPr>
        <w:t xml:space="preserve">11 dossiers (8 %) </w:t>
      </w:r>
      <w:proofErr w:type="gramStart"/>
      <w:r w:rsidRPr="008F125F">
        <w:rPr>
          <w:lang w:val="fr-BE"/>
        </w:rPr>
        <w:t>suite à un</w:t>
      </w:r>
      <w:proofErr w:type="gramEnd"/>
      <w:r w:rsidRPr="008F125F">
        <w:rPr>
          <w:lang w:val="fr-BE"/>
        </w:rPr>
        <w:t xml:space="preserve"> retrait volontaire par </w:t>
      </w:r>
      <w:r>
        <w:rPr>
          <w:lang w:val="fr-BE"/>
        </w:rPr>
        <w:t>la firme</w:t>
      </w:r>
      <w:r w:rsidRPr="008F125F">
        <w:rPr>
          <w:lang w:val="fr-BE"/>
        </w:rPr>
        <w:t>.</w:t>
      </w:r>
    </w:p>
    <w:p w14:paraId="758197B7" w14:textId="77777777" w:rsidR="008F125F" w:rsidRPr="008F125F" w:rsidRDefault="008F125F" w:rsidP="00476DED">
      <w:pPr>
        <w:rPr>
          <w:lang w:val="fr-B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4"/>
        <w:gridCol w:w="1125"/>
        <w:gridCol w:w="1125"/>
        <w:gridCol w:w="1125"/>
        <w:gridCol w:w="1125"/>
        <w:gridCol w:w="1125"/>
        <w:gridCol w:w="1125"/>
        <w:gridCol w:w="1125"/>
      </w:tblGrid>
      <w:tr w:rsidR="00316E0A" w:rsidRPr="00882FA6" w14:paraId="3FC60D74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69DD1C1A" w14:textId="77777777" w:rsidR="00316E0A" w:rsidRPr="008F125F" w:rsidRDefault="00316E0A" w:rsidP="005C2DD3">
            <w:pPr>
              <w:rPr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125" w:type="dxa"/>
            <w:noWrap/>
            <w:hideMark/>
          </w:tcPr>
          <w:p w14:paraId="628C0A27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Closed</w:t>
            </w:r>
          </w:p>
        </w:tc>
        <w:tc>
          <w:tcPr>
            <w:tcW w:w="1125" w:type="dxa"/>
            <w:noWrap/>
            <w:hideMark/>
          </w:tcPr>
          <w:p w14:paraId="316E6BE9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Currently</w:t>
            </w:r>
            <w:proofErr w:type="spellEnd"/>
            <w:r w:rsidRPr="00882FA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2FA6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25" w:type="dxa"/>
            <w:noWrap/>
            <w:hideMark/>
          </w:tcPr>
          <w:p w14:paraId="742E9924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 xml:space="preserve">Has been </w:t>
            </w:r>
            <w:proofErr w:type="spellStart"/>
            <w:r w:rsidRPr="00882FA6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25" w:type="dxa"/>
            <w:noWrap/>
            <w:hideMark/>
          </w:tcPr>
          <w:p w14:paraId="3AB5EF91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Not</w:t>
            </w:r>
            <w:proofErr w:type="spellEnd"/>
            <w:r w:rsidRPr="00882FA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2FA6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25" w:type="dxa"/>
            <w:noWrap/>
            <w:hideMark/>
          </w:tcPr>
          <w:p w14:paraId="70B46052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Ongoing</w:t>
            </w:r>
            <w:proofErr w:type="spellEnd"/>
          </w:p>
        </w:tc>
        <w:tc>
          <w:tcPr>
            <w:tcW w:w="1125" w:type="dxa"/>
            <w:noWrap/>
            <w:hideMark/>
          </w:tcPr>
          <w:p w14:paraId="52E0110A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Withdrawn</w:t>
            </w:r>
            <w:proofErr w:type="spellEnd"/>
          </w:p>
        </w:tc>
        <w:tc>
          <w:tcPr>
            <w:tcW w:w="1125" w:type="dxa"/>
            <w:noWrap/>
            <w:hideMark/>
          </w:tcPr>
          <w:p w14:paraId="78FA9228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Grand Total</w:t>
            </w:r>
          </w:p>
        </w:tc>
      </w:tr>
      <w:tr w:rsidR="00316E0A" w:rsidRPr="00882FA6" w14:paraId="02EF502B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2BFEFDF9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Class 1</w:t>
            </w:r>
          </w:p>
        </w:tc>
        <w:tc>
          <w:tcPr>
            <w:tcW w:w="1125" w:type="dxa"/>
            <w:noWrap/>
            <w:hideMark/>
          </w:tcPr>
          <w:p w14:paraId="70620355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7B26D7D3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36</w:t>
            </w:r>
          </w:p>
        </w:tc>
        <w:tc>
          <w:tcPr>
            <w:tcW w:w="1125" w:type="dxa"/>
            <w:noWrap/>
            <w:hideMark/>
          </w:tcPr>
          <w:p w14:paraId="1C32B4E9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605320D7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7</w:t>
            </w:r>
          </w:p>
        </w:tc>
        <w:tc>
          <w:tcPr>
            <w:tcW w:w="1125" w:type="dxa"/>
            <w:noWrap/>
            <w:hideMark/>
          </w:tcPr>
          <w:p w14:paraId="701FBBE8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6</w:t>
            </w:r>
          </w:p>
        </w:tc>
        <w:tc>
          <w:tcPr>
            <w:tcW w:w="1125" w:type="dxa"/>
            <w:noWrap/>
            <w:hideMark/>
          </w:tcPr>
          <w:p w14:paraId="0C78B164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7</w:t>
            </w:r>
          </w:p>
        </w:tc>
        <w:tc>
          <w:tcPr>
            <w:tcW w:w="1125" w:type="dxa"/>
            <w:noWrap/>
            <w:hideMark/>
          </w:tcPr>
          <w:p w14:paraId="0D39F16B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58</w:t>
            </w:r>
          </w:p>
        </w:tc>
      </w:tr>
      <w:tr w:rsidR="00316E0A" w:rsidRPr="00882FA6" w14:paraId="14E5A1A1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31E3413D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Class 2</w:t>
            </w:r>
          </w:p>
        </w:tc>
        <w:tc>
          <w:tcPr>
            <w:tcW w:w="1125" w:type="dxa"/>
            <w:noWrap/>
            <w:hideMark/>
          </w:tcPr>
          <w:p w14:paraId="764A7CCD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22A2CBCC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22</w:t>
            </w:r>
          </w:p>
        </w:tc>
        <w:tc>
          <w:tcPr>
            <w:tcW w:w="1125" w:type="dxa"/>
            <w:noWrap/>
            <w:hideMark/>
          </w:tcPr>
          <w:p w14:paraId="5A710662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3D0EBD10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7977D205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4</w:t>
            </w:r>
          </w:p>
        </w:tc>
        <w:tc>
          <w:tcPr>
            <w:tcW w:w="1125" w:type="dxa"/>
            <w:noWrap/>
            <w:hideMark/>
          </w:tcPr>
          <w:p w14:paraId="04C10766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7C459803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28</w:t>
            </w:r>
          </w:p>
        </w:tc>
      </w:tr>
      <w:tr w:rsidR="00316E0A" w:rsidRPr="00882FA6" w14:paraId="3E34A79F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48765EC0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proofErr w:type="spellStart"/>
            <w:r w:rsidRPr="00882FA6">
              <w:rPr>
                <w:sz w:val="16"/>
                <w:szCs w:val="16"/>
              </w:rPr>
              <w:t>Orphan</w:t>
            </w:r>
            <w:proofErr w:type="spellEnd"/>
          </w:p>
        </w:tc>
        <w:tc>
          <w:tcPr>
            <w:tcW w:w="1125" w:type="dxa"/>
            <w:noWrap/>
            <w:hideMark/>
          </w:tcPr>
          <w:p w14:paraId="001DCD9C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126595B1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33</w:t>
            </w:r>
          </w:p>
        </w:tc>
        <w:tc>
          <w:tcPr>
            <w:tcW w:w="1125" w:type="dxa"/>
            <w:noWrap/>
            <w:hideMark/>
          </w:tcPr>
          <w:p w14:paraId="5E2C6DBC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697AA39C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</w:t>
            </w:r>
          </w:p>
        </w:tc>
        <w:tc>
          <w:tcPr>
            <w:tcW w:w="1125" w:type="dxa"/>
            <w:noWrap/>
            <w:hideMark/>
          </w:tcPr>
          <w:p w14:paraId="20E393AE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noWrap/>
            <w:hideMark/>
          </w:tcPr>
          <w:p w14:paraId="55A5454A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4</w:t>
            </w:r>
          </w:p>
        </w:tc>
        <w:tc>
          <w:tcPr>
            <w:tcW w:w="1125" w:type="dxa"/>
            <w:noWrap/>
            <w:hideMark/>
          </w:tcPr>
          <w:p w14:paraId="406001DF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48</w:t>
            </w:r>
          </w:p>
        </w:tc>
      </w:tr>
      <w:tr w:rsidR="00316E0A" w:rsidRPr="00882FA6" w14:paraId="78E54CB9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050F4FEA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proofErr w:type="spellStart"/>
            <w:r w:rsidRPr="00882FA6">
              <w:rPr>
                <w:sz w:val="16"/>
                <w:szCs w:val="16"/>
              </w:rPr>
              <w:t>Radiopha</w:t>
            </w:r>
            <w:proofErr w:type="spellEnd"/>
          </w:p>
        </w:tc>
        <w:tc>
          <w:tcPr>
            <w:tcW w:w="1125" w:type="dxa"/>
            <w:noWrap/>
            <w:hideMark/>
          </w:tcPr>
          <w:p w14:paraId="37796C9F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4848D479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2D0BEF17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3DE0039F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55F7C26D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1CEABD5F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746F9CF5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316E0A" w:rsidRPr="00882FA6" w14:paraId="4FB3B78A" w14:textId="77777777" w:rsidTr="005C2DD3">
        <w:trPr>
          <w:trHeight w:val="420"/>
        </w:trPr>
        <w:tc>
          <w:tcPr>
            <w:tcW w:w="1124" w:type="dxa"/>
            <w:noWrap/>
          </w:tcPr>
          <w:p w14:paraId="0FBD60CD" w14:textId="77777777" w:rsidR="00316E0A" w:rsidRPr="00CD6E39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CD6E39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1125" w:type="dxa"/>
            <w:noWrap/>
          </w:tcPr>
          <w:p w14:paraId="6F375B3B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5" w:type="dxa"/>
            <w:noWrap/>
          </w:tcPr>
          <w:p w14:paraId="39B3E091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125" w:type="dxa"/>
            <w:noWrap/>
          </w:tcPr>
          <w:p w14:paraId="44BAF783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5" w:type="dxa"/>
            <w:noWrap/>
          </w:tcPr>
          <w:p w14:paraId="53B63873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  <w:noWrap/>
          </w:tcPr>
          <w:p w14:paraId="10A08825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25" w:type="dxa"/>
            <w:noWrap/>
          </w:tcPr>
          <w:p w14:paraId="7993AA49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5" w:type="dxa"/>
            <w:noWrap/>
          </w:tcPr>
          <w:p w14:paraId="30F8B139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135</w:t>
            </w:r>
          </w:p>
        </w:tc>
      </w:tr>
    </w:tbl>
    <w:p w14:paraId="6CC9D6A3" w14:textId="77777777" w:rsidR="008F125F" w:rsidRPr="008F125F" w:rsidRDefault="008F125F" w:rsidP="008F125F">
      <w:pPr>
        <w:pStyle w:val="Caption"/>
        <w:rPr>
          <w:lang w:val="fr-BE"/>
        </w:rPr>
      </w:pPr>
      <w:r w:rsidRPr="008F125F">
        <w:rPr>
          <w:lang w:val="fr-BE"/>
        </w:rPr>
        <w:t>Figure 1 : type de demande et statut – indicateur WAIT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2"/>
        <w:gridCol w:w="1138"/>
        <w:gridCol w:w="1139"/>
        <w:gridCol w:w="1138"/>
        <w:gridCol w:w="1139"/>
        <w:gridCol w:w="1138"/>
        <w:gridCol w:w="1139"/>
        <w:gridCol w:w="1139"/>
      </w:tblGrid>
      <w:tr w:rsidR="002E5ED0" w:rsidRPr="00C65CEB" w14:paraId="28CB5908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66FCBFD9" w14:textId="77777777" w:rsidR="002E5ED0" w:rsidRPr="008F125F" w:rsidRDefault="002E5ED0" w:rsidP="005C2DD3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138" w:type="dxa"/>
            <w:noWrap/>
            <w:hideMark/>
          </w:tcPr>
          <w:p w14:paraId="0958CC17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Closed</w:t>
            </w:r>
          </w:p>
        </w:tc>
        <w:tc>
          <w:tcPr>
            <w:tcW w:w="1139" w:type="dxa"/>
            <w:noWrap/>
            <w:hideMark/>
          </w:tcPr>
          <w:p w14:paraId="2E9A432E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5CEB">
              <w:rPr>
                <w:b/>
                <w:bCs/>
                <w:sz w:val="16"/>
                <w:szCs w:val="16"/>
              </w:rPr>
              <w:t>Currently</w:t>
            </w:r>
            <w:proofErr w:type="spellEnd"/>
            <w:r w:rsidRPr="00C65CE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5CEB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38" w:type="dxa"/>
            <w:noWrap/>
            <w:hideMark/>
          </w:tcPr>
          <w:p w14:paraId="6F1017B8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 xml:space="preserve">Has been </w:t>
            </w:r>
            <w:proofErr w:type="spellStart"/>
            <w:r w:rsidRPr="00C65CEB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76AF025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5CEB">
              <w:rPr>
                <w:b/>
                <w:bCs/>
                <w:sz w:val="16"/>
                <w:szCs w:val="16"/>
              </w:rPr>
              <w:t>Not</w:t>
            </w:r>
            <w:proofErr w:type="spellEnd"/>
            <w:r w:rsidRPr="00C65CE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5CEB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38" w:type="dxa"/>
            <w:noWrap/>
            <w:hideMark/>
          </w:tcPr>
          <w:p w14:paraId="3C8B907C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5CEB">
              <w:rPr>
                <w:b/>
                <w:bCs/>
                <w:sz w:val="16"/>
                <w:szCs w:val="16"/>
              </w:rPr>
              <w:t>Ongoing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132C51B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5CEB">
              <w:rPr>
                <w:b/>
                <w:bCs/>
                <w:sz w:val="16"/>
                <w:szCs w:val="16"/>
              </w:rPr>
              <w:t>Withdrawn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3C07168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Grand Total</w:t>
            </w:r>
          </w:p>
        </w:tc>
      </w:tr>
      <w:tr w:rsidR="002E5ED0" w:rsidRPr="00C65CEB" w14:paraId="1BB9307F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1C234EDE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Class 1</w:t>
            </w:r>
          </w:p>
        </w:tc>
        <w:tc>
          <w:tcPr>
            <w:tcW w:w="1138" w:type="dxa"/>
            <w:noWrap/>
            <w:hideMark/>
          </w:tcPr>
          <w:p w14:paraId="11954EA7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27F7126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27%</w:t>
            </w:r>
          </w:p>
        </w:tc>
        <w:tc>
          <w:tcPr>
            <w:tcW w:w="1138" w:type="dxa"/>
            <w:noWrap/>
            <w:hideMark/>
          </w:tcPr>
          <w:p w14:paraId="4C89693C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4E96F3A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5%</w:t>
            </w:r>
          </w:p>
        </w:tc>
        <w:tc>
          <w:tcPr>
            <w:tcW w:w="1138" w:type="dxa"/>
            <w:noWrap/>
            <w:hideMark/>
          </w:tcPr>
          <w:p w14:paraId="100DDA69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4%</w:t>
            </w:r>
          </w:p>
        </w:tc>
        <w:tc>
          <w:tcPr>
            <w:tcW w:w="1139" w:type="dxa"/>
            <w:noWrap/>
            <w:hideMark/>
          </w:tcPr>
          <w:p w14:paraId="7E809CF9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5%</w:t>
            </w:r>
          </w:p>
        </w:tc>
        <w:tc>
          <w:tcPr>
            <w:tcW w:w="1139" w:type="dxa"/>
            <w:noWrap/>
            <w:hideMark/>
          </w:tcPr>
          <w:p w14:paraId="2712EA74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43%</w:t>
            </w:r>
          </w:p>
        </w:tc>
      </w:tr>
      <w:tr w:rsidR="002E5ED0" w:rsidRPr="00C65CEB" w14:paraId="06DBDAAA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2A862F23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Class 2</w:t>
            </w:r>
          </w:p>
        </w:tc>
        <w:tc>
          <w:tcPr>
            <w:tcW w:w="1138" w:type="dxa"/>
            <w:noWrap/>
            <w:hideMark/>
          </w:tcPr>
          <w:p w14:paraId="78CB11A0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21702502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16%</w:t>
            </w:r>
          </w:p>
        </w:tc>
        <w:tc>
          <w:tcPr>
            <w:tcW w:w="1138" w:type="dxa"/>
            <w:noWrap/>
            <w:hideMark/>
          </w:tcPr>
          <w:p w14:paraId="66487732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05119F38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8" w:type="dxa"/>
            <w:noWrap/>
            <w:hideMark/>
          </w:tcPr>
          <w:p w14:paraId="1015E9F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3%</w:t>
            </w:r>
          </w:p>
        </w:tc>
        <w:tc>
          <w:tcPr>
            <w:tcW w:w="1139" w:type="dxa"/>
            <w:noWrap/>
            <w:hideMark/>
          </w:tcPr>
          <w:p w14:paraId="33BD21D7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79C7F3AB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21%</w:t>
            </w:r>
          </w:p>
        </w:tc>
      </w:tr>
      <w:tr w:rsidR="002E5ED0" w:rsidRPr="00C65CEB" w14:paraId="4432D09C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3B6062D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proofErr w:type="spellStart"/>
            <w:r w:rsidRPr="00C65CEB">
              <w:rPr>
                <w:sz w:val="16"/>
                <w:szCs w:val="16"/>
              </w:rPr>
              <w:t>Orphan</w:t>
            </w:r>
            <w:proofErr w:type="spellEnd"/>
          </w:p>
        </w:tc>
        <w:tc>
          <w:tcPr>
            <w:tcW w:w="1138" w:type="dxa"/>
            <w:noWrap/>
            <w:hideMark/>
          </w:tcPr>
          <w:p w14:paraId="7BBC4C42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01C679BD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24%</w:t>
            </w:r>
          </w:p>
        </w:tc>
        <w:tc>
          <w:tcPr>
            <w:tcW w:w="1138" w:type="dxa"/>
            <w:noWrap/>
            <w:hideMark/>
          </w:tcPr>
          <w:p w14:paraId="3639019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43FE7444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8" w:type="dxa"/>
            <w:noWrap/>
            <w:hideMark/>
          </w:tcPr>
          <w:p w14:paraId="13BF3BF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6%</w:t>
            </w:r>
          </w:p>
        </w:tc>
        <w:tc>
          <w:tcPr>
            <w:tcW w:w="1139" w:type="dxa"/>
            <w:noWrap/>
            <w:hideMark/>
          </w:tcPr>
          <w:p w14:paraId="2A6BE50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3%</w:t>
            </w:r>
          </w:p>
        </w:tc>
        <w:tc>
          <w:tcPr>
            <w:tcW w:w="1139" w:type="dxa"/>
            <w:noWrap/>
            <w:hideMark/>
          </w:tcPr>
          <w:p w14:paraId="083DC171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36%</w:t>
            </w:r>
          </w:p>
        </w:tc>
      </w:tr>
      <w:tr w:rsidR="002E5ED0" w:rsidRPr="00C65CEB" w14:paraId="79CE2E57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6C79D23A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proofErr w:type="spellStart"/>
            <w:r w:rsidRPr="00C65CEB">
              <w:rPr>
                <w:sz w:val="16"/>
                <w:szCs w:val="16"/>
              </w:rPr>
              <w:t>Radiopha</w:t>
            </w:r>
            <w:proofErr w:type="spellEnd"/>
          </w:p>
        </w:tc>
        <w:tc>
          <w:tcPr>
            <w:tcW w:w="1138" w:type="dxa"/>
            <w:noWrap/>
            <w:hideMark/>
          </w:tcPr>
          <w:p w14:paraId="1882E7F2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7108DF8A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8" w:type="dxa"/>
            <w:noWrap/>
            <w:hideMark/>
          </w:tcPr>
          <w:p w14:paraId="7C74ACE9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231A698C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8" w:type="dxa"/>
            <w:noWrap/>
            <w:hideMark/>
          </w:tcPr>
          <w:p w14:paraId="474FDFEC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5E4E4630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7BE77706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1%</w:t>
            </w:r>
          </w:p>
        </w:tc>
      </w:tr>
      <w:tr w:rsidR="002E5ED0" w:rsidRPr="00C65CEB" w14:paraId="153FBA0E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75D4C7E6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1138" w:type="dxa"/>
            <w:noWrap/>
            <w:hideMark/>
          </w:tcPr>
          <w:p w14:paraId="7F05ABFA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17A3858B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68%</w:t>
            </w:r>
          </w:p>
        </w:tc>
        <w:tc>
          <w:tcPr>
            <w:tcW w:w="1138" w:type="dxa"/>
            <w:noWrap/>
            <w:hideMark/>
          </w:tcPr>
          <w:p w14:paraId="7746D260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7301A582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7%</w:t>
            </w:r>
          </w:p>
        </w:tc>
        <w:tc>
          <w:tcPr>
            <w:tcW w:w="1138" w:type="dxa"/>
            <w:noWrap/>
            <w:hideMark/>
          </w:tcPr>
          <w:p w14:paraId="21375727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13%</w:t>
            </w:r>
          </w:p>
        </w:tc>
        <w:tc>
          <w:tcPr>
            <w:tcW w:w="1139" w:type="dxa"/>
            <w:noWrap/>
            <w:hideMark/>
          </w:tcPr>
          <w:p w14:paraId="63172E6F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8%</w:t>
            </w:r>
          </w:p>
        </w:tc>
        <w:tc>
          <w:tcPr>
            <w:tcW w:w="1139" w:type="dxa"/>
            <w:noWrap/>
            <w:hideMark/>
          </w:tcPr>
          <w:p w14:paraId="0B5D4C2B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100%</w:t>
            </w:r>
          </w:p>
        </w:tc>
      </w:tr>
    </w:tbl>
    <w:p w14:paraId="4B2E02F9" w14:textId="4E6C6033" w:rsidR="008F125F" w:rsidRPr="008F125F" w:rsidRDefault="008F125F" w:rsidP="008F125F">
      <w:pPr>
        <w:rPr>
          <w:i/>
          <w:iCs/>
          <w:sz w:val="18"/>
          <w:szCs w:val="18"/>
          <w:lang w:val="fr-BE"/>
        </w:rPr>
      </w:pPr>
      <w:r w:rsidRPr="008F125F">
        <w:rPr>
          <w:i/>
          <w:iCs/>
          <w:sz w:val="18"/>
          <w:szCs w:val="18"/>
          <w:lang w:val="fr-BE"/>
        </w:rPr>
        <w:t>Figure 2 : type de demande et statut – en pourcentage (indicateur WAIT – dossiers introduits uniquement)</w:t>
      </w:r>
    </w:p>
    <w:p w14:paraId="48D179E9" w14:textId="3F34F12F" w:rsidR="002E5ED0" w:rsidRPr="008F125F" w:rsidRDefault="002E5ED0" w:rsidP="002E5ED0">
      <w:pPr>
        <w:rPr>
          <w:i/>
          <w:iCs/>
          <w:sz w:val="18"/>
          <w:szCs w:val="18"/>
          <w:highlight w:val="green"/>
          <w:lang w:val="fr-BE"/>
        </w:rPr>
      </w:pPr>
    </w:p>
    <w:p w14:paraId="7AB91FD2" w14:textId="77777777" w:rsidR="008F125F" w:rsidRPr="008F125F" w:rsidRDefault="008F125F" w:rsidP="008F125F">
      <w:pPr>
        <w:jc w:val="both"/>
        <w:rPr>
          <w:lang w:val="fr-BE"/>
        </w:rPr>
      </w:pPr>
      <w:r w:rsidRPr="008F125F">
        <w:rPr>
          <w:lang w:val="fr-BE"/>
        </w:rPr>
        <w:t>Sur les 35 nouveaux médicaments pris en compte dans l’indicateur WAIT actuel par rapport à l’analyse précédente :</w:t>
      </w:r>
    </w:p>
    <w:p w14:paraId="2B06C5C2" w14:textId="77777777" w:rsidR="008F125F" w:rsidRPr="008F125F" w:rsidRDefault="008F125F" w:rsidP="008F125F">
      <w:pPr>
        <w:numPr>
          <w:ilvl w:val="0"/>
          <w:numId w:val="8"/>
        </w:numPr>
        <w:jc w:val="both"/>
        <w:rPr>
          <w:lang w:val="fr-BE"/>
        </w:rPr>
      </w:pPr>
      <w:r w:rsidRPr="008F125F">
        <w:rPr>
          <w:lang w:val="fr-BE"/>
        </w:rPr>
        <w:t>10 n’ont (pas encore) fait l’objet d’une demande,</w:t>
      </w:r>
    </w:p>
    <w:p w14:paraId="3DDD70BA" w14:textId="77777777" w:rsidR="008F125F" w:rsidRPr="008F125F" w:rsidRDefault="008F125F" w:rsidP="008F125F">
      <w:pPr>
        <w:numPr>
          <w:ilvl w:val="0"/>
          <w:numId w:val="8"/>
        </w:numPr>
        <w:jc w:val="both"/>
        <w:rPr>
          <w:lang w:val="en-GB"/>
        </w:rPr>
      </w:pPr>
      <w:r w:rsidRPr="008F125F">
        <w:rPr>
          <w:lang w:val="en-GB"/>
        </w:rPr>
        <w:t xml:space="preserve">18 </w:t>
      </w:r>
      <w:proofErr w:type="spellStart"/>
      <w:r w:rsidRPr="008F125F">
        <w:rPr>
          <w:lang w:val="en-GB"/>
        </w:rPr>
        <w:t>sont</w:t>
      </w:r>
      <w:proofErr w:type="spellEnd"/>
      <w:r w:rsidRPr="008F125F">
        <w:rPr>
          <w:lang w:val="en-GB"/>
        </w:rPr>
        <w:t xml:space="preserve"> déjà </w:t>
      </w:r>
      <w:proofErr w:type="spellStart"/>
      <w:r w:rsidRPr="008F125F">
        <w:rPr>
          <w:lang w:val="en-GB"/>
        </w:rPr>
        <w:t>remboursés</w:t>
      </w:r>
      <w:proofErr w:type="spellEnd"/>
      <w:r w:rsidRPr="008F125F">
        <w:rPr>
          <w:lang w:val="en-GB"/>
        </w:rPr>
        <w:t>,</w:t>
      </w:r>
    </w:p>
    <w:p w14:paraId="733A73D2" w14:textId="77777777" w:rsidR="008F125F" w:rsidRPr="008F125F" w:rsidRDefault="008F125F" w:rsidP="008F125F">
      <w:pPr>
        <w:numPr>
          <w:ilvl w:val="0"/>
          <w:numId w:val="8"/>
        </w:numPr>
        <w:jc w:val="both"/>
        <w:rPr>
          <w:lang w:val="fr-BE"/>
        </w:rPr>
      </w:pPr>
      <w:r w:rsidRPr="008F125F">
        <w:rPr>
          <w:lang w:val="fr-BE"/>
        </w:rPr>
        <w:t>6 dossiers sont en cours de procédure,</w:t>
      </w:r>
    </w:p>
    <w:p w14:paraId="247A40D8" w14:textId="09161D39" w:rsidR="008F125F" w:rsidRPr="008F125F" w:rsidRDefault="008F125F" w:rsidP="008F125F">
      <w:pPr>
        <w:numPr>
          <w:ilvl w:val="0"/>
          <w:numId w:val="8"/>
        </w:numPr>
        <w:jc w:val="both"/>
        <w:rPr>
          <w:lang w:val="fr-BE"/>
        </w:rPr>
      </w:pPr>
      <w:proofErr w:type="gramStart"/>
      <w:r w:rsidRPr="008F125F">
        <w:rPr>
          <w:lang w:val="fr-BE"/>
        </w:rPr>
        <w:t>et</w:t>
      </w:r>
      <w:proofErr w:type="gramEnd"/>
      <w:r w:rsidRPr="008F125F">
        <w:rPr>
          <w:lang w:val="fr-BE"/>
        </w:rPr>
        <w:t xml:space="preserve"> 1 dossier a été clôturé (retiré par </w:t>
      </w:r>
      <w:r>
        <w:rPr>
          <w:lang w:val="fr-BE"/>
        </w:rPr>
        <w:t>la firme</w:t>
      </w:r>
      <w:r w:rsidRPr="008F125F">
        <w:rPr>
          <w:lang w:val="fr-BE"/>
        </w:rPr>
        <w:t>).</w:t>
      </w:r>
    </w:p>
    <w:p w14:paraId="34F2588D" w14:textId="77777777" w:rsidR="001104FB" w:rsidRPr="008F125F" w:rsidRDefault="001104FB" w:rsidP="001104FB">
      <w:pPr>
        <w:jc w:val="both"/>
        <w:rPr>
          <w:lang w:val="fr-B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190"/>
        <w:gridCol w:w="1968"/>
        <w:gridCol w:w="1968"/>
        <w:gridCol w:w="1968"/>
        <w:gridCol w:w="1973"/>
      </w:tblGrid>
      <w:tr w:rsidR="00316E0A" w:rsidRPr="00882FA6" w14:paraId="76923D2A" w14:textId="77777777" w:rsidTr="004623C8">
        <w:trPr>
          <w:trHeight w:val="420"/>
        </w:trPr>
        <w:tc>
          <w:tcPr>
            <w:tcW w:w="1190" w:type="dxa"/>
            <w:noWrap/>
            <w:hideMark/>
          </w:tcPr>
          <w:p w14:paraId="35A2238F" w14:textId="77777777" w:rsidR="00316E0A" w:rsidRPr="008F125F" w:rsidRDefault="00316E0A" w:rsidP="005C2DD3">
            <w:pPr>
              <w:rPr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968" w:type="dxa"/>
            <w:noWrap/>
            <w:hideMark/>
          </w:tcPr>
          <w:p w14:paraId="283AE384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Currently</w:t>
            </w:r>
            <w:proofErr w:type="spellEnd"/>
            <w:r w:rsidRPr="00882FA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2FA6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968" w:type="dxa"/>
            <w:noWrap/>
            <w:hideMark/>
          </w:tcPr>
          <w:p w14:paraId="76370C20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Ongoing</w:t>
            </w:r>
            <w:proofErr w:type="spellEnd"/>
          </w:p>
        </w:tc>
        <w:tc>
          <w:tcPr>
            <w:tcW w:w="1968" w:type="dxa"/>
            <w:noWrap/>
            <w:hideMark/>
          </w:tcPr>
          <w:p w14:paraId="38D92B46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Withdrawn</w:t>
            </w:r>
            <w:proofErr w:type="spellEnd"/>
          </w:p>
        </w:tc>
        <w:tc>
          <w:tcPr>
            <w:tcW w:w="1973" w:type="dxa"/>
            <w:noWrap/>
            <w:hideMark/>
          </w:tcPr>
          <w:p w14:paraId="7E5DFBCF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Grand Total</w:t>
            </w:r>
          </w:p>
        </w:tc>
      </w:tr>
      <w:tr w:rsidR="00316E0A" w:rsidRPr="00882FA6" w14:paraId="1F4D7FBF" w14:textId="77777777" w:rsidTr="004623C8">
        <w:trPr>
          <w:trHeight w:val="420"/>
        </w:trPr>
        <w:tc>
          <w:tcPr>
            <w:tcW w:w="1190" w:type="dxa"/>
            <w:noWrap/>
            <w:hideMark/>
          </w:tcPr>
          <w:p w14:paraId="634175F5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Class 1</w:t>
            </w:r>
          </w:p>
        </w:tc>
        <w:tc>
          <w:tcPr>
            <w:tcW w:w="1968" w:type="dxa"/>
            <w:noWrap/>
            <w:hideMark/>
          </w:tcPr>
          <w:p w14:paraId="61572207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6</w:t>
            </w:r>
          </w:p>
        </w:tc>
        <w:tc>
          <w:tcPr>
            <w:tcW w:w="1968" w:type="dxa"/>
            <w:noWrap/>
            <w:hideMark/>
          </w:tcPr>
          <w:p w14:paraId="66C14134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1EEF5FDA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73" w:type="dxa"/>
            <w:noWrap/>
            <w:hideMark/>
          </w:tcPr>
          <w:p w14:paraId="603D009D" w14:textId="77777777" w:rsidR="00316E0A" w:rsidRPr="00882FA6" w:rsidRDefault="00316E0A" w:rsidP="00B127B2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316E0A" w:rsidRPr="00882FA6" w14:paraId="06290DF7" w14:textId="77777777" w:rsidTr="004623C8">
        <w:trPr>
          <w:trHeight w:val="420"/>
        </w:trPr>
        <w:tc>
          <w:tcPr>
            <w:tcW w:w="1190" w:type="dxa"/>
            <w:noWrap/>
            <w:hideMark/>
          </w:tcPr>
          <w:p w14:paraId="7B2A8DC3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Class 2</w:t>
            </w:r>
          </w:p>
        </w:tc>
        <w:tc>
          <w:tcPr>
            <w:tcW w:w="1968" w:type="dxa"/>
            <w:noWrap/>
            <w:hideMark/>
          </w:tcPr>
          <w:p w14:paraId="2A8D67B4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8</w:t>
            </w:r>
          </w:p>
        </w:tc>
        <w:tc>
          <w:tcPr>
            <w:tcW w:w="1968" w:type="dxa"/>
            <w:noWrap/>
            <w:hideMark/>
          </w:tcPr>
          <w:p w14:paraId="0DD03398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07580179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73" w:type="dxa"/>
            <w:noWrap/>
            <w:hideMark/>
          </w:tcPr>
          <w:p w14:paraId="563D3BB9" w14:textId="77777777" w:rsidR="00316E0A" w:rsidRPr="00882FA6" w:rsidRDefault="00316E0A" w:rsidP="00B127B2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316E0A" w:rsidRPr="00882FA6" w14:paraId="299D53FA" w14:textId="77777777" w:rsidTr="004623C8">
        <w:trPr>
          <w:trHeight w:val="420"/>
        </w:trPr>
        <w:tc>
          <w:tcPr>
            <w:tcW w:w="1190" w:type="dxa"/>
            <w:noWrap/>
            <w:hideMark/>
          </w:tcPr>
          <w:p w14:paraId="70096377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proofErr w:type="spellStart"/>
            <w:r w:rsidRPr="00882FA6">
              <w:rPr>
                <w:sz w:val="16"/>
                <w:szCs w:val="16"/>
              </w:rPr>
              <w:t>Orphan</w:t>
            </w:r>
            <w:proofErr w:type="spellEnd"/>
          </w:p>
        </w:tc>
        <w:tc>
          <w:tcPr>
            <w:tcW w:w="1968" w:type="dxa"/>
            <w:noWrap/>
            <w:hideMark/>
          </w:tcPr>
          <w:p w14:paraId="3339C8EA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4ADD7613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2D07922B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973" w:type="dxa"/>
            <w:noWrap/>
            <w:hideMark/>
          </w:tcPr>
          <w:p w14:paraId="167F383E" w14:textId="77777777" w:rsidR="00316E0A" w:rsidRPr="00882FA6" w:rsidRDefault="00316E0A" w:rsidP="00B127B2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316E0A" w:rsidRPr="00882FA6" w14:paraId="44E02A26" w14:textId="77777777" w:rsidTr="004623C8">
        <w:trPr>
          <w:trHeight w:val="420"/>
        </w:trPr>
        <w:tc>
          <w:tcPr>
            <w:tcW w:w="1190" w:type="dxa"/>
            <w:noWrap/>
          </w:tcPr>
          <w:p w14:paraId="13AB732B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1968" w:type="dxa"/>
            <w:noWrap/>
          </w:tcPr>
          <w:p w14:paraId="336DE7D4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68" w:type="dxa"/>
            <w:noWrap/>
          </w:tcPr>
          <w:p w14:paraId="1A637421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68" w:type="dxa"/>
            <w:noWrap/>
          </w:tcPr>
          <w:p w14:paraId="746ACDBB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73" w:type="dxa"/>
            <w:noWrap/>
          </w:tcPr>
          <w:p w14:paraId="40638488" w14:textId="77777777" w:rsidR="00316E0A" w:rsidRPr="00882FA6" w:rsidRDefault="00316E0A" w:rsidP="00B127B2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14:paraId="71A92DBF" w14:textId="156CBEBD" w:rsidR="008F125F" w:rsidRPr="008F125F" w:rsidRDefault="008F125F" w:rsidP="008F125F">
      <w:pPr>
        <w:rPr>
          <w:i/>
          <w:iCs/>
          <w:sz w:val="18"/>
          <w:szCs w:val="18"/>
          <w:lang w:val="fr-BE"/>
        </w:rPr>
      </w:pPr>
      <w:r w:rsidRPr="008F125F">
        <w:rPr>
          <w:i/>
          <w:iCs/>
          <w:sz w:val="18"/>
          <w:szCs w:val="18"/>
          <w:lang w:val="fr-BE"/>
        </w:rPr>
        <w:t>Figure 3 : type de demande et statut – indicateur WAIT</w:t>
      </w:r>
    </w:p>
    <w:p w14:paraId="1D0807C7" w14:textId="77777777" w:rsidR="00316E0A" w:rsidRPr="00935D1C" w:rsidRDefault="00316E0A" w:rsidP="00316E0A">
      <w:pPr>
        <w:rPr>
          <w:highlight w:val="green"/>
          <w:lang w:val="fr-BE"/>
        </w:rPr>
      </w:pPr>
    </w:p>
    <w:p w14:paraId="4EF396F9" w14:textId="7BD338CD" w:rsidR="004623C8" w:rsidRPr="00935D1C" w:rsidRDefault="004623C8">
      <w:pPr>
        <w:spacing w:line="240" w:lineRule="auto"/>
        <w:rPr>
          <w:b/>
          <w:bCs/>
          <w:lang w:val="fr-BE"/>
        </w:rPr>
      </w:pPr>
    </w:p>
    <w:p w14:paraId="63887CFD" w14:textId="4F3F6ADE" w:rsidR="00316E0A" w:rsidRPr="00935D1C" w:rsidRDefault="00316E0A">
      <w:pPr>
        <w:spacing w:line="240" w:lineRule="auto"/>
        <w:rPr>
          <w:b/>
          <w:bCs/>
          <w:lang w:val="fr-BE"/>
        </w:rPr>
      </w:pPr>
    </w:p>
    <w:p w14:paraId="52332AEC" w14:textId="77777777" w:rsidR="004623C8" w:rsidRPr="00935D1C" w:rsidRDefault="004623C8">
      <w:pPr>
        <w:spacing w:line="240" w:lineRule="auto"/>
        <w:rPr>
          <w:b/>
          <w:bCs/>
          <w:lang w:val="fr-BE"/>
        </w:rPr>
      </w:pPr>
      <w:r w:rsidRPr="00935D1C">
        <w:rPr>
          <w:b/>
          <w:bCs/>
          <w:lang w:val="fr-BE"/>
        </w:rPr>
        <w:br w:type="page"/>
      </w:r>
    </w:p>
    <w:p w14:paraId="72B9BE55" w14:textId="7795746B" w:rsidR="00393898" w:rsidRDefault="00393898" w:rsidP="00393898">
      <w:pPr>
        <w:rPr>
          <w:b/>
          <w:bCs/>
          <w:lang w:val="fr-BE"/>
        </w:rPr>
      </w:pPr>
      <w:r w:rsidRPr="00393898">
        <w:rPr>
          <w:b/>
          <w:bCs/>
          <w:lang w:val="fr-BE"/>
        </w:rPr>
        <w:lastRenderedPageBreak/>
        <w:t>ANALYSE DES DÉLAIS DE TRAITEMENT</w:t>
      </w:r>
    </w:p>
    <w:p w14:paraId="08E5BB23" w14:textId="77777777" w:rsidR="00393898" w:rsidRPr="00393898" w:rsidRDefault="00393898" w:rsidP="00393898">
      <w:pPr>
        <w:rPr>
          <w:b/>
          <w:bCs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623C8" w14:paraId="2A7D3BC5" w14:textId="77777777" w:rsidTr="004623C8">
        <w:tc>
          <w:tcPr>
            <w:tcW w:w="2265" w:type="dxa"/>
          </w:tcPr>
          <w:p w14:paraId="05E2A76E" w14:textId="77777777" w:rsidR="004623C8" w:rsidRPr="00393898" w:rsidRDefault="004623C8" w:rsidP="004623C8">
            <w:pPr>
              <w:rPr>
                <w:lang w:val="fr-BE"/>
              </w:rPr>
            </w:pPr>
          </w:p>
        </w:tc>
        <w:tc>
          <w:tcPr>
            <w:tcW w:w="2265" w:type="dxa"/>
          </w:tcPr>
          <w:p w14:paraId="633DE4C6" w14:textId="6BAE0DD2" w:rsidR="004623C8" w:rsidRDefault="004623C8" w:rsidP="004623C8">
            <w:r w:rsidRPr="00A24B27">
              <w:rPr>
                <w:sz w:val="16"/>
                <w:szCs w:val="16"/>
              </w:rPr>
              <w:t>TIME TO CLAIM</w:t>
            </w:r>
          </w:p>
        </w:tc>
        <w:tc>
          <w:tcPr>
            <w:tcW w:w="2266" w:type="dxa"/>
          </w:tcPr>
          <w:p w14:paraId="587E7A83" w14:textId="0F552C8D" w:rsidR="004623C8" w:rsidRDefault="004623C8" w:rsidP="004623C8">
            <w:r w:rsidRPr="00A24B27">
              <w:rPr>
                <w:sz w:val="16"/>
                <w:szCs w:val="16"/>
              </w:rPr>
              <w:t>TIME TO REIMBURSEMENT</w:t>
            </w:r>
          </w:p>
        </w:tc>
        <w:tc>
          <w:tcPr>
            <w:tcW w:w="2266" w:type="dxa"/>
          </w:tcPr>
          <w:p w14:paraId="072ED3BA" w14:textId="6111F11D" w:rsidR="004623C8" w:rsidRDefault="00840E62" w:rsidP="004623C8">
            <w:r w:rsidRPr="00840E62">
              <w:rPr>
                <w:sz w:val="16"/>
                <w:szCs w:val="16"/>
              </w:rPr>
              <w:t>DURATION OF PROCEDURE</w:t>
            </w:r>
          </w:p>
        </w:tc>
      </w:tr>
      <w:tr w:rsidR="004623C8" w14:paraId="2B4384F7" w14:textId="77777777" w:rsidTr="004623C8">
        <w:tc>
          <w:tcPr>
            <w:tcW w:w="2265" w:type="dxa"/>
          </w:tcPr>
          <w:p w14:paraId="216ACD0F" w14:textId="77777777" w:rsidR="004623C8" w:rsidRDefault="004623C8" w:rsidP="004623C8"/>
        </w:tc>
        <w:tc>
          <w:tcPr>
            <w:tcW w:w="2265" w:type="dxa"/>
          </w:tcPr>
          <w:p w14:paraId="19497FC9" w14:textId="519AC90E" w:rsidR="004623C8" w:rsidRDefault="004623C8" w:rsidP="004623C8">
            <w:pPr>
              <w:jc w:val="right"/>
            </w:pPr>
            <w:proofErr w:type="spellStart"/>
            <w:r w:rsidRPr="00A24B27">
              <w:rPr>
                <w:sz w:val="16"/>
                <w:szCs w:val="16"/>
              </w:rPr>
              <w:t>Average</w:t>
            </w:r>
            <w:proofErr w:type="spellEnd"/>
          </w:p>
        </w:tc>
        <w:tc>
          <w:tcPr>
            <w:tcW w:w="2266" w:type="dxa"/>
          </w:tcPr>
          <w:p w14:paraId="33B7F280" w14:textId="3A2001E4" w:rsidR="004623C8" w:rsidRDefault="004623C8" w:rsidP="004623C8">
            <w:pPr>
              <w:jc w:val="right"/>
            </w:pPr>
            <w:proofErr w:type="spellStart"/>
            <w:r w:rsidRPr="00A24B27">
              <w:rPr>
                <w:sz w:val="16"/>
                <w:szCs w:val="16"/>
              </w:rPr>
              <w:t>Average</w:t>
            </w:r>
            <w:proofErr w:type="spellEnd"/>
          </w:p>
        </w:tc>
        <w:tc>
          <w:tcPr>
            <w:tcW w:w="2266" w:type="dxa"/>
          </w:tcPr>
          <w:p w14:paraId="32DEDFFC" w14:textId="78603269" w:rsidR="004623C8" w:rsidRDefault="004623C8" w:rsidP="004623C8">
            <w:pPr>
              <w:jc w:val="right"/>
            </w:pPr>
            <w:proofErr w:type="spellStart"/>
            <w:r w:rsidRPr="00A24B27">
              <w:rPr>
                <w:sz w:val="16"/>
                <w:szCs w:val="16"/>
              </w:rPr>
              <w:t>Average</w:t>
            </w:r>
            <w:proofErr w:type="spellEnd"/>
          </w:p>
        </w:tc>
      </w:tr>
      <w:tr w:rsidR="004623C8" w14:paraId="616008C3" w14:textId="77777777" w:rsidTr="004623C8">
        <w:tc>
          <w:tcPr>
            <w:tcW w:w="2265" w:type="dxa"/>
          </w:tcPr>
          <w:p w14:paraId="3481A52C" w14:textId="6156F8AA" w:rsidR="004623C8" w:rsidRDefault="004623C8" w:rsidP="004623C8">
            <w:r w:rsidRPr="00A24B27">
              <w:rPr>
                <w:sz w:val="16"/>
                <w:szCs w:val="16"/>
              </w:rPr>
              <w:t>Class 1</w:t>
            </w:r>
          </w:p>
        </w:tc>
        <w:tc>
          <w:tcPr>
            <w:tcW w:w="2265" w:type="dxa"/>
          </w:tcPr>
          <w:p w14:paraId="6CAA6585" w14:textId="2EEBF519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98</w:t>
            </w:r>
          </w:p>
        </w:tc>
        <w:tc>
          <w:tcPr>
            <w:tcW w:w="2266" w:type="dxa"/>
          </w:tcPr>
          <w:p w14:paraId="600585AB" w14:textId="2D267EA6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266" w:type="dxa"/>
          </w:tcPr>
          <w:p w14:paraId="4EE5CFC1" w14:textId="50EAE98A" w:rsidR="004623C8" w:rsidRP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840E62">
              <w:rPr>
                <w:sz w:val="16"/>
                <w:szCs w:val="16"/>
              </w:rPr>
              <w:t>336</w:t>
            </w:r>
          </w:p>
        </w:tc>
      </w:tr>
      <w:tr w:rsidR="004623C8" w14:paraId="38D67CE7" w14:textId="77777777" w:rsidTr="004623C8">
        <w:tc>
          <w:tcPr>
            <w:tcW w:w="2265" w:type="dxa"/>
          </w:tcPr>
          <w:p w14:paraId="5850B6F8" w14:textId="608E6C32" w:rsidR="004623C8" w:rsidRDefault="004623C8" w:rsidP="004623C8">
            <w:r w:rsidRPr="00A24B27">
              <w:rPr>
                <w:sz w:val="16"/>
                <w:szCs w:val="16"/>
              </w:rPr>
              <w:t>Class 2</w:t>
            </w:r>
          </w:p>
        </w:tc>
        <w:tc>
          <w:tcPr>
            <w:tcW w:w="2265" w:type="dxa"/>
          </w:tcPr>
          <w:p w14:paraId="2B882DA0" w14:textId="38D5737B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156</w:t>
            </w:r>
          </w:p>
        </w:tc>
        <w:tc>
          <w:tcPr>
            <w:tcW w:w="2266" w:type="dxa"/>
          </w:tcPr>
          <w:p w14:paraId="224B0B53" w14:textId="6FBC12F7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470</w:t>
            </w:r>
          </w:p>
        </w:tc>
        <w:tc>
          <w:tcPr>
            <w:tcW w:w="2266" w:type="dxa"/>
          </w:tcPr>
          <w:p w14:paraId="33FE2B78" w14:textId="7F69DEC3" w:rsidR="004623C8" w:rsidRP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840E62">
              <w:rPr>
                <w:sz w:val="16"/>
                <w:szCs w:val="16"/>
              </w:rPr>
              <w:t>278</w:t>
            </w:r>
          </w:p>
        </w:tc>
      </w:tr>
      <w:tr w:rsidR="004623C8" w14:paraId="40FCD7B2" w14:textId="77777777" w:rsidTr="004623C8">
        <w:tc>
          <w:tcPr>
            <w:tcW w:w="2265" w:type="dxa"/>
          </w:tcPr>
          <w:p w14:paraId="17826963" w14:textId="52D99D38" w:rsidR="004623C8" w:rsidRDefault="004623C8" w:rsidP="004623C8">
            <w:proofErr w:type="spellStart"/>
            <w:r w:rsidRPr="00A24B27">
              <w:rPr>
                <w:sz w:val="16"/>
                <w:szCs w:val="16"/>
              </w:rPr>
              <w:t>Orphan</w:t>
            </w:r>
            <w:proofErr w:type="spellEnd"/>
          </w:p>
        </w:tc>
        <w:tc>
          <w:tcPr>
            <w:tcW w:w="2265" w:type="dxa"/>
          </w:tcPr>
          <w:p w14:paraId="0111A8AD" w14:textId="1D309368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128</w:t>
            </w:r>
          </w:p>
        </w:tc>
        <w:tc>
          <w:tcPr>
            <w:tcW w:w="2266" w:type="dxa"/>
          </w:tcPr>
          <w:p w14:paraId="1D80A0AF" w14:textId="6B93B20E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628</w:t>
            </w:r>
          </w:p>
        </w:tc>
        <w:tc>
          <w:tcPr>
            <w:tcW w:w="2266" w:type="dxa"/>
          </w:tcPr>
          <w:p w14:paraId="6AA11704" w14:textId="4C61394B" w:rsidR="004623C8" w:rsidRP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840E62">
              <w:rPr>
                <w:sz w:val="16"/>
                <w:szCs w:val="16"/>
              </w:rPr>
              <w:t>362</w:t>
            </w:r>
          </w:p>
        </w:tc>
      </w:tr>
      <w:tr w:rsidR="004623C8" w14:paraId="72523CE1" w14:textId="77777777" w:rsidTr="004623C8">
        <w:tc>
          <w:tcPr>
            <w:tcW w:w="2265" w:type="dxa"/>
          </w:tcPr>
          <w:p w14:paraId="3EEBA4BA" w14:textId="01714C22" w:rsidR="004623C8" w:rsidRDefault="004623C8" w:rsidP="004623C8">
            <w:proofErr w:type="spellStart"/>
            <w:r>
              <w:rPr>
                <w:sz w:val="16"/>
                <w:szCs w:val="16"/>
              </w:rPr>
              <w:t>Radiopha</w:t>
            </w:r>
            <w:proofErr w:type="spellEnd"/>
          </w:p>
        </w:tc>
        <w:tc>
          <w:tcPr>
            <w:tcW w:w="2265" w:type="dxa"/>
          </w:tcPr>
          <w:p w14:paraId="711B3DF9" w14:textId="1C22A28C" w:rsidR="004623C8" w:rsidRDefault="004623C8" w:rsidP="004623C8">
            <w:pPr>
              <w:jc w:val="right"/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2266" w:type="dxa"/>
          </w:tcPr>
          <w:p w14:paraId="3D256175" w14:textId="77C29838" w:rsidR="004623C8" w:rsidRDefault="004623C8" w:rsidP="004623C8">
            <w:pPr>
              <w:jc w:val="right"/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2266" w:type="dxa"/>
          </w:tcPr>
          <w:p w14:paraId="5E18A3D6" w14:textId="08D928A9" w:rsidR="004623C8" w:rsidRP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840E62">
              <w:rPr>
                <w:sz w:val="16"/>
                <w:szCs w:val="16"/>
              </w:rPr>
              <w:t>206</w:t>
            </w:r>
          </w:p>
        </w:tc>
      </w:tr>
      <w:tr w:rsidR="00840E62" w14:paraId="4C301DA0" w14:textId="77777777" w:rsidTr="004623C8">
        <w:tc>
          <w:tcPr>
            <w:tcW w:w="2265" w:type="dxa"/>
          </w:tcPr>
          <w:p w14:paraId="4C14B8AA" w14:textId="74643039" w:rsidR="00840E62" w:rsidRDefault="00840E62" w:rsidP="00840E62">
            <w:pPr>
              <w:rPr>
                <w:sz w:val="16"/>
                <w:szCs w:val="16"/>
              </w:rPr>
            </w:pPr>
            <w:r w:rsidRPr="00A24B27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2265" w:type="dxa"/>
          </w:tcPr>
          <w:p w14:paraId="51FD1FC2" w14:textId="429AE555" w:rsid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A24B27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6" w:type="dxa"/>
          </w:tcPr>
          <w:p w14:paraId="76B832AF" w14:textId="4B5CB3A3" w:rsid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A24B27">
              <w:rPr>
                <w:b/>
                <w:bCs/>
                <w:sz w:val="16"/>
                <w:szCs w:val="16"/>
              </w:rPr>
              <w:t>55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6" w:type="dxa"/>
          </w:tcPr>
          <w:p w14:paraId="137D6248" w14:textId="6E6B526D" w:rsidR="00840E62" w:rsidRPr="00840E62" w:rsidRDefault="00840E62" w:rsidP="00840E62">
            <w:pPr>
              <w:jc w:val="right"/>
              <w:rPr>
                <w:b/>
                <w:bCs/>
                <w:sz w:val="16"/>
                <w:szCs w:val="16"/>
              </w:rPr>
            </w:pPr>
            <w:r w:rsidRPr="00840E62">
              <w:rPr>
                <w:b/>
                <w:bCs/>
                <w:sz w:val="16"/>
                <w:szCs w:val="16"/>
              </w:rPr>
              <w:t>329</w:t>
            </w:r>
          </w:p>
        </w:tc>
      </w:tr>
    </w:tbl>
    <w:p w14:paraId="40DAC3AE" w14:textId="36BC8FC3" w:rsidR="00393898" w:rsidRPr="00393898" w:rsidRDefault="00393898" w:rsidP="00393898">
      <w:pPr>
        <w:rPr>
          <w:i/>
          <w:iCs/>
          <w:sz w:val="18"/>
          <w:szCs w:val="18"/>
          <w:lang w:val="fr-BE"/>
        </w:rPr>
      </w:pPr>
      <w:r w:rsidRPr="00393898">
        <w:rPr>
          <w:i/>
          <w:iCs/>
          <w:sz w:val="18"/>
          <w:szCs w:val="18"/>
          <w:lang w:val="fr-BE"/>
        </w:rPr>
        <w:t>Figure 4 : délai jusqu’à la demande (CLAIM), délai jusqu’au remboursement et durée de la procédure (y compris les suspensions)</w:t>
      </w:r>
    </w:p>
    <w:p w14:paraId="13C9D92D" w14:textId="2391CEC4" w:rsidR="00C56927" w:rsidRPr="00393898" w:rsidRDefault="00C56927" w:rsidP="00C56927">
      <w:pPr>
        <w:rPr>
          <w:i/>
          <w:iCs/>
          <w:sz w:val="18"/>
          <w:szCs w:val="18"/>
          <w:lang w:val="fr-BE"/>
        </w:rPr>
      </w:pPr>
    </w:p>
    <w:p w14:paraId="222913AA" w14:textId="2C5A1829" w:rsidR="00393898" w:rsidRDefault="00393898" w:rsidP="00393898">
      <w:pPr>
        <w:keepNext/>
        <w:rPr>
          <w:lang w:val="fr-BE"/>
        </w:rPr>
      </w:pPr>
      <w:r w:rsidRPr="00393898">
        <w:rPr>
          <w:lang w:val="fr-BE"/>
        </w:rPr>
        <w:t>La figure 4 ci-dessus présente pour les médicaments pris en compte dans l’indicateur WAIT un aperçu (détaillé) du temps :</w:t>
      </w:r>
    </w:p>
    <w:p w14:paraId="01BC5606" w14:textId="77777777" w:rsidR="00393898" w:rsidRPr="00393898" w:rsidRDefault="00393898" w:rsidP="00393898">
      <w:pPr>
        <w:keepNext/>
        <w:rPr>
          <w:lang w:val="fr-BE"/>
        </w:rPr>
      </w:pPr>
    </w:p>
    <w:p w14:paraId="34DF7372" w14:textId="6FCB455A" w:rsidR="00476DED" w:rsidRPr="00393898" w:rsidRDefault="00393898" w:rsidP="00476DED">
      <w:pPr>
        <w:pStyle w:val="ListParagraph"/>
        <w:numPr>
          <w:ilvl w:val="0"/>
          <w:numId w:val="1"/>
        </w:numPr>
        <w:rPr>
          <w:lang w:val="fr-BE"/>
        </w:rPr>
      </w:pPr>
      <w:proofErr w:type="gramStart"/>
      <w:r w:rsidRPr="00393898">
        <w:rPr>
          <w:lang w:val="fr-BE"/>
        </w:rPr>
        <w:t>entre</w:t>
      </w:r>
      <w:proofErr w:type="gramEnd"/>
      <w:r w:rsidRPr="00393898">
        <w:rPr>
          <w:lang w:val="fr-BE"/>
        </w:rPr>
        <w:t xml:space="preserve"> la première autorisation des médicaments (données EMA) et la PREMIÈRE demande de remboursement (pour les médicaments actuellement remboursables).</w:t>
      </w:r>
      <w:r>
        <w:rPr>
          <w:lang w:val="fr-BE"/>
        </w:rPr>
        <w:t xml:space="preserve"> </w:t>
      </w:r>
      <w:r w:rsidRPr="00393898">
        <w:rPr>
          <w:lang w:val="fr-BE"/>
        </w:rPr>
        <w:t xml:space="preserve">Ce délai est en moyenne de </w:t>
      </w:r>
      <w:r w:rsidRPr="00393898">
        <w:rPr>
          <w:b/>
          <w:bCs/>
          <w:lang w:val="fr-BE"/>
        </w:rPr>
        <w:t>124 jours</w:t>
      </w:r>
      <w:r w:rsidRPr="00393898">
        <w:rPr>
          <w:lang w:val="fr-BE"/>
        </w:rPr>
        <w:t>.</w:t>
      </w:r>
      <w:r w:rsidR="00476DED" w:rsidRPr="00393898">
        <w:rPr>
          <w:lang w:val="fr-BE"/>
        </w:rPr>
        <w:br/>
      </w:r>
    </w:p>
    <w:p w14:paraId="46DC8133" w14:textId="77777777" w:rsidR="00393898" w:rsidRPr="00393898" w:rsidRDefault="00393898" w:rsidP="00393898">
      <w:pPr>
        <w:pStyle w:val="ListParagraph"/>
        <w:numPr>
          <w:ilvl w:val="0"/>
          <w:numId w:val="1"/>
        </w:numPr>
        <w:rPr>
          <w:lang w:val="fr-BE"/>
        </w:rPr>
      </w:pPr>
      <w:proofErr w:type="gramStart"/>
      <w:r w:rsidRPr="00393898">
        <w:rPr>
          <w:lang w:val="fr-BE"/>
        </w:rPr>
        <w:t>entre</w:t>
      </w:r>
      <w:proofErr w:type="gramEnd"/>
      <w:r w:rsidRPr="00393898">
        <w:rPr>
          <w:lang w:val="fr-BE"/>
        </w:rPr>
        <w:t xml:space="preserve"> la première autorisation des médicaments (données EMA) et le PREMIER remboursement (indépendamment du nombre de procédures parcourues ou de procédures en boucle).</w:t>
      </w:r>
      <w:r>
        <w:rPr>
          <w:lang w:val="fr-BE"/>
        </w:rPr>
        <w:t xml:space="preserve"> </w:t>
      </w:r>
      <w:r w:rsidRPr="00393898">
        <w:rPr>
          <w:lang w:val="fr-BE"/>
        </w:rPr>
        <w:t xml:space="preserve">Ce délai est en moyenne de </w:t>
      </w:r>
      <w:r w:rsidRPr="00393898">
        <w:rPr>
          <w:b/>
          <w:bCs/>
          <w:lang w:val="fr-BE"/>
        </w:rPr>
        <w:t>556 jours</w:t>
      </w:r>
      <w:r w:rsidRPr="00393898">
        <w:rPr>
          <w:lang w:val="fr-BE"/>
        </w:rPr>
        <w:t>.</w:t>
      </w:r>
    </w:p>
    <w:p w14:paraId="5B38DAC2" w14:textId="77777777" w:rsidR="00393898" w:rsidRPr="00935D1C" w:rsidRDefault="00393898" w:rsidP="00393898">
      <w:pPr>
        <w:pStyle w:val="ListParagraph"/>
        <w:rPr>
          <w:lang w:val="fr-BE"/>
        </w:rPr>
      </w:pPr>
      <w:r w:rsidRPr="00935D1C">
        <w:rPr>
          <w:lang w:val="fr-BE"/>
        </w:rPr>
        <w:t>Dans ces 556 jours sont donc inclus :</w:t>
      </w:r>
    </w:p>
    <w:p w14:paraId="73BC9AE5" w14:textId="77777777" w:rsidR="00393898" w:rsidRPr="00935D1C" w:rsidRDefault="00393898" w:rsidP="00393898">
      <w:pPr>
        <w:pStyle w:val="ListParagraph"/>
        <w:rPr>
          <w:lang w:val="fr-BE"/>
        </w:rPr>
      </w:pPr>
    </w:p>
    <w:p w14:paraId="4873E073" w14:textId="1B394DD8" w:rsidR="00393898" w:rsidRDefault="00393898" w:rsidP="00393898">
      <w:pPr>
        <w:pStyle w:val="ListParagraph"/>
        <w:keepNext/>
        <w:numPr>
          <w:ilvl w:val="1"/>
          <w:numId w:val="6"/>
        </w:numPr>
        <w:rPr>
          <w:lang w:val="fr-BE"/>
        </w:rPr>
      </w:pPr>
      <w:proofErr w:type="gramStart"/>
      <w:r w:rsidRPr="00393898">
        <w:rPr>
          <w:lang w:val="fr-BE"/>
        </w:rPr>
        <w:t>le</w:t>
      </w:r>
      <w:proofErr w:type="gramEnd"/>
      <w:r w:rsidRPr="00393898">
        <w:rPr>
          <w:lang w:val="fr-BE"/>
        </w:rPr>
        <w:t xml:space="preserve"> temps d’attente pour l’introduction de la demande par la firme (TIME TO CLAIM),</w:t>
      </w:r>
      <w:r>
        <w:rPr>
          <w:lang w:val="fr-BE"/>
        </w:rPr>
        <w:t xml:space="preserve"> </w:t>
      </w:r>
      <w:r w:rsidRPr="00393898">
        <w:rPr>
          <w:lang w:val="fr-BE"/>
        </w:rPr>
        <w:t xml:space="preserve">uniquement pour les médicaments actuellement remboursables : </w:t>
      </w:r>
      <w:r>
        <w:rPr>
          <w:lang w:val="fr-BE"/>
        </w:rPr>
        <w:br/>
      </w:r>
      <w:r w:rsidRPr="00393898">
        <w:rPr>
          <w:b/>
          <w:bCs/>
          <w:lang w:val="fr-BE"/>
        </w:rPr>
        <w:t>98 jours</w:t>
      </w:r>
      <w:r w:rsidRPr="00393898">
        <w:rPr>
          <w:lang w:val="fr-BE"/>
        </w:rPr>
        <w:t xml:space="preserve"> pour les médicaments de classe 1, </w:t>
      </w:r>
      <w:r w:rsidRPr="00393898">
        <w:rPr>
          <w:b/>
          <w:bCs/>
          <w:lang w:val="fr-BE"/>
        </w:rPr>
        <w:t>156 jours</w:t>
      </w:r>
      <w:r w:rsidRPr="00393898">
        <w:rPr>
          <w:lang w:val="fr-BE"/>
        </w:rPr>
        <w:t xml:space="preserve"> pour les médicaments de classe 2 et </w:t>
      </w:r>
      <w:r w:rsidRPr="00393898">
        <w:rPr>
          <w:b/>
          <w:bCs/>
          <w:lang w:val="fr-BE"/>
        </w:rPr>
        <w:t>128 jours</w:t>
      </w:r>
      <w:r w:rsidRPr="00393898">
        <w:rPr>
          <w:lang w:val="fr-BE"/>
        </w:rPr>
        <w:t xml:space="preserve"> pour les médicaments orphelins et </w:t>
      </w:r>
      <w:r w:rsidRPr="00393898">
        <w:rPr>
          <w:b/>
          <w:bCs/>
          <w:lang w:val="fr-BE"/>
        </w:rPr>
        <w:t>273 jours</w:t>
      </w:r>
      <w:r w:rsidRPr="00393898">
        <w:rPr>
          <w:lang w:val="fr-BE"/>
        </w:rPr>
        <w:t xml:space="preserve"> pour les spécialités radiopharmaceutiques</w:t>
      </w:r>
      <w:r>
        <w:rPr>
          <w:lang w:val="fr-BE"/>
        </w:rPr>
        <w:t xml:space="preserve"> </w:t>
      </w:r>
      <w:r w:rsidRPr="00393898">
        <w:rPr>
          <w:lang w:val="fr-BE"/>
        </w:rPr>
        <w:t>;</w:t>
      </w:r>
    </w:p>
    <w:p w14:paraId="72A97789" w14:textId="77777777" w:rsidR="00393898" w:rsidRPr="00393898" w:rsidRDefault="00393898" w:rsidP="00393898">
      <w:pPr>
        <w:pStyle w:val="ListParagraph"/>
        <w:keepNext/>
        <w:ind w:left="1440"/>
        <w:rPr>
          <w:lang w:val="fr-BE"/>
        </w:rPr>
      </w:pPr>
    </w:p>
    <w:p w14:paraId="207669A1" w14:textId="71CFD10C" w:rsidR="00393898" w:rsidRPr="00393898" w:rsidRDefault="00393898" w:rsidP="00393898">
      <w:pPr>
        <w:pStyle w:val="ListParagraph"/>
        <w:keepNext/>
        <w:numPr>
          <w:ilvl w:val="1"/>
          <w:numId w:val="6"/>
        </w:numPr>
        <w:rPr>
          <w:lang w:val="fr-BE"/>
        </w:rPr>
      </w:pPr>
      <w:proofErr w:type="gramStart"/>
      <w:r w:rsidRPr="00393898">
        <w:rPr>
          <w:lang w:val="fr-BE"/>
        </w:rPr>
        <w:t>les</w:t>
      </w:r>
      <w:proofErr w:type="gramEnd"/>
      <w:r w:rsidRPr="00393898">
        <w:rPr>
          <w:lang w:val="fr-BE"/>
        </w:rPr>
        <w:t xml:space="preserve"> suspensions pour cause d’irrecevabilité (</w:t>
      </w:r>
      <w:r w:rsidRPr="00393898">
        <w:rPr>
          <w:b/>
          <w:bCs/>
          <w:lang w:val="fr-BE"/>
        </w:rPr>
        <w:t>3,8 jours</w:t>
      </w:r>
      <w:r w:rsidRPr="00393898">
        <w:rPr>
          <w:lang w:val="fr-BE"/>
        </w:rPr>
        <w:t>) ;</w:t>
      </w:r>
    </w:p>
    <w:p w14:paraId="3AA44CAC" w14:textId="77777777" w:rsidR="00393898" w:rsidRPr="00393898" w:rsidRDefault="00393898" w:rsidP="00393898">
      <w:pPr>
        <w:pStyle w:val="ListParagraph"/>
        <w:rPr>
          <w:lang w:val="fr-BE"/>
        </w:rPr>
      </w:pPr>
    </w:p>
    <w:p w14:paraId="79BF14C2" w14:textId="515223E2" w:rsidR="00393898" w:rsidRPr="00393898" w:rsidRDefault="00393898" w:rsidP="00393898">
      <w:pPr>
        <w:pStyle w:val="ListParagraph"/>
        <w:keepNext/>
        <w:numPr>
          <w:ilvl w:val="1"/>
          <w:numId w:val="6"/>
        </w:numPr>
        <w:rPr>
          <w:lang w:val="fr-BE"/>
        </w:rPr>
      </w:pPr>
      <w:proofErr w:type="gramStart"/>
      <w:r w:rsidRPr="00393898">
        <w:rPr>
          <w:lang w:val="fr-BE"/>
        </w:rPr>
        <w:t>les</w:t>
      </w:r>
      <w:proofErr w:type="gramEnd"/>
      <w:r w:rsidRPr="00393898">
        <w:rPr>
          <w:lang w:val="fr-BE"/>
        </w:rPr>
        <w:t xml:space="preserve"> suspensions du dossier au cours de la procédure de remboursement (réponse au rapport d’évaluation, prix non encore disponible auprès des Affaires économiques, réponse à la proposition provisoire, etc.) ainsi que pour les négociations contractuelles (</w:t>
      </w:r>
      <w:r w:rsidRPr="00393898">
        <w:rPr>
          <w:b/>
          <w:bCs/>
          <w:lang w:val="fr-BE"/>
        </w:rPr>
        <w:t>161 jours</w:t>
      </w:r>
      <w:r w:rsidRPr="00393898">
        <w:rPr>
          <w:lang w:val="fr-BE"/>
        </w:rPr>
        <w:t>) ;</w:t>
      </w:r>
    </w:p>
    <w:p w14:paraId="7B40A8E4" w14:textId="77777777" w:rsidR="00393898" w:rsidRPr="00393898" w:rsidRDefault="00393898" w:rsidP="00393898">
      <w:pPr>
        <w:pStyle w:val="ListParagraph"/>
        <w:rPr>
          <w:lang w:val="fr-BE"/>
        </w:rPr>
      </w:pPr>
    </w:p>
    <w:p w14:paraId="328C5D6C" w14:textId="22CF854C" w:rsidR="00393898" w:rsidRPr="00393898" w:rsidRDefault="00393898" w:rsidP="00393898">
      <w:pPr>
        <w:pStyle w:val="ListParagraph"/>
        <w:keepNext/>
        <w:numPr>
          <w:ilvl w:val="1"/>
          <w:numId w:val="6"/>
        </w:numPr>
        <w:rPr>
          <w:lang w:val="fr-BE"/>
        </w:rPr>
      </w:pPr>
      <w:proofErr w:type="gramStart"/>
      <w:r w:rsidRPr="00393898">
        <w:rPr>
          <w:lang w:val="fr-BE"/>
        </w:rPr>
        <w:t>la</w:t>
      </w:r>
      <w:proofErr w:type="gramEnd"/>
      <w:r w:rsidRPr="00393898">
        <w:rPr>
          <w:lang w:val="fr-BE"/>
        </w:rPr>
        <w:t xml:space="preserve"> durée de la procédure de remboursement (maximum 180 jours calendriers, hors suspensions) ;</w:t>
      </w:r>
    </w:p>
    <w:p w14:paraId="5066E025" w14:textId="77777777" w:rsidR="00393898" w:rsidRPr="00393898" w:rsidRDefault="00393898" w:rsidP="00393898">
      <w:pPr>
        <w:pStyle w:val="ListParagraph"/>
        <w:rPr>
          <w:lang w:val="fr-BE"/>
        </w:rPr>
      </w:pPr>
    </w:p>
    <w:p w14:paraId="4DE8D751" w14:textId="4B2AD781" w:rsidR="00393898" w:rsidRPr="00393898" w:rsidRDefault="00393898" w:rsidP="00393898">
      <w:pPr>
        <w:pStyle w:val="ListParagraph"/>
        <w:keepNext/>
        <w:numPr>
          <w:ilvl w:val="1"/>
          <w:numId w:val="6"/>
        </w:numPr>
        <w:rPr>
          <w:lang w:val="fr-BE"/>
        </w:rPr>
      </w:pPr>
      <w:proofErr w:type="gramStart"/>
      <w:r w:rsidRPr="00393898">
        <w:rPr>
          <w:lang w:val="fr-BE"/>
        </w:rPr>
        <w:t>le</w:t>
      </w:r>
      <w:proofErr w:type="gramEnd"/>
      <w:r w:rsidRPr="00393898">
        <w:rPr>
          <w:lang w:val="fr-BE"/>
        </w:rPr>
        <w:t xml:space="preserve"> temps entre d’éventuelles procédures successives (réintroduction) ;</w:t>
      </w:r>
    </w:p>
    <w:p w14:paraId="1F17C52C" w14:textId="77777777" w:rsidR="00393898" w:rsidRPr="00393898" w:rsidRDefault="00393898" w:rsidP="00393898">
      <w:pPr>
        <w:pStyle w:val="ListParagraph"/>
        <w:rPr>
          <w:lang w:val="fr-BE"/>
        </w:rPr>
      </w:pPr>
    </w:p>
    <w:p w14:paraId="78992B85" w14:textId="54B7984D" w:rsidR="00393898" w:rsidRPr="00393898" w:rsidRDefault="00393898" w:rsidP="00393898">
      <w:pPr>
        <w:pStyle w:val="ListParagraph"/>
        <w:keepNext/>
        <w:numPr>
          <w:ilvl w:val="1"/>
          <w:numId w:val="6"/>
        </w:numPr>
        <w:rPr>
          <w:lang w:val="fr-BE"/>
        </w:rPr>
      </w:pPr>
      <w:proofErr w:type="gramStart"/>
      <w:r w:rsidRPr="00393898">
        <w:rPr>
          <w:lang w:val="fr-BE"/>
        </w:rPr>
        <w:t>le</w:t>
      </w:r>
      <w:proofErr w:type="gramEnd"/>
      <w:r w:rsidRPr="00393898">
        <w:rPr>
          <w:lang w:val="fr-BE"/>
        </w:rPr>
        <w:t xml:space="preserve"> temps entre la notification de la décision et son entrée en vigueur, après publication au Moniteur belge</w:t>
      </w:r>
      <w:r>
        <w:rPr>
          <w:lang w:val="fr-BE"/>
        </w:rPr>
        <w:t xml:space="preserve"> (2 mois)</w:t>
      </w:r>
      <w:r w:rsidRPr="00393898">
        <w:rPr>
          <w:lang w:val="fr-BE"/>
        </w:rPr>
        <w:t>.</w:t>
      </w:r>
    </w:p>
    <w:p w14:paraId="7FBB1DD1" w14:textId="77777777" w:rsidR="00393898" w:rsidRPr="00393898" w:rsidRDefault="00393898" w:rsidP="00393898">
      <w:pPr>
        <w:pStyle w:val="ListParagraph"/>
        <w:rPr>
          <w:lang w:val="fr-BE"/>
        </w:rPr>
      </w:pPr>
    </w:p>
    <w:p w14:paraId="23B84A80" w14:textId="25A8F198" w:rsidR="008F4666" w:rsidRPr="00393898" w:rsidRDefault="00393898" w:rsidP="00393898">
      <w:pPr>
        <w:pStyle w:val="ListParagraph"/>
        <w:numPr>
          <w:ilvl w:val="0"/>
          <w:numId w:val="1"/>
        </w:numPr>
        <w:rPr>
          <w:lang w:val="fr-BE"/>
        </w:rPr>
      </w:pPr>
      <w:proofErr w:type="gramStart"/>
      <w:r w:rsidRPr="00393898">
        <w:rPr>
          <w:lang w:val="fr-BE"/>
        </w:rPr>
        <w:t>entre</w:t>
      </w:r>
      <w:proofErr w:type="gramEnd"/>
      <w:r w:rsidRPr="00393898">
        <w:rPr>
          <w:lang w:val="fr-BE"/>
        </w:rPr>
        <w:t xml:space="preserve"> la demande de remboursement (ayant conduit à une décision positive) et le PREMIER remboursement (indépendamment du nombre de procédures parcourues ou </w:t>
      </w:r>
      <w:r w:rsidRPr="00393898">
        <w:rPr>
          <w:lang w:val="fr-BE"/>
        </w:rPr>
        <w:lastRenderedPageBreak/>
        <w:t>de procédures en boucle),</w:t>
      </w:r>
      <w:r>
        <w:rPr>
          <w:lang w:val="fr-BE"/>
        </w:rPr>
        <w:t xml:space="preserve"> </w:t>
      </w:r>
      <w:r w:rsidRPr="00393898">
        <w:rPr>
          <w:lang w:val="fr-BE"/>
        </w:rPr>
        <w:t>soit la durée de la procédure de remboursement, suspensions comprises.</w:t>
      </w:r>
      <w:r w:rsidRPr="00393898">
        <w:rPr>
          <w:lang w:val="fr-BE"/>
        </w:rPr>
        <w:br/>
        <w:t xml:space="preserve">Ce délai est en moyenne de </w:t>
      </w:r>
      <w:r w:rsidRPr="00393898">
        <w:rPr>
          <w:b/>
          <w:bCs/>
          <w:lang w:val="fr-BE"/>
        </w:rPr>
        <w:t>329 jours</w:t>
      </w:r>
      <w:r w:rsidRPr="00393898">
        <w:rPr>
          <w:lang w:val="fr-BE"/>
        </w:rPr>
        <w:t>.</w:t>
      </w:r>
      <w:r w:rsidR="00CB4368" w:rsidRPr="00393898">
        <w:rPr>
          <w:lang w:val="fr-BE"/>
        </w:rPr>
        <w:br/>
      </w:r>
    </w:p>
    <w:sectPr w:rsidR="008F4666" w:rsidRPr="00393898" w:rsidSect="0047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37"/>
    <w:multiLevelType w:val="multilevel"/>
    <w:tmpl w:val="13A6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92716"/>
    <w:multiLevelType w:val="hybridMultilevel"/>
    <w:tmpl w:val="529CB674"/>
    <w:lvl w:ilvl="0" w:tplc="619E73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5BF0"/>
    <w:multiLevelType w:val="multilevel"/>
    <w:tmpl w:val="9AD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C39C1"/>
    <w:multiLevelType w:val="multilevel"/>
    <w:tmpl w:val="CF9A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75463"/>
    <w:multiLevelType w:val="multilevel"/>
    <w:tmpl w:val="3158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56AD9"/>
    <w:multiLevelType w:val="multilevel"/>
    <w:tmpl w:val="CA2C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D31455"/>
    <w:multiLevelType w:val="hybridMultilevel"/>
    <w:tmpl w:val="6E82D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34C8C"/>
    <w:multiLevelType w:val="multilevel"/>
    <w:tmpl w:val="A5B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55D49"/>
    <w:multiLevelType w:val="multilevel"/>
    <w:tmpl w:val="E18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056063">
    <w:abstractNumId w:val="6"/>
  </w:num>
  <w:num w:numId="2" w16cid:durableId="487282893">
    <w:abstractNumId w:val="3"/>
  </w:num>
  <w:num w:numId="3" w16cid:durableId="695035178">
    <w:abstractNumId w:val="5"/>
  </w:num>
  <w:num w:numId="4" w16cid:durableId="1649936361">
    <w:abstractNumId w:val="1"/>
  </w:num>
  <w:num w:numId="5" w16cid:durableId="995452760">
    <w:abstractNumId w:val="8"/>
  </w:num>
  <w:num w:numId="6" w16cid:durableId="1587954387">
    <w:abstractNumId w:val="4"/>
  </w:num>
  <w:num w:numId="7" w16cid:durableId="191379595">
    <w:abstractNumId w:val="7"/>
  </w:num>
  <w:num w:numId="8" w16cid:durableId="1604996096">
    <w:abstractNumId w:val="0"/>
  </w:num>
  <w:num w:numId="9" w16cid:durableId="193528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ED"/>
    <w:rsid w:val="000769FD"/>
    <w:rsid w:val="00084896"/>
    <w:rsid w:val="0011008B"/>
    <w:rsid w:val="001104FB"/>
    <w:rsid w:val="00241339"/>
    <w:rsid w:val="00285212"/>
    <w:rsid w:val="002D5EBC"/>
    <w:rsid w:val="002D74F1"/>
    <w:rsid w:val="002E5ED0"/>
    <w:rsid w:val="00316E0A"/>
    <w:rsid w:val="003333EC"/>
    <w:rsid w:val="0035057D"/>
    <w:rsid w:val="00393898"/>
    <w:rsid w:val="003B2BD0"/>
    <w:rsid w:val="004455B1"/>
    <w:rsid w:val="004623C8"/>
    <w:rsid w:val="00476DED"/>
    <w:rsid w:val="004C1827"/>
    <w:rsid w:val="00515091"/>
    <w:rsid w:val="00522E54"/>
    <w:rsid w:val="005D094E"/>
    <w:rsid w:val="005D3AEF"/>
    <w:rsid w:val="0064544D"/>
    <w:rsid w:val="006B0FAF"/>
    <w:rsid w:val="006D20D6"/>
    <w:rsid w:val="006E78FA"/>
    <w:rsid w:val="006F1C99"/>
    <w:rsid w:val="008156BB"/>
    <w:rsid w:val="00840E62"/>
    <w:rsid w:val="00864248"/>
    <w:rsid w:val="0086623E"/>
    <w:rsid w:val="00891D6B"/>
    <w:rsid w:val="008A303F"/>
    <w:rsid w:val="008B2173"/>
    <w:rsid w:val="008F125F"/>
    <w:rsid w:val="008F4666"/>
    <w:rsid w:val="00922612"/>
    <w:rsid w:val="00935D1C"/>
    <w:rsid w:val="00987104"/>
    <w:rsid w:val="00A653A6"/>
    <w:rsid w:val="00B127B2"/>
    <w:rsid w:val="00B53A29"/>
    <w:rsid w:val="00B64B0E"/>
    <w:rsid w:val="00BD67BE"/>
    <w:rsid w:val="00C56927"/>
    <w:rsid w:val="00C715E4"/>
    <w:rsid w:val="00CB4368"/>
    <w:rsid w:val="00D133B6"/>
    <w:rsid w:val="00DC41F1"/>
    <w:rsid w:val="00ED6E97"/>
    <w:rsid w:val="00EE2C65"/>
    <w:rsid w:val="00EF6EF0"/>
    <w:rsid w:val="00F11211"/>
    <w:rsid w:val="00F24D5C"/>
    <w:rsid w:val="00F921CB"/>
    <w:rsid w:val="00F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3C3F3"/>
  <w15:chartTrackingRefBased/>
  <w15:docId w15:val="{240BFF53-A2CC-4D33-A7C2-2BEEAB72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DED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paragraph" w:styleId="Heading1">
    <w:name w:val="heading 1"/>
    <w:basedOn w:val="Normal"/>
    <w:next w:val="Normal"/>
    <w:link w:val="Heading1Char"/>
    <w:qFormat/>
    <w:rsid w:val="0047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6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6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6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6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6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6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D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476D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476DE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476DED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476DED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476DE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476DED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476DE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476DED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476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76DE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476D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76D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76D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DED"/>
    <w:rPr>
      <w:rFonts w:ascii="Arial" w:hAnsi="Arial"/>
      <w:i/>
      <w:iCs/>
      <w:color w:val="404040" w:themeColor="text1" w:themeTint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76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DED"/>
    <w:rPr>
      <w:rFonts w:ascii="Arial" w:hAnsi="Arial"/>
      <w:i/>
      <w:iCs/>
      <w:color w:val="0F4761" w:themeColor="accent1" w:themeShade="BF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476DE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76DE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rsid w:val="00476D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6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6DED"/>
    <w:rPr>
      <w:rFonts w:asciiTheme="minorHAnsi" w:eastAsiaTheme="minorHAnsi" w:hAnsiTheme="minorHAnsi" w:cstheme="minorBidi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6DED"/>
    <w:rPr>
      <w:rFonts w:asciiTheme="minorHAnsi" w:eastAsiaTheme="minorHAnsi" w:hAnsiTheme="minorHAnsi" w:cstheme="minorBidi"/>
      <w:b/>
      <w:bCs/>
      <w:lang w:val="nl-BE" w:eastAsia="en-US"/>
    </w:rPr>
  </w:style>
  <w:style w:type="table" w:styleId="TableGrid">
    <w:name w:val="Table Grid"/>
    <w:basedOn w:val="TableNormal"/>
    <w:rsid w:val="0031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F12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A6F0C-2C78-446D-9EFF-0370C2233FF5}">
  <ds:schemaRefs>
    <ds:schemaRef ds:uri="http://schemas.microsoft.com/office/2006/metadata/properties"/>
    <ds:schemaRef ds:uri="http://schemas.microsoft.com/office/infopath/2007/PartnerControls"/>
    <ds:schemaRef ds:uri="cf83245a-01d9-4485-b032-fd054b795d5d"/>
  </ds:schemaRefs>
</ds:datastoreItem>
</file>

<file path=customXml/itemProps2.xml><?xml version="1.0" encoding="utf-8"?>
<ds:datastoreItem xmlns:ds="http://schemas.openxmlformats.org/officeDocument/2006/customXml" ds:itemID="{4A23B944-30A3-4326-A024-EF50B8CA0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FA13F-9405-4689-A6E7-B02C59AF0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3245a-01d9-4485-b032-fd054b79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Duran (RIZIV-INAMI)</dc:creator>
  <cp:keywords/>
  <dc:description/>
  <cp:lastModifiedBy>Bruno De Bolle (RIZIV-INAMI)</cp:lastModifiedBy>
  <cp:revision>3</cp:revision>
  <dcterms:created xsi:type="dcterms:W3CDTF">2026-06-18T07:43:00Z</dcterms:created>
  <dcterms:modified xsi:type="dcterms:W3CDTF">2026-06-24T11:30:00Z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TODOBY">
    <vt:lpwstr>Communication</vt:lpwstr>
  </property>
</Properties>
</file>