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82" w:rsidRPr="00621582" w:rsidRDefault="00621582" w:rsidP="00621582">
      <w:pPr>
        <w:pStyle w:val="Heading1"/>
        <w:spacing w:after="240"/>
        <w:jc w:val="both"/>
        <w:rPr>
          <w:lang w:val="fr-BE"/>
        </w:rPr>
      </w:pPr>
      <w:r w:rsidRPr="00621582">
        <w:rPr>
          <w:lang w:val="fr-BE"/>
        </w:rPr>
        <w:t xml:space="preserve">Questions fréquemment posées – Tests de </w:t>
      </w:r>
      <w:r w:rsidR="004F792F">
        <w:rPr>
          <w:lang w:val="fr-BE"/>
        </w:rPr>
        <w:t xml:space="preserve">détection </w:t>
      </w:r>
      <w:r w:rsidRPr="00621582">
        <w:rPr>
          <w:lang w:val="fr-BE"/>
        </w:rPr>
        <w:t>Covid-19</w:t>
      </w:r>
    </w:p>
    <w:p w:rsidR="00844F13" w:rsidRDefault="00A676E4" w:rsidP="00B05E45">
      <w:pPr>
        <w:pStyle w:val="Heading2"/>
        <w:rPr>
          <w:lang w:val="nl-BE"/>
        </w:rPr>
      </w:pPr>
      <w:r>
        <w:rPr>
          <w:lang w:val="nl-BE"/>
        </w:rPr>
        <w:t>10</w:t>
      </w:r>
      <w:r w:rsidR="00B05E45">
        <w:rPr>
          <w:lang w:val="nl-BE"/>
        </w:rPr>
        <w:t>-06-2020</w:t>
      </w:r>
    </w:p>
    <w:p w:rsidR="00B05E45" w:rsidRPr="00B05E45" w:rsidRDefault="00B05E45" w:rsidP="00B05E45">
      <w:pPr>
        <w:rPr>
          <w:lang w:val="nl-BE"/>
        </w:rPr>
      </w:pPr>
    </w:p>
    <w:p w:rsidR="00BA06CB" w:rsidRPr="00621582" w:rsidRDefault="00621582" w:rsidP="000436B9">
      <w:pPr>
        <w:pStyle w:val="ListParagraph"/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b/>
          <w:lang w:val="fr-BE"/>
        </w:rPr>
      </w:pPr>
      <w:r w:rsidRPr="00621582">
        <w:rPr>
          <w:b/>
          <w:lang w:val="fr-BE"/>
        </w:rPr>
        <w:t>Un résident qui séjourne périodiquement dans une collectivité est-il considéré comme un ‘nouveau résident’ de l’institution à son retour?</w:t>
      </w:r>
    </w:p>
    <w:p w:rsidR="002E7602" w:rsidRPr="002E7602" w:rsidRDefault="002E7602" w:rsidP="00195056">
      <w:pPr>
        <w:spacing w:after="240"/>
        <w:jc w:val="both"/>
        <w:rPr>
          <w:lang w:val="fr-BE"/>
        </w:rPr>
      </w:pPr>
      <w:r w:rsidRPr="002E7602">
        <w:rPr>
          <w:lang w:val="fr-BE"/>
        </w:rPr>
        <w:t>Non, seules les personnes qui séjournent pour la première fois dans une collectivité sont considérées “nouveaux résidents” selon les directives de test</w:t>
      </w:r>
    </w:p>
    <w:p w:rsidR="00BA06CB" w:rsidRPr="002E7602" w:rsidRDefault="002E7602" w:rsidP="000436B9">
      <w:pPr>
        <w:pStyle w:val="ListParagraph"/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b/>
          <w:lang w:val="fr-BE"/>
        </w:rPr>
      </w:pPr>
      <w:r w:rsidRPr="002E7602">
        <w:rPr>
          <w:b/>
          <w:lang w:val="fr-BE"/>
        </w:rPr>
        <w:t>Un test moléculaire peut-il être facturé à une institution ou une entreprise?</w:t>
      </w:r>
    </w:p>
    <w:p w:rsidR="002E7602" w:rsidRPr="002E7602" w:rsidRDefault="002E7602" w:rsidP="00195056">
      <w:pPr>
        <w:spacing w:after="240"/>
        <w:jc w:val="both"/>
        <w:rPr>
          <w:lang w:val="fr-BE"/>
        </w:rPr>
      </w:pPr>
      <w:r w:rsidRPr="002E7602">
        <w:rPr>
          <w:lang w:val="fr-BE"/>
        </w:rPr>
        <w:t>Oui, l’A</w:t>
      </w:r>
      <w:r w:rsidR="00BA0B0C">
        <w:rPr>
          <w:lang w:val="fr-BE"/>
        </w:rPr>
        <w:t>.</w:t>
      </w:r>
      <w:r w:rsidRPr="002E7602">
        <w:rPr>
          <w:lang w:val="fr-BE"/>
        </w:rPr>
        <w:t>R</w:t>
      </w:r>
      <w:r w:rsidR="00BA0B0C">
        <w:rPr>
          <w:lang w:val="fr-BE"/>
        </w:rPr>
        <w:t>.</w:t>
      </w:r>
      <w:r w:rsidRPr="002E7602">
        <w:rPr>
          <w:lang w:val="fr-BE"/>
        </w:rPr>
        <w:t xml:space="preserve"> n°20 du 13 mai 2020 portant des mesures temporaires dans la lutte contre la pandémie COVID-19 et visant à assurer la continuité des soins en matière d'assurance obligatoire soins de santé</w:t>
      </w:r>
      <w:r>
        <w:rPr>
          <w:lang w:val="fr-BE"/>
        </w:rPr>
        <w:t xml:space="preserve"> interdit uniquement en son article 66 la facturation au patient ou à l’assurance obligatoire soins de santé.</w:t>
      </w:r>
    </w:p>
    <w:p w:rsidR="002E7602" w:rsidRPr="002E7602" w:rsidRDefault="002E7602" w:rsidP="004A7BCD">
      <w:pPr>
        <w:rPr>
          <w:lang w:val="fr-BE"/>
        </w:rPr>
      </w:pPr>
      <w:r w:rsidRPr="002E7602">
        <w:rPr>
          <w:lang w:val="fr-BE"/>
        </w:rPr>
        <w:t xml:space="preserve">Ces tests peuvent être prescrits par le médecin du travail, ou sur initiative de l’entreprise. </w:t>
      </w:r>
      <w:r w:rsidR="00CC6779">
        <w:rPr>
          <w:lang w:val="fr-BE"/>
        </w:rPr>
        <w:t>Les résultats peuvent uniquement être communiqués au médecin du travail, à un médecin désigné par le travailleur et/ou au travailleur lui-même.</w:t>
      </w:r>
    </w:p>
    <w:p w:rsidR="00CC6779" w:rsidRPr="00CC6779" w:rsidRDefault="00CC6779" w:rsidP="004A7BCD">
      <w:pPr>
        <w:rPr>
          <w:lang w:val="fr-BE"/>
        </w:rPr>
      </w:pPr>
      <w:r w:rsidRPr="00CC6779">
        <w:rPr>
          <w:lang w:val="fr-BE"/>
        </w:rPr>
        <w:t>Si ces te</w:t>
      </w:r>
      <w:r>
        <w:rPr>
          <w:lang w:val="fr-BE"/>
        </w:rPr>
        <w:t>s</w:t>
      </w:r>
      <w:r w:rsidRPr="00CC6779">
        <w:rPr>
          <w:lang w:val="fr-BE"/>
        </w:rPr>
        <w:t>ts ne sont pas effectués sur la demande d’un médecin, le travailleur testé doit prendre lui-m</w:t>
      </w:r>
      <w:r>
        <w:rPr>
          <w:lang w:val="fr-BE"/>
        </w:rPr>
        <w:t>ême l’initiative et donner son autorisation par écrit.</w:t>
      </w:r>
    </w:p>
    <w:p w:rsidR="00E07659" w:rsidRPr="00CC6779" w:rsidRDefault="00CC6779" w:rsidP="000436B9">
      <w:pPr>
        <w:pStyle w:val="ListParagraph"/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b/>
          <w:lang w:val="fr-BE"/>
        </w:rPr>
      </w:pPr>
      <w:r w:rsidRPr="00CC6779">
        <w:rPr>
          <w:b/>
          <w:lang w:val="fr-BE"/>
        </w:rPr>
        <w:t>Comment interpréter le 4ème groupe-cible pour les tests sérologiques?</w:t>
      </w:r>
    </w:p>
    <w:p w:rsidR="00CC6779" w:rsidRPr="00CC6779" w:rsidRDefault="00CC6779" w:rsidP="00450FB1">
      <w:pPr>
        <w:jc w:val="both"/>
        <w:rPr>
          <w:lang w:val="fr-BE"/>
        </w:rPr>
      </w:pPr>
      <w:r w:rsidRPr="00CC6779">
        <w:rPr>
          <w:lang w:val="fr-BE"/>
        </w:rPr>
        <w:t>L’A</w:t>
      </w:r>
      <w:r w:rsidR="00BA0B0C">
        <w:rPr>
          <w:lang w:val="fr-BE"/>
        </w:rPr>
        <w:t>.</w:t>
      </w:r>
      <w:r w:rsidRPr="00CC6779">
        <w:rPr>
          <w:lang w:val="fr-BE"/>
        </w:rPr>
        <w:t>R</w:t>
      </w:r>
      <w:r w:rsidR="00BA0B0C">
        <w:rPr>
          <w:lang w:val="fr-BE"/>
        </w:rPr>
        <w:t>.</w:t>
      </w:r>
      <w:r w:rsidRPr="00CC6779">
        <w:rPr>
          <w:lang w:val="fr-BE"/>
        </w:rPr>
        <w:t xml:space="preserve"> du </w:t>
      </w:r>
      <w:r w:rsidR="00D639FA">
        <w:rPr>
          <w:lang w:val="fr-BE"/>
        </w:rPr>
        <w:t>29</w:t>
      </w:r>
      <w:r w:rsidRPr="00CC6779">
        <w:rPr>
          <w:lang w:val="fr-BE"/>
        </w:rPr>
        <w:t xml:space="preserve"> mai 2020 portant sur les groupes-cible</w:t>
      </w:r>
      <w:r>
        <w:rPr>
          <w:lang w:val="fr-BE"/>
        </w:rPr>
        <w:t>s</w:t>
      </w:r>
      <w:r w:rsidRPr="00CC6779">
        <w:rPr>
          <w:lang w:val="fr-BE"/>
        </w:rPr>
        <w:t xml:space="preserve"> et les conditions de remboursement pour les tests sérologiques fixe à l’article 3 les groupes-cible</w:t>
      </w:r>
      <w:r>
        <w:rPr>
          <w:lang w:val="fr-BE"/>
        </w:rPr>
        <w:t>s</w:t>
      </w:r>
      <w:r w:rsidRPr="00CC6779">
        <w:rPr>
          <w:lang w:val="fr-BE"/>
        </w:rPr>
        <w:t xml:space="preserve"> </w:t>
      </w:r>
      <w:r>
        <w:rPr>
          <w:lang w:val="fr-BE"/>
        </w:rPr>
        <w:t>pour lesquels un remboursement par l’INAMI est possible. Le 4</w:t>
      </w:r>
      <w:r w:rsidRPr="00CC6779">
        <w:rPr>
          <w:vertAlign w:val="superscript"/>
          <w:lang w:val="fr-BE"/>
        </w:rPr>
        <w:t>ème</w:t>
      </w:r>
      <w:r>
        <w:rPr>
          <w:lang w:val="fr-BE"/>
        </w:rPr>
        <w:t xml:space="preserve"> groupe-cible est défini comme suit :</w:t>
      </w:r>
    </w:p>
    <w:p w:rsidR="00CC6779" w:rsidRPr="00780EA0" w:rsidRDefault="00CC6779" w:rsidP="00450FB1">
      <w:pPr>
        <w:jc w:val="both"/>
        <w:rPr>
          <w:rFonts w:ascii="Arial" w:hAnsi="Arial" w:cs="Arial"/>
          <w:color w:val="000000"/>
          <w:sz w:val="20"/>
          <w:szCs w:val="20"/>
          <w:lang w:val="fr-BE"/>
        </w:rPr>
      </w:pPr>
      <w:r w:rsidRPr="00780EA0">
        <w:rPr>
          <w:rFonts w:ascii="Arial" w:hAnsi="Arial" w:cs="Arial"/>
          <w:color w:val="000000"/>
          <w:sz w:val="20"/>
          <w:szCs w:val="20"/>
          <w:lang w:val="fr-BE"/>
        </w:rPr>
        <w:t>“</w:t>
      </w:r>
      <w:r w:rsidR="00780EA0" w:rsidRPr="00780EA0">
        <w:rPr>
          <w:rFonts w:ascii="Arial" w:hAnsi="Arial" w:cs="Arial"/>
          <w:color w:val="000000"/>
          <w:sz w:val="20"/>
          <w:szCs w:val="20"/>
          <w:lang w:val="fr-BE"/>
        </w:rPr>
        <w:t>disp</w:t>
      </w:r>
      <w:r w:rsidR="00780EA0">
        <w:rPr>
          <w:rFonts w:ascii="Arial" w:hAnsi="Arial" w:cs="Arial"/>
          <w:color w:val="000000"/>
          <w:sz w:val="20"/>
          <w:szCs w:val="20"/>
          <w:lang w:val="fr-BE"/>
        </w:rPr>
        <w:t>ensateurs de soins et personnel</w:t>
      </w:r>
      <w:r w:rsidR="00780EA0" w:rsidRPr="00780EA0">
        <w:rPr>
          <w:rFonts w:ascii="Arial" w:hAnsi="Arial" w:cs="Arial"/>
          <w:color w:val="000000"/>
          <w:sz w:val="20"/>
          <w:szCs w:val="20"/>
          <w:lang w:val="fr-BE"/>
        </w:rPr>
        <w:t xml:space="preserve"> </w:t>
      </w:r>
      <w:r w:rsidR="00D639FA">
        <w:rPr>
          <w:rFonts w:ascii="Arial" w:hAnsi="Arial" w:cs="Arial"/>
          <w:color w:val="000000"/>
          <w:sz w:val="20"/>
          <w:szCs w:val="20"/>
          <w:lang w:val="fr-BE"/>
        </w:rPr>
        <w:t xml:space="preserve">qui </w:t>
      </w:r>
      <w:r w:rsidR="00780EA0" w:rsidRPr="00780EA0">
        <w:rPr>
          <w:rFonts w:ascii="Arial" w:hAnsi="Arial" w:cs="Arial"/>
          <w:color w:val="000000"/>
          <w:sz w:val="20"/>
          <w:szCs w:val="20"/>
          <w:lang w:val="fr-BE"/>
        </w:rPr>
        <w:t>travaill</w:t>
      </w:r>
      <w:r w:rsidR="00D639FA">
        <w:rPr>
          <w:rFonts w:ascii="Arial" w:hAnsi="Arial" w:cs="Arial"/>
          <w:color w:val="000000"/>
          <w:sz w:val="20"/>
          <w:szCs w:val="20"/>
          <w:lang w:val="fr-BE"/>
        </w:rPr>
        <w:t>ent</w:t>
      </w:r>
      <w:r w:rsidR="00780EA0" w:rsidRPr="00780EA0">
        <w:rPr>
          <w:rFonts w:ascii="Arial" w:hAnsi="Arial" w:cs="Arial"/>
          <w:color w:val="000000"/>
          <w:sz w:val="20"/>
          <w:szCs w:val="20"/>
          <w:lang w:val="fr-BE"/>
        </w:rPr>
        <w:t xml:space="preserve"> dans les hôpitaux, laboratoires cliniques ou collectivités, avec un haut niveau de contagion (services Covid, maisons de repos ou laboratoires cliniques), dans le cadre du management local du risque</w:t>
      </w:r>
      <w:r w:rsidR="00780EA0">
        <w:rPr>
          <w:rFonts w:ascii="Arial" w:hAnsi="Arial" w:cs="Arial"/>
          <w:color w:val="000000"/>
          <w:sz w:val="20"/>
          <w:szCs w:val="20"/>
          <w:lang w:val="fr-BE"/>
        </w:rPr>
        <w:t>. »</w:t>
      </w:r>
    </w:p>
    <w:p w:rsidR="00780EA0" w:rsidRPr="00780EA0" w:rsidRDefault="00780EA0" w:rsidP="00450FB1">
      <w:pPr>
        <w:jc w:val="both"/>
        <w:rPr>
          <w:lang w:val="fr-BE"/>
        </w:rPr>
      </w:pPr>
      <w:r w:rsidRPr="00780EA0">
        <w:rPr>
          <w:lang w:val="fr-BE"/>
        </w:rPr>
        <w:t>Ce groupe-cible d</w:t>
      </w:r>
      <w:r>
        <w:rPr>
          <w:lang w:val="fr-BE"/>
        </w:rPr>
        <w:t>oit être interprété comme suit:</w:t>
      </w:r>
    </w:p>
    <w:p w:rsidR="00780EA0" w:rsidRPr="00780EA0" w:rsidRDefault="00780EA0" w:rsidP="00450FB1">
      <w:pPr>
        <w:pStyle w:val="ListParagraph"/>
        <w:numPr>
          <w:ilvl w:val="0"/>
          <w:numId w:val="3"/>
        </w:numPr>
        <w:jc w:val="both"/>
        <w:rPr>
          <w:lang w:val="fr-BE"/>
        </w:rPr>
      </w:pPr>
      <w:r w:rsidRPr="00780EA0">
        <w:rPr>
          <w:lang w:val="fr-BE"/>
        </w:rPr>
        <w:t>dispensateurs de soin et</w:t>
      </w:r>
      <w:r>
        <w:rPr>
          <w:lang w:val="fr-BE"/>
        </w:rPr>
        <w:t xml:space="preserve"> personnel qui travaillent dans d</w:t>
      </w:r>
      <w:r w:rsidRPr="00780EA0">
        <w:rPr>
          <w:lang w:val="fr-BE"/>
        </w:rPr>
        <w:t>es h</w:t>
      </w:r>
      <w:r>
        <w:rPr>
          <w:lang w:val="fr-BE"/>
        </w:rPr>
        <w:t>ôpitaux avec un haut niveau de contagion (services COVID), dans le cadre du management local du risque ;</w:t>
      </w:r>
    </w:p>
    <w:p w:rsidR="00780EA0" w:rsidRPr="00780EA0" w:rsidRDefault="00780EA0" w:rsidP="00780EA0">
      <w:pPr>
        <w:pStyle w:val="ListParagraph"/>
        <w:numPr>
          <w:ilvl w:val="0"/>
          <w:numId w:val="3"/>
        </w:numPr>
        <w:jc w:val="both"/>
        <w:rPr>
          <w:lang w:val="fr-BE"/>
        </w:rPr>
      </w:pPr>
      <w:r w:rsidRPr="00780EA0">
        <w:rPr>
          <w:lang w:val="fr-BE"/>
        </w:rPr>
        <w:t>dispensateurs de soin et</w:t>
      </w:r>
      <w:r>
        <w:rPr>
          <w:lang w:val="fr-BE"/>
        </w:rPr>
        <w:t xml:space="preserve"> personnel qui travaillent dans d</w:t>
      </w:r>
      <w:r w:rsidRPr="00780EA0">
        <w:rPr>
          <w:lang w:val="fr-BE"/>
        </w:rPr>
        <w:t xml:space="preserve">es </w:t>
      </w:r>
      <w:r>
        <w:rPr>
          <w:lang w:val="fr-BE"/>
        </w:rPr>
        <w:t>laboratoires cliniques avec un haut niveau de contagion, dans le cadre du management local du risque ;</w:t>
      </w:r>
    </w:p>
    <w:p w:rsidR="00780EA0" w:rsidRDefault="00780EA0" w:rsidP="00780EA0">
      <w:pPr>
        <w:pStyle w:val="ListParagraph"/>
        <w:numPr>
          <w:ilvl w:val="0"/>
          <w:numId w:val="3"/>
        </w:numPr>
        <w:jc w:val="both"/>
        <w:rPr>
          <w:lang w:val="fr-BE"/>
        </w:rPr>
      </w:pPr>
      <w:r w:rsidRPr="00780EA0">
        <w:rPr>
          <w:lang w:val="fr-BE"/>
        </w:rPr>
        <w:t>dispensateurs de soin et</w:t>
      </w:r>
      <w:r>
        <w:rPr>
          <w:lang w:val="fr-BE"/>
        </w:rPr>
        <w:t xml:space="preserve"> personnel qui travaillent dans d</w:t>
      </w:r>
      <w:r w:rsidRPr="00780EA0">
        <w:rPr>
          <w:lang w:val="fr-BE"/>
        </w:rPr>
        <w:t xml:space="preserve">es </w:t>
      </w:r>
      <w:r>
        <w:rPr>
          <w:lang w:val="fr-BE"/>
        </w:rPr>
        <w:t>collectivités avec un haut niveau de contagion (maisons de repos), dans le cadre du management local du risque ;</w:t>
      </w:r>
    </w:p>
    <w:p w:rsidR="00780EA0" w:rsidRPr="00780EA0" w:rsidRDefault="00780EA0" w:rsidP="00780EA0">
      <w:pPr>
        <w:pStyle w:val="ListParagraph"/>
        <w:jc w:val="both"/>
        <w:rPr>
          <w:lang w:val="fr-BE"/>
        </w:rPr>
      </w:pPr>
    </w:p>
    <w:p w:rsidR="00780EA0" w:rsidRPr="00780EA0" w:rsidRDefault="00780EA0" w:rsidP="00195056">
      <w:pPr>
        <w:spacing w:after="240"/>
        <w:jc w:val="both"/>
        <w:rPr>
          <w:lang w:val="fr-BE"/>
        </w:rPr>
      </w:pPr>
      <w:r>
        <w:rPr>
          <w:lang w:val="fr-BE"/>
        </w:rPr>
        <w:t>Ainsi, u</w:t>
      </w:r>
      <w:r w:rsidRPr="00780EA0">
        <w:rPr>
          <w:lang w:val="fr-BE"/>
        </w:rPr>
        <w:t>n dispensateur de soin qui n</w:t>
      </w:r>
      <w:r>
        <w:rPr>
          <w:lang w:val="fr-BE"/>
        </w:rPr>
        <w:t>’est pas actif dans un service COVID ou une maison de repos ne répond pas à ces conditions de remboursement. Par contre, pour un dispensateur de soins qui travaille occasionnellem</w:t>
      </w:r>
      <w:r w:rsidR="00E23EBF">
        <w:rPr>
          <w:lang w:val="fr-BE"/>
        </w:rPr>
        <w:t>e</w:t>
      </w:r>
      <w:r>
        <w:rPr>
          <w:lang w:val="fr-BE"/>
        </w:rPr>
        <w:t xml:space="preserve">nt </w:t>
      </w:r>
      <w:r w:rsidR="00E23EBF">
        <w:rPr>
          <w:lang w:val="fr-BE"/>
        </w:rPr>
        <w:t xml:space="preserve">dans ces établissements, le remboursement des tests pourra être demandé auprès de </w:t>
      </w:r>
      <w:r w:rsidR="00E23EBF">
        <w:rPr>
          <w:lang w:val="fr-BE"/>
        </w:rPr>
        <w:lastRenderedPageBreak/>
        <w:t>l’INAMI. Les médecins généralistes et les infirmiers à domicile actifs au sein des maisons de repos ou de centres de triage font donc également partie de ce groupe-cible.</w:t>
      </w:r>
    </w:p>
    <w:p w:rsidR="00481888" w:rsidRPr="00E23EBF" w:rsidRDefault="00E23EBF" w:rsidP="000436B9">
      <w:pPr>
        <w:pStyle w:val="ListParagraph"/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b/>
          <w:lang w:val="fr-BE"/>
        </w:rPr>
      </w:pPr>
      <w:r w:rsidRPr="00E23EBF">
        <w:rPr>
          <w:b/>
          <w:lang w:val="fr-BE"/>
        </w:rPr>
        <w:t xml:space="preserve">Un test sérologique prélevé sur des personnes ne faisant pas partie de ces groupes-cibles peut-il </w:t>
      </w:r>
      <w:r>
        <w:rPr>
          <w:b/>
          <w:lang w:val="fr-BE"/>
        </w:rPr>
        <w:t>être facturé à charge du patient ?</w:t>
      </w:r>
    </w:p>
    <w:p w:rsidR="00E23EBF" w:rsidRPr="00E23EBF" w:rsidRDefault="00E23EBF" w:rsidP="00195056">
      <w:pPr>
        <w:spacing w:after="240"/>
        <w:jc w:val="both"/>
        <w:rPr>
          <w:lang w:val="fr-BE"/>
        </w:rPr>
      </w:pPr>
      <w:r w:rsidRPr="00E23EBF">
        <w:rPr>
          <w:lang w:val="fr-BE"/>
        </w:rPr>
        <w:t xml:space="preserve">Oui, un tarif de 9,60 euros peut </w:t>
      </w:r>
      <w:r>
        <w:rPr>
          <w:lang w:val="fr-BE"/>
        </w:rPr>
        <w:t xml:space="preserve">être facturé pour les tests sérologiques </w:t>
      </w:r>
      <w:r w:rsidR="004F792F">
        <w:rPr>
          <w:lang w:val="fr-BE"/>
        </w:rPr>
        <w:t>réalisés</w:t>
      </w:r>
      <w:r w:rsidR="008C01B7">
        <w:rPr>
          <w:lang w:val="fr-BE"/>
        </w:rPr>
        <w:t xml:space="preserve"> </w:t>
      </w:r>
      <w:r w:rsidR="004F792F">
        <w:rPr>
          <w:lang w:val="fr-BE"/>
        </w:rPr>
        <w:t>à partir</w:t>
      </w:r>
      <w:r w:rsidR="008C01B7">
        <w:rPr>
          <w:lang w:val="fr-BE"/>
        </w:rPr>
        <w:t xml:space="preserve"> </w:t>
      </w:r>
      <w:r w:rsidR="004F792F">
        <w:rPr>
          <w:lang w:val="fr-BE"/>
        </w:rPr>
        <w:t>du</w:t>
      </w:r>
      <w:r w:rsidR="008C01B7">
        <w:rPr>
          <w:lang w:val="fr-BE"/>
        </w:rPr>
        <w:t xml:space="preserve"> 1</w:t>
      </w:r>
      <w:r w:rsidR="008C01B7" w:rsidRPr="008C01B7">
        <w:rPr>
          <w:vertAlign w:val="superscript"/>
          <w:lang w:val="fr-BE"/>
        </w:rPr>
        <w:t>er</w:t>
      </w:r>
      <w:r w:rsidR="008C01B7">
        <w:rPr>
          <w:lang w:val="fr-BE"/>
        </w:rPr>
        <w:t xml:space="preserve"> mars sur des personnes qui ne font pas partie des groupes-cibles définis par l’A</w:t>
      </w:r>
      <w:r w:rsidR="00BA0B0C">
        <w:rPr>
          <w:lang w:val="fr-BE"/>
        </w:rPr>
        <w:t>.</w:t>
      </w:r>
      <w:r w:rsidR="008C01B7">
        <w:rPr>
          <w:lang w:val="fr-BE"/>
        </w:rPr>
        <w:t>R</w:t>
      </w:r>
      <w:r w:rsidR="00BA0B0C">
        <w:rPr>
          <w:lang w:val="fr-BE"/>
        </w:rPr>
        <w:t>.</w:t>
      </w:r>
      <w:r w:rsidR="008C01B7">
        <w:rPr>
          <w:lang w:val="fr-BE"/>
        </w:rPr>
        <w:t xml:space="preserve"> du 29 mai 2020, à condition que le matériel de test utilisé soit recommandé </w:t>
      </w:r>
      <w:r w:rsidR="004F792F">
        <w:rPr>
          <w:lang w:val="fr-BE"/>
        </w:rPr>
        <w:t>sur</w:t>
      </w:r>
      <w:r w:rsidR="00D5566C">
        <w:rPr>
          <w:lang w:val="fr-BE"/>
        </w:rPr>
        <w:t xml:space="preserve"> le </w:t>
      </w:r>
      <w:hyperlink r:id="rId8" w:history="1">
        <w:r w:rsidR="008C01B7" w:rsidRPr="00333A62">
          <w:rPr>
            <w:rStyle w:val="Hyperlink"/>
            <w:lang w:val="fr-BE"/>
          </w:rPr>
          <w:t>site web de Sciensano</w:t>
        </w:r>
      </w:hyperlink>
      <w:r w:rsidR="008C01B7">
        <w:rPr>
          <w:lang w:val="fr-BE"/>
        </w:rPr>
        <w:t xml:space="preserve"> et que le test soit effectué</w:t>
      </w:r>
      <w:r w:rsidR="004F792F">
        <w:rPr>
          <w:lang w:val="fr-BE"/>
        </w:rPr>
        <w:t xml:space="preserve"> dans un laboratoire clinique agréé.</w:t>
      </w:r>
    </w:p>
    <w:p w:rsidR="00481888" w:rsidRPr="004F792F" w:rsidRDefault="004F792F" w:rsidP="000436B9">
      <w:pPr>
        <w:pStyle w:val="ListParagraph"/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b/>
          <w:lang w:val="fr-BE"/>
        </w:rPr>
      </w:pPr>
      <w:r w:rsidRPr="004F792F">
        <w:rPr>
          <w:b/>
          <w:lang w:val="fr-BE"/>
        </w:rPr>
        <w:t>Un test rapide de type immunochromatographique peut-il être remboursé par l’INAMI?</w:t>
      </w:r>
    </w:p>
    <w:p w:rsidR="001509B8" w:rsidRPr="004F792F" w:rsidRDefault="004F792F" w:rsidP="00195056">
      <w:pPr>
        <w:spacing w:after="240"/>
        <w:jc w:val="both"/>
        <w:rPr>
          <w:lang w:val="fr-BE"/>
        </w:rPr>
      </w:pPr>
      <w:r w:rsidRPr="004F792F">
        <w:rPr>
          <w:lang w:val="fr-BE"/>
        </w:rPr>
        <w:t>Non, l’INAMI rembourse uniquement la détection d’anticorps par immunoassay.</w:t>
      </w:r>
    </w:p>
    <w:p w:rsidR="00450FB1" w:rsidRPr="004F792F" w:rsidRDefault="004F792F" w:rsidP="000436B9">
      <w:pPr>
        <w:pStyle w:val="ListParagraph"/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lang w:val="fr-BE"/>
        </w:rPr>
      </w:pPr>
      <w:r w:rsidRPr="004F792F">
        <w:rPr>
          <w:b/>
          <w:lang w:val="fr-BE"/>
        </w:rPr>
        <w:t xml:space="preserve">Combien de temps faut-il conserver les prescriptions </w:t>
      </w:r>
      <w:r>
        <w:rPr>
          <w:b/>
          <w:lang w:val="fr-BE"/>
        </w:rPr>
        <w:t>des tests de détection COVID-19 ?</w:t>
      </w:r>
    </w:p>
    <w:p w:rsidR="004F792F" w:rsidRPr="004F792F" w:rsidRDefault="004F792F" w:rsidP="00195056">
      <w:pPr>
        <w:spacing w:after="240"/>
        <w:jc w:val="both"/>
        <w:rPr>
          <w:lang w:val="fr-BE"/>
        </w:rPr>
      </w:pPr>
      <w:r w:rsidRPr="004F792F">
        <w:rPr>
          <w:lang w:val="fr-BE"/>
        </w:rPr>
        <w:t>Les tests de détection effectué</w:t>
      </w:r>
      <w:r w:rsidR="00BA0B0C">
        <w:rPr>
          <w:lang w:val="fr-BE"/>
        </w:rPr>
        <w:t xml:space="preserve">s dans le cadre de la pandémie </w:t>
      </w:r>
      <w:r w:rsidRPr="004F792F">
        <w:rPr>
          <w:lang w:val="fr-BE"/>
        </w:rPr>
        <w:t>COVID-19 ne font pas partie de la n</w:t>
      </w:r>
      <w:r>
        <w:rPr>
          <w:lang w:val="fr-BE"/>
        </w:rPr>
        <w:t xml:space="preserve">omenclature « classique ». </w:t>
      </w:r>
      <w:r w:rsidR="00AE3EAA">
        <w:rPr>
          <w:lang w:val="fr-BE"/>
        </w:rPr>
        <w:t>Les délais de conservation ne sont pas non plus spécifiés dans l’A</w:t>
      </w:r>
      <w:r w:rsidR="00BA0B0C">
        <w:rPr>
          <w:lang w:val="fr-BE"/>
        </w:rPr>
        <w:t>.</w:t>
      </w:r>
      <w:r w:rsidR="00AE3EAA">
        <w:rPr>
          <w:lang w:val="fr-BE"/>
        </w:rPr>
        <w:t>R</w:t>
      </w:r>
      <w:r w:rsidR="00BA0B0C">
        <w:rPr>
          <w:lang w:val="fr-BE"/>
        </w:rPr>
        <w:t>.</w:t>
      </w:r>
      <w:r w:rsidR="00AE3EAA">
        <w:rPr>
          <w:lang w:val="fr-BE"/>
        </w:rPr>
        <w:t xml:space="preserve"> n°20 du 13 mai 2020. Nous utiliserons ici le même délai que celui appliqué aux prestations de la nomenclature, à savoir 5 années.</w:t>
      </w:r>
    </w:p>
    <w:p w:rsidR="000A4886" w:rsidRPr="00AE3EAA" w:rsidRDefault="00AE3EAA" w:rsidP="000436B9">
      <w:pPr>
        <w:pStyle w:val="ListParagraph"/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b/>
          <w:lang w:val="fr-BE"/>
        </w:rPr>
      </w:pPr>
      <w:r w:rsidRPr="00AE3EAA">
        <w:rPr>
          <w:b/>
          <w:lang w:val="fr-BE"/>
        </w:rPr>
        <w:t>Comment faut-il conserver les formulaires de demande?</w:t>
      </w:r>
    </w:p>
    <w:p w:rsidR="00AE3EAA" w:rsidRPr="00AE3EAA" w:rsidRDefault="00AE3EAA" w:rsidP="00195056">
      <w:pPr>
        <w:spacing w:after="240"/>
        <w:jc w:val="both"/>
        <w:rPr>
          <w:lang w:val="fr-BE"/>
        </w:rPr>
      </w:pPr>
      <w:r w:rsidRPr="00AE3EAA">
        <w:rPr>
          <w:lang w:val="fr-BE"/>
        </w:rPr>
        <w:t>L’article 66, § 3 de l’A</w:t>
      </w:r>
      <w:r w:rsidR="00BA0B0C">
        <w:rPr>
          <w:lang w:val="fr-BE"/>
        </w:rPr>
        <w:t>.</w:t>
      </w:r>
      <w:r w:rsidRPr="00AE3EAA">
        <w:rPr>
          <w:lang w:val="fr-BE"/>
        </w:rPr>
        <w:t>R</w:t>
      </w:r>
      <w:r w:rsidR="00BA0B0C">
        <w:rPr>
          <w:lang w:val="fr-BE"/>
        </w:rPr>
        <w:t>.</w:t>
      </w:r>
      <w:r w:rsidRPr="00AE3EAA">
        <w:rPr>
          <w:lang w:val="fr-BE"/>
        </w:rPr>
        <w:t xml:space="preserve"> n°20 du 13 mai 2020 détermine que les demandes doivent </w:t>
      </w:r>
      <w:r>
        <w:rPr>
          <w:lang w:val="fr-BE"/>
        </w:rPr>
        <w:t>être conservées de manière électronique. Nous voulons par là inciter à privilégier les demandes électroniques, qui favorisent les analyses administratives et scientifiques.</w:t>
      </w:r>
    </w:p>
    <w:p w:rsidR="004A7BCD" w:rsidRPr="00AE3EAA" w:rsidRDefault="00AE3EAA" w:rsidP="004A7BCD">
      <w:pPr>
        <w:rPr>
          <w:lang w:val="fr-BE"/>
        </w:rPr>
      </w:pPr>
      <w:r w:rsidRPr="00AE3EAA">
        <w:rPr>
          <w:lang w:val="fr-BE"/>
        </w:rPr>
        <w:t>Lorsqu’une demande papier a été scannée, la demande papier elle-m</w:t>
      </w:r>
      <w:r>
        <w:rPr>
          <w:lang w:val="fr-BE"/>
        </w:rPr>
        <w:t>ême ne doit plus être conservée.</w:t>
      </w:r>
    </w:p>
    <w:p w:rsidR="00BA06CB" w:rsidRPr="009363E2" w:rsidRDefault="00AE3EAA" w:rsidP="000436B9">
      <w:pPr>
        <w:pStyle w:val="ListParagraph"/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b/>
          <w:lang w:val="fr-BE"/>
        </w:rPr>
      </w:pPr>
      <w:r w:rsidRPr="009363E2">
        <w:rPr>
          <w:b/>
          <w:lang w:val="fr-BE"/>
        </w:rPr>
        <w:t xml:space="preserve">Un laboratoire clinique agrée peut-il </w:t>
      </w:r>
      <w:r w:rsidR="009363E2" w:rsidRPr="009363E2">
        <w:rPr>
          <w:b/>
          <w:lang w:val="fr-BE"/>
        </w:rPr>
        <w:t xml:space="preserve">facturer à l’INAMI des tests PCR effectués sur des </w:t>
      </w:r>
      <w:r w:rsidR="009363E2">
        <w:rPr>
          <w:b/>
          <w:lang w:val="fr-BE"/>
        </w:rPr>
        <w:t>résidents et/ou du personnel</w:t>
      </w:r>
      <w:r w:rsidR="009363E2" w:rsidRPr="009363E2">
        <w:rPr>
          <w:b/>
          <w:lang w:val="fr-BE"/>
        </w:rPr>
        <w:t xml:space="preserve"> </w:t>
      </w:r>
      <w:r w:rsidR="009363E2" w:rsidRPr="007308C1">
        <w:rPr>
          <w:b/>
          <w:lang w:val="fr-BE"/>
        </w:rPr>
        <w:t>asymptomatiques, par exemple au sein de clusters ?</w:t>
      </w:r>
    </w:p>
    <w:p w:rsidR="009363E2" w:rsidRPr="009363E2" w:rsidRDefault="009363E2" w:rsidP="00450FB1">
      <w:pPr>
        <w:jc w:val="both"/>
        <w:rPr>
          <w:lang w:val="fr-BE"/>
        </w:rPr>
      </w:pPr>
      <w:r w:rsidRPr="009363E2">
        <w:rPr>
          <w:lang w:val="fr-BE"/>
        </w:rPr>
        <w:t xml:space="preserve">Non. Le </w:t>
      </w:r>
      <w:r>
        <w:rPr>
          <w:lang w:val="fr-BE"/>
        </w:rPr>
        <w:t>dépistage</w:t>
      </w:r>
      <w:r w:rsidRPr="009363E2">
        <w:rPr>
          <w:lang w:val="fr-BE"/>
        </w:rPr>
        <w:t xml:space="preserve"> de résidents ou du personnel asymptomatiques</w:t>
      </w:r>
      <w:r>
        <w:rPr>
          <w:lang w:val="fr-BE"/>
        </w:rPr>
        <w:t xml:space="preserve"> n’est actuellement pas prévu dans les directives de tests publiées sur le site web de Sciensano.</w:t>
      </w:r>
    </w:p>
    <w:p w:rsidR="00B15684" w:rsidRPr="00B15684" w:rsidRDefault="00B15684" w:rsidP="00450FB1">
      <w:pPr>
        <w:jc w:val="both"/>
        <w:rPr>
          <w:lang w:val="fr-BE"/>
        </w:rPr>
      </w:pPr>
      <w:r w:rsidRPr="00B15684">
        <w:rPr>
          <w:lang w:val="fr-BE"/>
        </w:rPr>
        <w:t xml:space="preserve">Les directives de test indiquent qu'à partir de deux cas dans un même établissement, les autorités sanitaires régionales </w:t>
      </w:r>
      <w:r>
        <w:rPr>
          <w:lang w:val="fr-BE"/>
        </w:rPr>
        <w:t>décideront</w:t>
      </w:r>
      <w:r w:rsidRPr="00B15684">
        <w:rPr>
          <w:lang w:val="fr-BE"/>
        </w:rPr>
        <w:t xml:space="preserve"> de la stratégie de tests complémentaires la plus appropriée, adaptée aux conditions locales</w:t>
      </w:r>
    </w:p>
    <w:p w:rsidR="00B15684" w:rsidRPr="00B15684" w:rsidRDefault="00B15684" w:rsidP="00B15684">
      <w:pPr>
        <w:spacing w:after="240"/>
        <w:jc w:val="both"/>
        <w:rPr>
          <w:lang w:val="fr-BE"/>
        </w:rPr>
      </w:pPr>
      <w:r w:rsidRPr="00B15684">
        <w:rPr>
          <w:lang w:val="fr-BE"/>
        </w:rPr>
        <w:t>De plus, l’article 66, § 3 de l’A</w:t>
      </w:r>
      <w:r w:rsidR="00BA0B0C">
        <w:rPr>
          <w:lang w:val="fr-BE"/>
        </w:rPr>
        <w:t>.</w:t>
      </w:r>
      <w:r w:rsidRPr="00B15684">
        <w:rPr>
          <w:lang w:val="fr-BE"/>
        </w:rPr>
        <w:t>R</w:t>
      </w:r>
      <w:r w:rsidR="00BA0B0C">
        <w:rPr>
          <w:lang w:val="fr-BE"/>
        </w:rPr>
        <w:t>.</w:t>
      </w:r>
      <w:r w:rsidRPr="00B15684">
        <w:rPr>
          <w:lang w:val="fr-BE"/>
        </w:rPr>
        <w:t xml:space="preserve"> n°20 du 13 mai 2020 détermine que les prestations 554934-554945 et 554956-554960 ne peuvent </w:t>
      </w:r>
      <w:r>
        <w:rPr>
          <w:lang w:val="fr-BE"/>
        </w:rPr>
        <w:t xml:space="preserve">être attestées pour </w:t>
      </w:r>
      <w:r w:rsidRPr="00B15684">
        <w:rPr>
          <w:lang w:val="fr-BE"/>
        </w:rPr>
        <w:t>le dépistage collectif chez des résidents asymptomatiques dans une collectivité résidentielle organisé par et avec la coopération du gouvernement fédéral et des entités fédérées</w:t>
      </w:r>
      <w:r>
        <w:rPr>
          <w:lang w:val="fr-BE"/>
        </w:rPr>
        <w:t>.</w:t>
      </w:r>
    </w:p>
    <w:p w:rsidR="00B15684" w:rsidRPr="00B15684" w:rsidRDefault="00B15684" w:rsidP="00B15684">
      <w:pPr>
        <w:spacing w:after="240"/>
        <w:jc w:val="both"/>
        <w:rPr>
          <w:lang w:val="fr-BE" w:eastAsia="nl-BE"/>
        </w:rPr>
      </w:pPr>
      <w:r w:rsidRPr="00B15684">
        <w:rPr>
          <w:lang w:val="fr-BE" w:eastAsia="nl-BE"/>
        </w:rPr>
        <w:t xml:space="preserve">Les cas qui sont conformes aux </w:t>
      </w:r>
      <w:hyperlink r:id="rId9" w:history="1">
        <w:r w:rsidRPr="00831EA8">
          <w:rPr>
            <w:rStyle w:val="Hyperlink"/>
            <w:lang w:val="fr-BE" w:eastAsia="nl-BE"/>
          </w:rPr>
          <w:t>directives de test publiées</w:t>
        </w:r>
      </w:hyperlink>
      <w:r w:rsidRPr="00B15684">
        <w:rPr>
          <w:lang w:val="fr-BE" w:eastAsia="nl-BE"/>
        </w:rPr>
        <w:t xml:space="preserve"> </w:t>
      </w:r>
      <w:r>
        <w:rPr>
          <w:lang w:val="fr-BE" w:eastAsia="nl-BE"/>
        </w:rPr>
        <w:t>peuvent être facturés.</w:t>
      </w:r>
    </w:p>
    <w:p w:rsidR="00831EA8" w:rsidRPr="00831EA8" w:rsidRDefault="00831EA8" w:rsidP="00D72FB2">
      <w:pPr>
        <w:rPr>
          <w:lang w:val="fr-BE" w:eastAsia="nl-BE"/>
        </w:rPr>
      </w:pPr>
      <w:r w:rsidRPr="00831EA8">
        <w:rPr>
          <w:lang w:val="fr-BE" w:eastAsia="nl-BE"/>
        </w:rPr>
        <w:lastRenderedPageBreak/>
        <w:t>Selon les indications de test actuelles</w:t>
      </w:r>
      <w:r>
        <w:rPr>
          <w:lang w:val="fr-BE" w:eastAsia="nl-BE"/>
        </w:rPr>
        <w:t xml:space="preserve"> (10-06-2020), le remboursement par l’INAMI est donc possible dans les collectivités pour les cas de figure suivants :</w:t>
      </w:r>
    </w:p>
    <w:p w:rsidR="00FD48F9" w:rsidRDefault="00FD48F9" w:rsidP="00FD48F9">
      <w:pPr>
        <w:numPr>
          <w:ilvl w:val="0"/>
          <w:numId w:val="7"/>
        </w:numPr>
        <w:spacing w:after="240" w:line="240" w:lineRule="auto"/>
        <w:ind w:left="538" w:hanging="357"/>
        <w:textAlignment w:val="center"/>
        <w:rPr>
          <w:lang w:val="fr-BE" w:eastAsia="nl-BE"/>
        </w:rPr>
      </w:pPr>
      <w:r>
        <w:rPr>
          <w:lang w:val="fr-BE" w:eastAsia="nl-BE"/>
        </w:rPr>
        <w:t>Pour</w:t>
      </w:r>
      <w:r w:rsidR="00831EA8" w:rsidRPr="00831EA8">
        <w:rPr>
          <w:lang w:val="fr-BE" w:eastAsia="nl-BE"/>
        </w:rPr>
        <w:t xml:space="preserve"> toute personne répondant à la définition d’un </w:t>
      </w:r>
      <w:r w:rsidR="00831EA8" w:rsidRPr="00831EA8">
        <w:rPr>
          <w:b/>
          <w:lang w:val="fr-BE" w:eastAsia="nl-BE"/>
        </w:rPr>
        <w:t>cas possible</w:t>
      </w:r>
      <w:r w:rsidR="00831EA8">
        <w:rPr>
          <w:b/>
          <w:lang w:val="fr-BE" w:eastAsia="nl-BE"/>
        </w:rPr>
        <w:t xml:space="preserve"> </w:t>
      </w:r>
      <w:r w:rsidR="00831EA8">
        <w:rPr>
          <w:lang w:val="fr-BE" w:eastAsia="nl-BE"/>
        </w:rPr>
        <w:t xml:space="preserve">, définie </w:t>
      </w:r>
      <w:r>
        <w:rPr>
          <w:lang w:val="fr-BE" w:eastAsia="nl-BE"/>
        </w:rPr>
        <w:t xml:space="preserve">comme symptomatique </w:t>
      </w:r>
      <w:r w:rsidR="00831EA8">
        <w:rPr>
          <w:lang w:val="fr-BE" w:eastAsia="nl-BE"/>
        </w:rPr>
        <w:t xml:space="preserve">au point 1 du document </w:t>
      </w:r>
      <w:r>
        <w:rPr>
          <w:lang w:val="fr-BE" w:eastAsia="nl-BE"/>
        </w:rPr>
        <w:t>des directives de test ;</w:t>
      </w:r>
    </w:p>
    <w:p w:rsidR="00FD48F9" w:rsidRPr="00FD48F9" w:rsidRDefault="00FD48F9" w:rsidP="00FD48F9">
      <w:pPr>
        <w:numPr>
          <w:ilvl w:val="0"/>
          <w:numId w:val="7"/>
        </w:numPr>
        <w:spacing w:after="240" w:line="240" w:lineRule="auto"/>
        <w:ind w:left="538" w:hanging="357"/>
        <w:textAlignment w:val="center"/>
        <w:rPr>
          <w:lang w:val="fr-BE" w:eastAsia="nl-BE"/>
        </w:rPr>
      </w:pPr>
      <w:r w:rsidRPr="00FD48F9">
        <w:rPr>
          <w:lang w:val="fr-BE" w:eastAsia="nl-BE"/>
        </w:rPr>
        <w:t>Pour toutes les personnes ayant eu un contact à haut risque avec un cas de COVID-19 et qui sont elles-mêmes en contact professionnel avec des personnes à risque de développer une forme sévère de la maladie (selon les modalités expliquées dans la procédure contact, à savoir un test au jour 12 de la période d’isolement).</w:t>
      </w:r>
    </w:p>
    <w:p w:rsidR="00FD48F9" w:rsidRPr="00FD48F9" w:rsidRDefault="00FD48F9" w:rsidP="004A7BCD">
      <w:pPr>
        <w:rPr>
          <w:lang w:val="fr-BE"/>
        </w:rPr>
      </w:pPr>
      <w:r w:rsidRPr="00FD48F9">
        <w:rPr>
          <w:lang w:val="fr-BE"/>
        </w:rPr>
        <w:t>Les directives de test peuvent évoluer. Ce sont toujours les lignes directrices actuelles publiées sur le site de Sciensano qui s'appliquent à ce point.</w:t>
      </w:r>
    </w:p>
    <w:p w:rsidR="00BA73A3" w:rsidRPr="00FD48F9" w:rsidRDefault="00FD48F9" w:rsidP="000436B9">
      <w:pPr>
        <w:pStyle w:val="ListParagraph"/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b/>
          <w:lang w:val="fr-BE"/>
        </w:rPr>
      </w:pPr>
      <w:r w:rsidRPr="00FD48F9">
        <w:rPr>
          <w:b/>
          <w:lang w:val="fr-BE"/>
        </w:rPr>
        <w:t>Les tests sérologiques effectués avant le 3 juin, date à laquelle l’A</w:t>
      </w:r>
      <w:r w:rsidR="001930DF">
        <w:rPr>
          <w:b/>
          <w:lang w:val="fr-BE"/>
        </w:rPr>
        <w:t>.</w:t>
      </w:r>
      <w:r w:rsidRPr="00FD48F9">
        <w:rPr>
          <w:b/>
          <w:lang w:val="fr-BE"/>
        </w:rPr>
        <w:t>R</w:t>
      </w:r>
      <w:r w:rsidR="001930DF">
        <w:rPr>
          <w:b/>
          <w:lang w:val="fr-BE"/>
        </w:rPr>
        <w:t>.</w:t>
      </w:r>
      <w:bookmarkStart w:id="0" w:name="_GoBack"/>
      <w:bookmarkEnd w:id="0"/>
      <w:r w:rsidRPr="00FD48F9">
        <w:rPr>
          <w:b/>
          <w:lang w:val="fr-BE"/>
        </w:rPr>
        <w:t xml:space="preserve"> fixant les conditions de remboursement et </w:t>
      </w:r>
      <w:r>
        <w:rPr>
          <w:b/>
          <w:lang w:val="fr-BE"/>
        </w:rPr>
        <w:t>le</w:t>
      </w:r>
      <w:r w:rsidR="00EF0772">
        <w:rPr>
          <w:b/>
          <w:lang w:val="fr-BE"/>
        </w:rPr>
        <w:t>s</w:t>
      </w:r>
      <w:r>
        <w:rPr>
          <w:b/>
          <w:lang w:val="fr-BE"/>
        </w:rPr>
        <w:t xml:space="preserve"> groupes-</w:t>
      </w:r>
      <w:r w:rsidR="00EF0772">
        <w:rPr>
          <w:b/>
          <w:lang w:val="fr-BE"/>
        </w:rPr>
        <w:t>cibles</w:t>
      </w:r>
      <w:r w:rsidRPr="00FD48F9">
        <w:rPr>
          <w:b/>
          <w:lang w:val="fr-BE"/>
        </w:rPr>
        <w:t xml:space="preserve"> </w:t>
      </w:r>
      <w:r w:rsidR="00EF0772">
        <w:rPr>
          <w:b/>
          <w:lang w:val="fr-BE"/>
        </w:rPr>
        <w:t xml:space="preserve">a été publié, </w:t>
      </w:r>
      <w:r w:rsidRPr="00FD48F9">
        <w:rPr>
          <w:b/>
          <w:lang w:val="fr-BE"/>
        </w:rPr>
        <w:t xml:space="preserve">peuvent-ils être </w:t>
      </w:r>
      <w:r w:rsidR="00EF0772">
        <w:rPr>
          <w:b/>
          <w:lang w:val="fr-BE"/>
        </w:rPr>
        <w:t>facturés rétroactivement à l’INAMI ?</w:t>
      </w:r>
    </w:p>
    <w:p w:rsidR="00EF0772" w:rsidRPr="00EF0772" w:rsidRDefault="00EF0772" w:rsidP="00B05E45">
      <w:pPr>
        <w:spacing w:after="240"/>
        <w:jc w:val="both"/>
        <w:rPr>
          <w:lang w:val="fr-BE"/>
        </w:rPr>
      </w:pPr>
      <w:r w:rsidRPr="00EF0772">
        <w:rPr>
          <w:lang w:val="fr-BE"/>
        </w:rPr>
        <w:t>Non. Les tests sérologiques ne peuvent être facturés pour les prescriptions qu'à partir du jour où l'A</w:t>
      </w:r>
      <w:r w:rsidR="00BA0B0C">
        <w:rPr>
          <w:lang w:val="fr-BE"/>
        </w:rPr>
        <w:t>.</w:t>
      </w:r>
      <w:r w:rsidRPr="00EF0772">
        <w:rPr>
          <w:lang w:val="fr-BE"/>
        </w:rPr>
        <w:t>R</w:t>
      </w:r>
      <w:r w:rsidR="00BA0B0C">
        <w:rPr>
          <w:lang w:val="fr-BE"/>
        </w:rPr>
        <w:t>.</w:t>
      </w:r>
      <w:r w:rsidRPr="00EF0772">
        <w:rPr>
          <w:lang w:val="fr-BE"/>
        </w:rPr>
        <w:t xml:space="preserve"> </w:t>
      </w:r>
      <w:r>
        <w:rPr>
          <w:lang w:val="fr-BE"/>
        </w:rPr>
        <w:t>fixant</w:t>
      </w:r>
      <w:r w:rsidRPr="00EF0772">
        <w:rPr>
          <w:lang w:val="fr-BE"/>
        </w:rPr>
        <w:t xml:space="preserve"> les conditions </w:t>
      </w:r>
      <w:r>
        <w:rPr>
          <w:lang w:val="fr-BE"/>
        </w:rPr>
        <w:t>de remboursement</w:t>
      </w:r>
      <w:r w:rsidRPr="00EF0772">
        <w:rPr>
          <w:lang w:val="fr-BE"/>
        </w:rPr>
        <w:t xml:space="preserve"> des tests sérologiques a été publié au Moniteur belge.</w:t>
      </w:r>
      <w:r>
        <w:rPr>
          <w:lang w:val="fr-BE"/>
        </w:rPr>
        <w:t xml:space="preserve"> Avant cela, le</w:t>
      </w:r>
      <w:r w:rsidR="00BA0B0C">
        <w:rPr>
          <w:lang w:val="fr-BE"/>
        </w:rPr>
        <w:t xml:space="preserve"> patient peut être facturé 9,60 </w:t>
      </w:r>
      <w:r>
        <w:rPr>
          <w:lang w:val="fr-BE"/>
        </w:rPr>
        <w:t xml:space="preserve">euros à condition que le test a été effectué dans un laboratoire clinique agrée au moyen d’un test de détection recommandé sur la </w:t>
      </w:r>
      <w:hyperlink r:id="rId10" w:history="1">
        <w:r w:rsidRPr="00EF0772">
          <w:rPr>
            <w:rStyle w:val="Hyperlink"/>
            <w:lang w:val="fr-BE"/>
          </w:rPr>
          <w:t>liste</w:t>
        </w:r>
      </w:hyperlink>
      <w:r>
        <w:rPr>
          <w:lang w:val="fr-BE"/>
        </w:rPr>
        <w:t xml:space="preserve"> publiée sur le site web de Sciensano.</w:t>
      </w:r>
    </w:p>
    <w:p w:rsidR="00A676E4" w:rsidRPr="00EF0772" w:rsidRDefault="00EF0772" w:rsidP="000436B9">
      <w:pPr>
        <w:pStyle w:val="ListParagraph"/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b/>
          <w:lang w:val="fr-BE"/>
        </w:rPr>
      </w:pPr>
      <w:r w:rsidRPr="00EF0772">
        <w:rPr>
          <w:b/>
          <w:lang w:val="fr-BE"/>
        </w:rPr>
        <w:t>Les tests sérologiques ayant été effectués avec du matériel de test</w:t>
      </w:r>
      <w:r>
        <w:rPr>
          <w:b/>
          <w:lang w:val="fr-BE"/>
        </w:rPr>
        <w:t xml:space="preserve"> non repris </w:t>
      </w:r>
      <w:r w:rsidR="00A24E67">
        <w:rPr>
          <w:b/>
          <w:lang w:val="fr-BE"/>
        </w:rPr>
        <w:t xml:space="preserve">sur la liste publiée sur le website de Sciensano </w:t>
      </w:r>
      <w:r>
        <w:rPr>
          <w:b/>
          <w:lang w:val="fr-BE"/>
        </w:rPr>
        <w:t>au moment du test</w:t>
      </w:r>
      <w:r w:rsidR="00A24E67">
        <w:rPr>
          <w:b/>
          <w:lang w:val="fr-BE"/>
        </w:rPr>
        <w:t xml:space="preserve"> mais ayant été ajouté par la suite sur cette liste peuvent-ils être facturés ?</w:t>
      </w:r>
    </w:p>
    <w:p w:rsidR="00A24E67" w:rsidRPr="00A24E67" w:rsidRDefault="00A24E67" w:rsidP="00A676E4">
      <w:pPr>
        <w:rPr>
          <w:lang w:val="fr-BE"/>
        </w:rPr>
      </w:pPr>
      <w:r w:rsidRPr="00A24E67">
        <w:rPr>
          <w:lang w:val="fr-BE"/>
        </w:rPr>
        <w:t xml:space="preserve">Oui. Dès </w:t>
      </w:r>
      <w:r>
        <w:rPr>
          <w:lang w:val="fr-BE"/>
        </w:rPr>
        <w:t xml:space="preserve">lors </w:t>
      </w:r>
      <w:r w:rsidRPr="00A24E67">
        <w:rPr>
          <w:lang w:val="fr-BE"/>
        </w:rPr>
        <w:t xml:space="preserve">qu'un test sérologique non encore approuvé par l'AFMPS est accepté par l'AFMPS et </w:t>
      </w:r>
      <w:r>
        <w:rPr>
          <w:lang w:val="fr-BE"/>
        </w:rPr>
        <w:t xml:space="preserve">est </w:t>
      </w:r>
      <w:r w:rsidRPr="00A24E67">
        <w:rPr>
          <w:lang w:val="fr-BE"/>
        </w:rPr>
        <w:t xml:space="preserve">repris dans la liste, il peut être utilisé rétroactivement pour les tests </w:t>
      </w:r>
      <w:r>
        <w:rPr>
          <w:lang w:val="fr-BE"/>
        </w:rPr>
        <w:t>facturables</w:t>
      </w:r>
      <w:r w:rsidRPr="00A24E67">
        <w:rPr>
          <w:lang w:val="fr-BE"/>
        </w:rPr>
        <w:t>.</w:t>
      </w:r>
      <w:r>
        <w:rPr>
          <w:lang w:val="fr-BE"/>
        </w:rPr>
        <w:t xml:space="preserve"> Les mêmes conditions (à la charge de l’INAMI ou du patient comme mentionné aux points 4, 5 et 9) s’appliquent que pour les tests sérologiques déjà approuvés au moment de la</w:t>
      </w:r>
      <w:r w:rsidR="00145CBA">
        <w:rPr>
          <w:lang w:val="fr-BE"/>
        </w:rPr>
        <w:t xml:space="preserve"> détermination.</w:t>
      </w:r>
    </w:p>
    <w:p w:rsidR="00B05E45" w:rsidRPr="00145CBA" w:rsidRDefault="00145CBA" w:rsidP="000436B9">
      <w:pPr>
        <w:pStyle w:val="ListParagraph"/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b/>
          <w:lang w:val="fr-BE"/>
        </w:rPr>
      </w:pPr>
      <w:r w:rsidRPr="00145CBA">
        <w:rPr>
          <w:b/>
          <w:lang w:val="fr-BE"/>
        </w:rPr>
        <w:t xml:space="preserve">Qu’entend-on par “laboratoire réceptionnant” à l’article 5 de </w:t>
      </w:r>
      <w:r w:rsidR="00575C98" w:rsidRPr="00145CBA">
        <w:rPr>
          <w:b/>
          <w:lang w:val="fr-BE"/>
        </w:rPr>
        <w:t>de l’</w:t>
      </w:r>
      <w:hyperlink r:id="rId11" w:history="1">
        <w:r w:rsidR="00575C98" w:rsidRPr="00145CBA">
          <w:rPr>
            <w:rStyle w:val="Hyperlink"/>
            <w:b/>
            <w:lang w:val="fr-BE"/>
          </w:rPr>
          <w:t>A</w:t>
        </w:r>
        <w:r w:rsidR="00BA0B0C">
          <w:rPr>
            <w:rStyle w:val="Hyperlink"/>
            <w:b/>
            <w:lang w:val="fr-BE"/>
          </w:rPr>
          <w:t>.</w:t>
        </w:r>
        <w:r w:rsidR="00575C98" w:rsidRPr="00145CBA">
          <w:rPr>
            <w:rStyle w:val="Hyperlink"/>
            <w:b/>
            <w:lang w:val="fr-BE"/>
          </w:rPr>
          <w:t>R</w:t>
        </w:r>
        <w:r w:rsidR="00BA0B0C">
          <w:rPr>
            <w:rStyle w:val="Hyperlink"/>
            <w:b/>
            <w:lang w:val="fr-BE"/>
          </w:rPr>
          <w:t>. du 29 </w:t>
        </w:r>
        <w:r w:rsidR="00575C98" w:rsidRPr="00145CBA">
          <w:rPr>
            <w:rStyle w:val="Hyperlink"/>
            <w:b/>
            <w:lang w:val="fr-BE"/>
          </w:rPr>
          <w:t>mai 2020</w:t>
        </w:r>
      </w:hyperlink>
      <w:r w:rsidR="00D5566C">
        <w:rPr>
          <w:b/>
          <w:lang w:val="fr-BE"/>
        </w:rPr>
        <w:t> ?</w:t>
      </w:r>
    </w:p>
    <w:p w:rsidR="00172EA7" w:rsidRPr="00145CBA" w:rsidRDefault="00145CBA" w:rsidP="00145CBA">
      <w:pPr>
        <w:spacing w:after="120"/>
        <w:jc w:val="both"/>
        <w:rPr>
          <w:lang w:val="fr-BE"/>
        </w:rPr>
      </w:pPr>
      <w:r w:rsidRPr="00145CBA">
        <w:rPr>
          <w:lang w:val="fr-BE"/>
        </w:rPr>
        <w:t>Par “laboratoire réceptionnant”, on entend le laboratoire qui reçoit en premier les échantillons.</w:t>
      </w:r>
    </w:p>
    <w:sectPr w:rsidR="00172EA7" w:rsidRPr="00145C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CA7" w:rsidRDefault="00457CA7" w:rsidP="00457CA7">
      <w:pPr>
        <w:spacing w:after="0" w:line="240" w:lineRule="auto"/>
      </w:pPr>
      <w:r>
        <w:separator/>
      </w:r>
    </w:p>
  </w:endnote>
  <w:endnote w:type="continuationSeparator" w:id="0">
    <w:p w:rsidR="00457CA7" w:rsidRDefault="00457CA7" w:rsidP="0045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CA7" w:rsidRDefault="00457CA7" w:rsidP="00457CA7">
      <w:pPr>
        <w:spacing w:after="0" w:line="240" w:lineRule="auto"/>
      </w:pPr>
      <w:r>
        <w:separator/>
      </w:r>
    </w:p>
  </w:footnote>
  <w:footnote w:type="continuationSeparator" w:id="0">
    <w:p w:rsidR="00457CA7" w:rsidRDefault="00457CA7" w:rsidP="00457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4E6"/>
    <w:multiLevelType w:val="hybridMultilevel"/>
    <w:tmpl w:val="21AC3298"/>
    <w:lvl w:ilvl="0" w:tplc="61CAE3C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D4965"/>
    <w:multiLevelType w:val="hybridMultilevel"/>
    <w:tmpl w:val="EECA3CE0"/>
    <w:lvl w:ilvl="0" w:tplc="B3BE2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97AC9"/>
    <w:multiLevelType w:val="multilevel"/>
    <w:tmpl w:val="7514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B8479E"/>
    <w:multiLevelType w:val="multilevel"/>
    <w:tmpl w:val="6C2C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5B427A"/>
    <w:multiLevelType w:val="multilevel"/>
    <w:tmpl w:val="033C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4D7113"/>
    <w:multiLevelType w:val="hybridMultilevel"/>
    <w:tmpl w:val="EE667E24"/>
    <w:lvl w:ilvl="0" w:tplc="011617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D462B"/>
    <w:multiLevelType w:val="hybridMultilevel"/>
    <w:tmpl w:val="EF761E66"/>
    <w:lvl w:ilvl="0" w:tplc="C2B8AB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19"/>
    <w:rsid w:val="0002749C"/>
    <w:rsid w:val="000436B9"/>
    <w:rsid w:val="000A4886"/>
    <w:rsid w:val="00145CBA"/>
    <w:rsid w:val="001509B8"/>
    <w:rsid w:val="00172EA7"/>
    <w:rsid w:val="00182186"/>
    <w:rsid w:val="001930DF"/>
    <w:rsid w:val="00195056"/>
    <w:rsid w:val="002E7602"/>
    <w:rsid w:val="00333A62"/>
    <w:rsid w:val="00450FB1"/>
    <w:rsid w:val="00457CA7"/>
    <w:rsid w:val="00481888"/>
    <w:rsid w:val="004A7BCD"/>
    <w:rsid w:val="004F5714"/>
    <w:rsid w:val="004F792F"/>
    <w:rsid w:val="005619A8"/>
    <w:rsid w:val="00575C98"/>
    <w:rsid w:val="005F2E19"/>
    <w:rsid w:val="00621582"/>
    <w:rsid w:val="007308C1"/>
    <w:rsid w:val="00743FC8"/>
    <w:rsid w:val="00780EA0"/>
    <w:rsid w:val="00831EA8"/>
    <w:rsid w:val="00844F13"/>
    <w:rsid w:val="008B0A57"/>
    <w:rsid w:val="008C01B7"/>
    <w:rsid w:val="009363E2"/>
    <w:rsid w:val="00974572"/>
    <w:rsid w:val="00984527"/>
    <w:rsid w:val="009F3656"/>
    <w:rsid w:val="00A24E67"/>
    <w:rsid w:val="00A676E4"/>
    <w:rsid w:val="00AE3EAA"/>
    <w:rsid w:val="00B05E45"/>
    <w:rsid w:val="00B15684"/>
    <w:rsid w:val="00B301AB"/>
    <w:rsid w:val="00BA06CB"/>
    <w:rsid w:val="00BA0B0C"/>
    <w:rsid w:val="00BA73A3"/>
    <w:rsid w:val="00C54346"/>
    <w:rsid w:val="00CC6779"/>
    <w:rsid w:val="00D5566C"/>
    <w:rsid w:val="00D639FA"/>
    <w:rsid w:val="00D72FB2"/>
    <w:rsid w:val="00E07659"/>
    <w:rsid w:val="00E13EDF"/>
    <w:rsid w:val="00E23EBF"/>
    <w:rsid w:val="00EB0AEC"/>
    <w:rsid w:val="00ED6A15"/>
    <w:rsid w:val="00EF0772"/>
    <w:rsid w:val="00FD48F9"/>
    <w:rsid w:val="00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690E"/>
  <w15:chartTrackingRefBased/>
  <w15:docId w15:val="{8DDEACD7-E6DB-477C-922B-A51BC8F4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F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E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888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44F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C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C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7C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57C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452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05E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ziv.fgov.be/SiteCollectionDocuments/ARKB_MBBS_Serologische_testen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iziv.fgov.be/SiteCollectionDocuments/ARKB_MBBS_Serologische_testen.pdf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fagg.be/sites/default/files/content/publication_ivd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vid-19.sciensano.be/sites/default/files/Covid19/COVID-19_Case%20definition_Testing_FR.pdf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2020-06-15T22:00:00+00:00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8</Value>
    </TaxCatchAll>
    <RIDocSummary xmlns="f15eea43-7fa7-45cf-8dc0-d5244e2cd467" xsi:nil="true"/>
    <RIThemeTaxHTField0 xmlns="f15eea43-7fa7-45cf-8dc0-d5244e2cd467">
      <Terms xmlns="http://schemas.microsoft.com/office/infopath/2007/PartnerControls"/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D371C435-C634-4A0E-9612-12ADC1C9F428}"/>
</file>

<file path=customXml/itemProps2.xml><?xml version="1.0" encoding="utf-8"?>
<ds:datastoreItem xmlns:ds="http://schemas.openxmlformats.org/officeDocument/2006/customXml" ds:itemID="{2286C2C0-3645-4F95-BC11-1B8F5137BBC1}"/>
</file>

<file path=customXml/itemProps3.xml><?xml version="1.0" encoding="utf-8"?>
<ds:datastoreItem xmlns:ds="http://schemas.openxmlformats.org/officeDocument/2006/customXml" ds:itemID="{84A8A7CD-704F-41BD-BC8C-4CA4C46860A6}"/>
</file>

<file path=customXml/itemProps4.xml><?xml version="1.0" encoding="utf-8"?>
<ds:datastoreItem xmlns:ds="http://schemas.openxmlformats.org/officeDocument/2006/customXml" ds:itemID="{6154F3E4-060B-4679-98E3-7E4C61CC0078}"/>
</file>

<file path=docProps/app.xml><?xml version="1.0" encoding="utf-8"?>
<Properties xmlns="http://schemas.openxmlformats.org/officeDocument/2006/extended-properties" xmlns:vt="http://schemas.openxmlformats.org/officeDocument/2006/docPropsVTypes">
  <Template>8304DAA1.dotm</Template>
  <TotalTime>0</TotalTime>
  <Pages>3</Pages>
  <Words>1194</Words>
  <Characters>6567</Characters>
  <Application>Microsoft Office Word</Application>
  <DocSecurity>0</DocSecurity>
  <Lines>54</Lines>
  <Paragraphs>15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RIZIV-INAMI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fréquemment posées – Tests de détection Covid-19</dc:title>
  <dc:subject/>
  <dc:creator>Pieter Geentjens (RIZIV-INAMI)</dc:creator>
  <cp:keywords/>
  <dc:description/>
  <cp:lastModifiedBy>Sandrine Bingen (RIZIV-INAMI)</cp:lastModifiedBy>
  <cp:revision>7</cp:revision>
  <dcterms:created xsi:type="dcterms:W3CDTF">2020-06-15T15:02:00Z</dcterms:created>
  <dcterms:modified xsi:type="dcterms:W3CDTF">2020-06-15T15:11:00Z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/>
  </property>
  <property fmtid="{D5CDD505-2E9C-101B-9397-08002B2CF9AE}" pid="4" name="RITheme">
    <vt:lpwstr/>
  </property>
  <property fmtid="{D5CDD505-2E9C-101B-9397-08002B2CF9AE}" pid="5" name="RILanguage">
    <vt:lpwstr>8;#Frans|aa2269b8-11bd-4cc9-9267-801806817e60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